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3D49" w14:textId="77777777" w:rsidR="00803C0E" w:rsidRDefault="00FC2A78">
      <w:pPr>
        <w:pStyle w:val="Title"/>
      </w:pPr>
      <w:r>
        <w:t>Paraspeckles: RNA Architecture, Assembly and Conditional Function</w:t>
      </w:r>
    </w:p>
    <w:p w14:paraId="43C2E281" w14:textId="77777777" w:rsidR="00803C0E" w:rsidRDefault="00FC2A78">
      <w:pPr>
        <w:pStyle w:val="Subtitle"/>
      </w:pPr>
      <w:r>
        <w:t>NEAT1 isoforms, ordered ribonucleoprotein organization and stress-dependent regulation</w:t>
      </w:r>
    </w:p>
    <w:p w14:paraId="26783632" w14:textId="77777777" w:rsidR="00803C0E" w:rsidRDefault="00FC2A78">
      <w:pPr>
        <w:spacing w:before="200" w:after="320"/>
      </w:pPr>
      <w:r>
        <w:rPr>
          <w:color w:val="087B78"/>
          <w:sz w:val="20"/>
          <w:szCs w:val="20"/>
        </w:rPr>
        <w:t>CellNucleus · Current research review · 12 October 2026</w:t>
      </w:r>
    </w:p>
    <w:p w14:paraId="6CC3F301" w14:textId="77777777" w:rsidR="00803C0E" w:rsidRDefault="00FC2A78">
      <w:pPr>
        <w:pStyle w:val="Heading1"/>
      </w:pPr>
      <w:bookmarkStart w:id="0" w:name="_Toc242668393"/>
      <w:r>
        <w:t>Abstract</w:t>
      </w:r>
      <w:bookmarkEnd w:id="0"/>
    </w:p>
    <w:p w14:paraId="344E5B36" w14:textId="2AE8FBD1" w:rsidR="00803C0E" w:rsidRDefault="00FC2A78">
      <w:r>
        <w:t>Paraspeckles are organized ribonucleoprotein bodies built around the long NEAT1 transcript. Their defining properties emerge from RNA production, domain-specific protein interactions and the arrangement of multiple NEAT1 molecules. A body can influence the distribution of proteins or particular RNAs without being a universal storage site, and its presence varies across cell types and physiological conditions. Foundational assembly experiments and newer structural and TDP-43 studies support a conditional, su</w:t>
      </w:r>
      <w:r>
        <w:t>bstrate-specific account of paraspeckle function.</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p>
    <w:p w14:paraId="3D0DE52F" w14:textId="77777777" w:rsidR="00803C0E" w:rsidRDefault="00FC2A78">
      <w:pPr>
        <w:pageBreakBefore/>
        <w:spacing w:before="330"/>
      </w:pPr>
      <w:r>
        <w:rPr>
          <w:b/>
          <w:bCs/>
          <w:color w:val="173B4C"/>
          <w:sz w:val="32"/>
          <w:szCs w:val="32"/>
        </w:rPr>
        <w:lastRenderedPageBreak/>
        <w:t>Contents</w:t>
      </w:r>
    </w:p>
    <w:sdt>
      <w:sdtPr>
        <w:alias w:val="Contents"/>
        <w:id w:val="-161006426"/>
      </w:sdtPr>
      <w:sdtEndPr/>
      <w:sdtContent>
        <w:p w14:paraId="0EFEA4B6" w14:textId="19DC2196" w:rsidR="00137389" w:rsidRDefault="00FC2A7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93" w:history="1">
            <w:r w:rsidR="00137389" w:rsidRPr="00145B2D">
              <w:rPr>
                <w:rStyle w:val="Hyperlink"/>
                <w:noProof/>
              </w:rPr>
              <w:t>Abstract</w:t>
            </w:r>
            <w:r w:rsidR="00137389">
              <w:rPr>
                <w:noProof/>
              </w:rPr>
              <w:tab/>
            </w:r>
            <w:r w:rsidR="00137389">
              <w:rPr>
                <w:noProof/>
              </w:rPr>
              <w:fldChar w:fldCharType="begin"/>
            </w:r>
            <w:r w:rsidR="00137389">
              <w:rPr>
                <w:noProof/>
              </w:rPr>
              <w:instrText xml:space="preserve"> PAGEREF _Toc242668393 \h </w:instrText>
            </w:r>
            <w:r w:rsidR="00137389">
              <w:rPr>
                <w:noProof/>
              </w:rPr>
            </w:r>
            <w:r w:rsidR="00137389">
              <w:rPr>
                <w:noProof/>
              </w:rPr>
              <w:fldChar w:fldCharType="separate"/>
            </w:r>
            <w:r w:rsidR="00137389">
              <w:rPr>
                <w:noProof/>
              </w:rPr>
              <w:t>1</w:t>
            </w:r>
            <w:r w:rsidR="00137389">
              <w:rPr>
                <w:noProof/>
              </w:rPr>
              <w:fldChar w:fldCharType="end"/>
            </w:r>
          </w:hyperlink>
        </w:p>
        <w:p w14:paraId="5A019B14" w14:textId="23B45CEB"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4" w:history="1">
            <w:r w:rsidRPr="00145B2D">
              <w:rPr>
                <w:rStyle w:val="Hyperlink"/>
                <w:noProof/>
              </w:rPr>
              <w:t>1. Identity and the architectural role of NEAT1</w:t>
            </w:r>
            <w:r>
              <w:rPr>
                <w:noProof/>
              </w:rPr>
              <w:tab/>
            </w:r>
            <w:r>
              <w:rPr>
                <w:noProof/>
              </w:rPr>
              <w:fldChar w:fldCharType="begin"/>
            </w:r>
            <w:r>
              <w:rPr>
                <w:noProof/>
              </w:rPr>
              <w:instrText xml:space="preserve"> PAGEREF _Toc242668394 \h </w:instrText>
            </w:r>
            <w:r>
              <w:rPr>
                <w:noProof/>
              </w:rPr>
            </w:r>
            <w:r>
              <w:rPr>
                <w:noProof/>
              </w:rPr>
              <w:fldChar w:fldCharType="separate"/>
            </w:r>
            <w:r>
              <w:rPr>
                <w:noProof/>
              </w:rPr>
              <w:t>2</w:t>
            </w:r>
            <w:r>
              <w:rPr>
                <w:noProof/>
              </w:rPr>
              <w:fldChar w:fldCharType="end"/>
            </w:r>
          </w:hyperlink>
        </w:p>
        <w:p w14:paraId="0AA73A9E" w14:textId="70E465F2"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5" w:history="1">
            <w:r w:rsidRPr="00145B2D">
              <w:rPr>
                <w:rStyle w:val="Hyperlink"/>
                <w:noProof/>
              </w:rPr>
              <w:t>2. Isoform choice is an assembly decision</w:t>
            </w:r>
            <w:r>
              <w:rPr>
                <w:noProof/>
              </w:rPr>
              <w:tab/>
            </w:r>
            <w:r>
              <w:rPr>
                <w:noProof/>
              </w:rPr>
              <w:fldChar w:fldCharType="begin"/>
            </w:r>
            <w:r>
              <w:rPr>
                <w:noProof/>
              </w:rPr>
              <w:instrText xml:space="preserve"> PAGEREF _Toc242668395 \h </w:instrText>
            </w:r>
            <w:r>
              <w:rPr>
                <w:noProof/>
              </w:rPr>
            </w:r>
            <w:r>
              <w:rPr>
                <w:noProof/>
              </w:rPr>
              <w:fldChar w:fldCharType="separate"/>
            </w:r>
            <w:r>
              <w:rPr>
                <w:noProof/>
              </w:rPr>
              <w:t>2</w:t>
            </w:r>
            <w:r>
              <w:rPr>
                <w:noProof/>
              </w:rPr>
              <w:fldChar w:fldCharType="end"/>
            </w:r>
          </w:hyperlink>
        </w:p>
        <w:p w14:paraId="4C806589" w14:textId="65053EE8"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6" w:history="1">
            <w:r w:rsidRPr="00145B2D">
              <w:rPr>
                <w:rStyle w:val="Hyperlink"/>
                <w:noProof/>
              </w:rPr>
              <w:t>3. RNA domains organize a core and periphery</w:t>
            </w:r>
            <w:r>
              <w:rPr>
                <w:noProof/>
              </w:rPr>
              <w:tab/>
            </w:r>
            <w:r>
              <w:rPr>
                <w:noProof/>
              </w:rPr>
              <w:fldChar w:fldCharType="begin"/>
            </w:r>
            <w:r>
              <w:rPr>
                <w:noProof/>
              </w:rPr>
              <w:instrText xml:space="preserve"> PAGEREF _Toc242668396 \h </w:instrText>
            </w:r>
            <w:r>
              <w:rPr>
                <w:noProof/>
              </w:rPr>
            </w:r>
            <w:r>
              <w:rPr>
                <w:noProof/>
              </w:rPr>
              <w:fldChar w:fldCharType="separate"/>
            </w:r>
            <w:r>
              <w:rPr>
                <w:noProof/>
              </w:rPr>
              <w:t>3</w:t>
            </w:r>
            <w:r>
              <w:rPr>
                <w:noProof/>
              </w:rPr>
              <w:fldChar w:fldCharType="end"/>
            </w:r>
          </w:hyperlink>
        </w:p>
        <w:p w14:paraId="74C42410" w14:textId="031F381D"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7" w:history="1">
            <w:r w:rsidRPr="00145B2D">
              <w:rPr>
                <w:rStyle w:val="Hyperlink"/>
                <w:noProof/>
              </w:rPr>
              <w:t>4. Protein interactions and a size-limited assembly model</w:t>
            </w:r>
            <w:r>
              <w:rPr>
                <w:noProof/>
              </w:rPr>
              <w:tab/>
            </w:r>
            <w:r>
              <w:rPr>
                <w:noProof/>
              </w:rPr>
              <w:fldChar w:fldCharType="begin"/>
            </w:r>
            <w:r>
              <w:rPr>
                <w:noProof/>
              </w:rPr>
              <w:instrText xml:space="preserve"> PAGEREF _Toc242668397 \h </w:instrText>
            </w:r>
            <w:r>
              <w:rPr>
                <w:noProof/>
              </w:rPr>
            </w:r>
            <w:r>
              <w:rPr>
                <w:noProof/>
              </w:rPr>
              <w:fldChar w:fldCharType="separate"/>
            </w:r>
            <w:r>
              <w:rPr>
                <w:noProof/>
              </w:rPr>
              <w:t>3</w:t>
            </w:r>
            <w:r>
              <w:rPr>
                <w:noProof/>
              </w:rPr>
              <w:fldChar w:fldCharType="end"/>
            </w:r>
          </w:hyperlink>
        </w:p>
        <w:p w14:paraId="23A87E36" w14:textId="3E9147E5"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8" w:history="1">
            <w:r w:rsidRPr="00145B2D">
              <w:rPr>
                <w:rStyle w:val="Hyperlink"/>
                <w:noProof/>
              </w:rPr>
              <w:t>5. RNA retention is a demonstrated example with limits</w:t>
            </w:r>
            <w:r>
              <w:rPr>
                <w:noProof/>
              </w:rPr>
              <w:tab/>
            </w:r>
            <w:r>
              <w:rPr>
                <w:noProof/>
              </w:rPr>
              <w:fldChar w:fldCharType="begin"/>
            </w:r>
            <w:r>
              <w:rPr>
                <w:noProof/>
              </w:rPr>
              <w:instrText xml:space="preserve"> PAGEREF _Toc242668398 \h </w:instrText>
            </w:r>
            <w:r>
              <w:rPr>
                <w:noProof/>
              </w:rPr>
            </w:r>
            <w:r>
              <w:rPr>
                <w:noProof/>
              </w:rPr>
              <w:fldChar w:fldCharType="separate"/>
            </w:r>
            <w:r>
              <w:rPr>
                <w:noProof/>
              </w:rPr>
              <w:t>4</w:t>
            </w:r>
            <w:r>
              <w:rPr>
                <w:noProof/>
              </w:rPr>
              <w:fldChar w:fldCharType="end"/>
            </w:r>
          </w:hyperlink>
        </w:p>
        <w:p w14:paraId="11FEB5F6" w14:textId="56F4583B"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9" w:history="1">
            <w:r w:rsidRPr="00145B2D">
              <w:rPr>
                <w:rStyle w:val="Hyperlink"/>
                <w:noProof/>
              </w:rPr>
              <w:t>6. Protein redistribution can alter gene regulation</w:t>
            </w:r>
            <w:r>
              <w:rPr>
                <w:noProof/>
              </w:rPr>
              <w:tab/>
            </w:r>
            <w:r>
              <w:rPr>
                <w:noProof/>
              </w:rPr>
              <w:fldChar w:fldCharType="begin"/>
            </w:r>
            <w:r>
              <w:rPr>
                <w:noProof/>
              </w:rPr>
              <w:instrText xml:space="preserve"> PAGEREF _Toc242668399 \h </w:instrText>
            </w:r>
            <w:r>
              <w:rPr>
                <w:noProof/>
              </w:rPr>
            </w:r>
            <w:r>
              <w:rPr>
                <w:noProof/>
              </w:rPr>
              <w:fldChar w:fldCharType="separate"/>
            </w:r>
            <w:r>
              <w:rPr>
                <w:noProof/>
              </w:rPr>
              <w:t>4</w:t>
            </w:r>
            <w:r>
              <w:rPr>
                <w:noProof/>
              </w:rPr>
              <w:fldChar w:fldCharType="end"/>
            </w:r>
          </w:hyperlink>
        </w:p>
        <w:p w14:paraId="739757C2" w14:textId="7F5459F9"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0" w:history="1">
            <w:r w:rsidRPr="00145B2D">
              <w:rPr>
                <w:rStyle w:val="Hyperlink"/>
                <w:noProof/>
              </w:rPr>
              <w:t>7. Cell populations, stress and TDP-43 regulation</w:t>
            </w:r>
            <w:r>
              <w:rPr>
                <w:noProof/>
              </w:rPr>
              <w:tab/>
            </w:r>
            <w:r>
              <w:rPr>
                <w:noProof/>
              </w:rPr>
              <w:fldChar w:fldCharType="begin"/>
            </w:r>
            <w:r>
              <w:rPr>
                <w:noProof/>
              </w:rPr>
              <w:instrText xml:space="preserve"> PAGEREF _Toc242668400 \h </w:instrText>
            </w:r>
            <w:r>
              <w:rPr>
                <w:noProof/>
              </w:rPr>
            </w:r>
            <w:r>
              <w:rPr>
                <w:noProof/>
              </w:rPr>
              <w:fldChar w:fldCharType="separate"/>
            </w:r>
            <w:r>
              <w:rPr>
                <w:noProof/>
              </w:rPr>
              <w:t>5</w:t>
            </w:r>
            <w:r>
              <w:rPr>
                <w:noProof/>
              </w:rPr>
              <w:fldChar w:fldCharType="end"/>
            </w:r>
          </w:hyperlink>
        </w:p>
        <w:p w14:paraId="100EB2ED" w14:textId="1BE58301"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1" w:history="1">
            <w:r w:rsidRPr="00145B2D">
              <w:rPr>
                <w:rStyle w:val="Hyperlink"/>
                <w:noProof/>
              </w:rPr>
              <w:t>8. Comparing the evidence</w:t>
            </w:r>
            <w:r>
              <w:rPr>
                <w:noProof/>
              </w:rPr>
              <w:tab/>
            </w:r>
            <w:r>
              <w:rPr>
                <w:noProof/>
              </w:rPr>
              <w:fldChar w:fldCharType="begin"/>
            </w:r>
            <w:r>
              <w:rPr>
                <w:noProof/>
              </w:rPr>
              <w:instrText xml:space="preserve"> PAGEREF _Toc242668401 \h </w:instrText>
            </w:r>
            <w:r>
              <w:rPr>
                <w:noProof/>
              </w:rPr>
            </w:r>
            <w:r>
              <w:rPr>
                <w:noProof/>
              </w:rPr>
              <w:fldChar w:fldCharType="separate"/>
            </w:r>
            <w:r>
              <w:rPr>
                <w:noProof/>
              </w:rPr>
              <w:t>6</w:t>
            </w:r>
            <w:r>
              <w:rPr>
                <w:noProof/>
              </w:rPr>
              <w:fldChar w:fldCharType="end"/>
            </w:r>
          </w:hyperlink>
        </w:p>
        <w:p w14:paraId="1EF2F4E8" w14:textId="6E8847CC"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2" w:history="1">
            <w:r w:rsidRPr="00145B2D">
              <w:rPr>
                <w:rStyle w:val="Hyperlink"/>
                <w:noProof/>
              </w:rPr>
              <w:t>9. Interpreting perturbations of an architectural RNA</w:t>
            </w:r>
            <w:r>
              <w:rPr>
                <w:noProof/>
              </w:rPr>
              <w:tab/>
            </w:r>
            <w:r>
              <w:rPr>
                <w:noProof/>
              </w:rPr>
              <w:fldChar w:fldCharType="begin"/>
            </w:r>
            <w:r>
              <w:rPr>
                <w:noProof/>
              </w:rPr>
              <w:instrText xml:space="preserve"> PAGEREF _Toc242668402 \h </w:instrText>
            </w:r>
            <w:r>
              <w:rPr>
                <w:noProof/>
              </w:rPr>
            </w:r>
            <w:r>
              <w:rPr>
                <w:noProof/>
              </w:rPr>
              <w:fldChar w:fldCharType="separate"/>
            </w:r>
            <w:r>
              <w:rPr>
                <w:noProof/>
              </w:rPr>
              <w:t>6</w:t>
            </w:r>
            <w:r>
              <w:rPr>
                <w:noProof/>
              </w:rPr>
              <w:fldChar w:fldCharType="end"/>
            </w:r>
          </w:hyperlink>
        </w:p>
        <w:p w14:paraId="69AA34B5" w14:textId="5056F3FC"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3" w:history="1">
            <w:r w:rsidRPr="00145B2D">
              <w:rPr>
                <w:rStyle w:val="Hyperlink"/>
                <w:noProof/>
              </w:rPr>
              <w:t>10. Synthesis and priorities</w:t>
            </w:r>
            <w:r>
              <w:rPr>
                <w:noProof/>
              </w:rPr>
              <w:tab/>
            </w:r>
            <w:r>
              <w:rPr>
                <w:noProof/>
              </w:rPr>
              <w:fldChar w:fldCharType="begin"/>
            </w:r>
            <w:r>
              <w:rPr>
                <w:noProof/>
              </w:rPr>
              <w:instrText xml:space="preserve"> PAGEREF _Toc242668403 \h </w:instrText>
            </w:r>
            <w:r>
              <w:rPr>
                <w:noProof/>
              </w:rPr>
            </w:r>
            <w:r>
              <w:rPr>
                <w:noProof/>
              </w:rPr>
              <w:fldChar w:fldCharType="separate"/>
            </w:r>
            <w:r>
              <w:rPr>
                <w:noProof/>
              </w:rPr>
              <w:t>7</w:t>
            </w:r>
            <w:r>
              <w:rPr>
                <w:noProof/>
              </w:rPr>
              <w:fldChar w:fldCharType="end"/>
            </w:r>
          </w:hyperlink>
        </w:p>
        <w:p w14:paraId="41B4E815" w14:textId="11C083EB"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4" w:history="1">
            <w:r w:rsidRPr="00145B2D">
              <w:rPr>
                <w:rStyle w:val="Hyperlink"/>
                <w:noProof/>
              </w:rPr>
              <w:t>References</w:t>
            </w:r>
            <w:r>
              <w:rPr>
                <w:noProof/>
              </w:rPr>
              <w:tab/>
            </w:r>
            <w:r>
              <w:rPr>
                <w:noProof/>
              </w:rPr>
              <w:fldChar w:fldCharType="begin"/>
            </w:r>
            <w:r>
              <w:rPr>
                <w:noProof/>
              </w:rPr>
              <w:instrText xml:space="preserve"> PAGEREF _Toc242668404 \h </w:instrText>
            </w:r>
            <w:r>
              <w:rPr>
                <w:noProof/>
              </w:rPr>
            </w:r>
            <w:r>
              <w:rPr>
                <w:noProof/>
              </w:rPr>
              <w:fldChar w:fldCharType="separate"/>
            </w:r>
            <w:r>
              <w:rPr>
                <w:noProof/>
              </w:rPr>
              <w:t>7</w:t>
            </w:r>
            <w:r>
              <w:rPr>
                <w:noProof/>
              </w:rPr>
              <w:fldChar w:fldCharType="end"/>
            </w:r>
          </w:hyperlink>
        </w:p>
        <w:p w14:paraId="54384FC9" w14:textId="6565FC8E" w:rsidR="00137389" w:rsidRDefault="0013738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405" w:history="1">
            <w:r w:rsidRPr="00145B2D">
              <w:rPr>
                <w:rStyle w:val="Hyperlink"/>
                <w:noProof/>
              </w:rPr>
              <w:t>Evidence scope</w:t>
            </w:r>
            <w:r>
              <w:rPr>
                <w:noProof/>
              </w:rPr>
              <w:tab/>
            </w:r>
            <w:r>
              <w:rPr>
                <w:noProof/>
              </w:rPr>
              <w:fldChar w:fldCharType="begin"/>
            </w:r>
            <w:r>
              <w:rPr>
                <w:noProof/>
              </w:rPr>
              <w:instrText xml:space="preserve"> PAGEREF _Toc242668405 \h </w:instrText>
            </w:r>
            <w:r>
              <w:rPr>
                <w:noProof/>
              </w:rPr>
            </w:r>
            <w:r>
              <w:rPr>
                <w:noProof/>
              </w:rPr>
              <w:fldChar w:fldCharType="separate"/>
            </w:r>
            <w:r>
              <w:rPr>
                <w:noProof/>
              </w:rPr>
              <w:t>8</w:t>
            </w:r>
            <w:r>
              <w:rPr>
                <w:noProof/>
              </w:rPr>
              <w:fldChar w:fldCharType="end"/>
            </w:r>
          </w:hyperlink>
        </w:p>
        <w:p w14:paraId="7055B988" w14:textId="0F59A9EA" w:rsidR="00803C0E" w:rsidRDefault="00FC2A78">
          <w:r>
            <w:fldChar w:fldCharType="end"/>
          </w:r>
        </w:p>
      </w:sdtContent>
    </w:sdt>
    <w:p w14:paraId="23BB9C15" w14:textId="77777777" w:rsidR="00803C0E" w:rsidRDefault="00FC2A78">
      <w:pPr>
        <w:pStyle w:val="Heading1"/>
      </w:pPr>
      <w:bookmarkStart w:id="1" w:name="_Toc242668394"/>
      <w:r>
        <w:t>1. Identity and the architectural role of NEAT1</w:t>
      </w:r>
      <w:bookmarkEnd w:id="1"/>
    </w:p>
    <w:p w14:paraId="6F5F86E6" w14:textId="6C4E47CA" w:rsidR="00803C0E" w:rsidRDefault="00FC2A78">
      <w:r>
        <w:t>A paraspeckle is identified by the coordinated localization of NEAT1 and characteristic RNA-binding proteins rather than by proximity to an arbitrary fluorescent focus. Clemson and colleagues connected NEAT1 depletion to disappearance of visible paraspeckles and showed that NEAT1 overexpression increased their number. They also found bodies emerging at the NEAT1 transcription site. These experiments established that an RNA can serve as an architectural determinant of a nuclear domain. They did not establish</w:t>
      </w:r>
      <w:r>
        <w:t xml:space="preserve"> every later proposed function of that RNA or diagnose the material state of the assembled body.</w:t>
      </w:r>
      <w:hyperlink r:id="rId12" w:history="1">
        <w:r>
          <w:rPr>
            <w:color w:val="087B78"/>
            <w:sz w:val="18"/>
            <w:szCs w:val="18"/>
          </w:rPr>
          <w:t xml:space="preserve"> [1]</w:t>
        </w:r>
      </w:hyperlink>
    </w:p>
    <w:p w14:paraId="3EC72B61" w14:textId="7DF4D424" w:rsidR="00803C0E" w:rsidRDefault="00FC2A78">
      <w:r>
        <w:t>The important conceptual change is to treat the scaffold as a produced and processed molecule. Its abundance can be controlled by transcription, transcript-end choice and degradation; its domains can present different protein-binding opportunities. A protein-only droplet model therefore misses part of the assembly problem. The structure must be related to which NEAT1 species is made, where it is made and how its interacting proteins are distributed. This makes RNA biology inseparable from the physical organ</w:t>
      </w:r>
      <w:r>
        <w:t>ization of the paraspeckle.</w:t>
      </w:r>
      <w:hyperlink r:id="rId13" w:history="1">
        <w:r>
          <w:rPr>
            <w:color w:val="087B78"/>
            <w:sz w:val="18"/>
            <w:szCs w:val="18"/>
          </w:rPr>
          <w:t xml:space="preserve"> [2]</w:t>
        </w:r>
      </w:hyperlink>
      <w:hyperlink r:id="rId14" w:history="1">
        <w:r>
          <w:rPr>
            <w:color w:val="087B78"/>
            <w:sz w:val="18"/>
            <w:szCs w:val="18"/>
          </w:rPr>
          <w:t xml:space="preserve"> [3]</w:t>
        </w:r>
      </w:hyperlink>
    </w:p>
    <w:p w14:paraId="79D7EB98" w14:textId="77777777" w:rsidR="00803C0E" w:rsidRDefault="00FC2A78">
      <w:pPr>
        <w:pStyle w:val="Heading1"/>
      </w:pPr>
      <w:bookmarkStart w:id="2" w:name="_Toc242668395"/>
      <w:r>
        <w:t>2. Isoform choice is an assembly decision</w:t>
      </w:r>
      <w:bookmarkEnd w:id="2"/>
    </w:p>
    <w:p w14:paraId="6B7631BC" w14:textId="7C7D2C98" w:rsidR="00803C0E" w:rsidRDefault="00FC2A78">
      <w:r>
        <w:t xml:space="preserve">The NEAT1 locus produces a shorter NEAT1_1 isoform and a longer NEAT1_2 isoform through alternative 3′ end processing. Naganuma and colleagues identified NEAT1_2 as essential for </w:t>
      </w:r>
      <w:r>
        <w:lastRenderedPageBreak/>
        <w:t>paraspeckle construction in their tested systems. Their protein screen and biochemical assays connected HNRNPK to inhibition of the shorter isoform’s polyadenylation pathway through competition involving CFIm components. Favoring the long product therefore changes the availability of the architectural RNA without requiring a separate gene.</w:t>
      </w:r>
      <w:hyperlink r:id="rId15" w:history="1">
        <w:r>
          <w:rPr>
            <w:color w:val="087B78"/>
            <w:sz w:val="18"/>
            <w:szCs w:val="18"/>
          </w:rPr>
          <w:t xml:space="preserve"> [2]</w:t>
        </w:r>
      </w:hyperlink>
    </w:p>
    <w:p w14:paraId="305EDB87" w14:textId="0C1057F6" w:rsidR="00803C0E" w:rsidRDefault="00FC2A78">
      <w:r>
        <w:t xml:space="preserve">Total NEAT1 abundance is consequently an incomplete assembly readout. An assay detecting shared sequence can combine short and long products, whereas a long-isoform-specific measurement addresses the relevant scaffold more directly. A change in total RNA need not imply a proportional change in assembled bodies. Likewise, a NEAT1 perturbation can change both RNA-level functions and architecture. A mechanistic study should state the isoform being measured or removed and avoid assigning every phenotype of the </w:t>
      </w:r>
      <w:r>
        <w:t>locus to the presence or absence of visible paraspeckles.</w:t>
      </w:r>
      <w:hyperlink r:id="rId16" w:history="1">
        <w:r>
          <w:rPr>
            <w:color w:val="087B78"/>
            <w:sz w:val="18"/>
            <w:szCs w:val="18"/>
          </w:rPr>
          <w:t xml:space="preserve"> [2]</w:t>
        </w:r>
      </w:hyperlink>
      <w:hyperlink r:id="rId17" w:history="1">
        <w:r>
          <w:rPr>
            <w:color w:val="087B78"/>
            <w:sz w:val="18"/>
            <w:szCs w:val="18"/>
          </w:rPr>
          <w:t xml:space="preserve"> [4]</w:t>
        </w:r>
      </w:hyperlink>
    </w:p>
    <w:p w14:paraId="4218A8FA" w14:textId="77777777" w:rsidR="00803C0E" w:rsidRDefault="00FC2A78">
      <w:pPr>
        <w:pStyle w:val="Heading1"/>
      </w:pPr>
      <w:bookmarkStart w:id="3" w:name="_Toc242668396"/>
      <w:r>
        <w:t>3. RNA domains organize a core and periphery</w:t>
      </w:r>
      <w:bookmarkEnd w:id="3"/>
    </w:p>
    <w:p w14:paraId="47175DFB" w14:textId="483C3F0C" w:rsidR="00803C0E" w:rsidRDefault="00FC2A78">
      <w:r>
        <w:t>Electron-microscopy-linked RNA mapping by Souquere and colleagues showed that different NEAT1 regions occupy different parts of paraspeckles. Central sequences of the long transcript mapped to the dense interior, while terminal regions were peripheral; the shorter transcript was also peripheral. The tested HeLa and NIH 3T3 systems therefore revealed ordered domain distributions rather than a homogeneous RNA mixture. This provides an architectural constraint that any physical assembly model must explain.</w:t>
      </w:r>
      <w:hyperlink r:id="rId18" w:history="1">
        <w:r>
          <w:rPr>
            <w:color w:val="087B78"/>
            <w:sz w:val="18"/>
            <w:szCs w:val="18"/>
          </w:rPr>
          <w:t xml:space="preserve"> [3]</w:t>
        </w:r>
      </w:hyperlink>
    </w:p>
    <w:p w14:paraId="667D33E2" w14:textId="50034DE1" w:rsidR="00803C0E" w:rsidRDefault="00FC2A78">
      <w:r>
        <w:t>The 2025 three-dimensional super-resolution study by Berrevoets and colleagues further investigated the NEAT1 scaffold. Its contribution is finer spatial information about the arrangement of RNA within a nuclear body, not a direct measurement of every RNA’s biochemical activity. Probe placement, localization analysis and the relationship between resolution and inferred organization remain part of the interpretation. A precise structural map should therefore be described as a map of labeled RNA regions, with</w:t>
      </w:r>
      <w:r>
        <w:t xml:space="preserve"> connectivity and dynamic function evaluated through additional experiments.</w:t>
      </w:r>
      <w:hyperlink r:id="rId19" w:history="1">
        <w:r>
          <w:rPr>
            <w:color w:val="087B78"/>
            <w:sz w:val="18"/>
            <w:szCs w:val="18"/>
          </w:rPr>
          <w:t xml:space="preserve"> [6]</w:t>
        </w:r>
      </w:hyperlink>
    </w:p>
    <w:p w14:paraId="6C3C4CCD" w14:textId="72DA5895" w:rsidR="00803C0E" w:rsidRDefault="00FC2A78">
      <w:r>
        <w:t>Core–periphery organization has several possible physical meanings. It can reflect differential binding, domain connectivity and energetic costs of exposing different RNP regions. It does not by itself show that the core and periphery are two bulk liquid phases. Distinguishing spatial arrangement from phase coexistence is particularly important for an RNA whose ends and middle are joined in the same molecule. The scaffold’s connectivity constrains which rearrangements are possible and can help explain why t</w:t>
      </w:r>
      <w:r>
        <w:t>he body has a reproducible internal organization.</w:t>
      </w:r>
      <w:hyperlink r:id="rId20" w:history="1">
        <w:r>
          <w:rPr>
            <w:color w:val="087B78"/>
            <w:sz w:val="18"/>
            <w:szCs w:val="18"/>
          </w:rPr>
          <w:t xml:space="preserve"> [3]</w:t>
        </w:r>
      </w:hyperlink>
      <w:hyperlink r:id="rId21" w:history="1">
        <w:r>
          <w:rPr>
            <w:color w:val="087B78"/>
            <w:sz w:val="18"/>
            <w:szCs w:val="18"/>
          </w:rPr>
          <w:t xml:space="preserve"> [7]</w:t>
        </w:r>
      </w:hyperlink>
    </w:p>
    <w:p w14:paraId="605B3D4C" w14:textId="77777777" w:rsidR="00803C0E" w:rsidRDefault="00FC2A78">
      <w:pPr>
        <w:pStyle w:val="Heading1"/>
      </w:pPr>
      <w:bookmarkStart w:id="4" w:name="_Toc242668397"/>
      <w:r>
        <w:t>4. Protein interactions and a size-limited assembly model</w:t>
      </w:r>
      <w:bookmarkEnd w:id="4"/>
    </w:p>
    <w:p w14:paraId="274B6AF2" w14:textId="6256DF8B" w:rsidR="00803C0E" w:rsidRDefault="00FC2A78">
      <w:r>
        <w:t xml:space="preserve">Paraspeckle assembly involves multiple proteins rather than one interchangeable class of weakly binding clients. Naganuma and colleagues identified essential factors through protein-localization screening and RNA interference, while the original architectural study linked RNA-binding domains to NEAT1 colocalization. These observations distinguish recruitment from structural necessity. A </w:t>
      </w:r>
      <w:r>
        <w:lastRenderedPageBreak/>
        <w:t>protein that accumulates in the body need not be required to construct it, and an essential protein can influence RNA production as well as the assembled RNP.</w:t>
      </w:r>
      <w:hyperlink r:id="rId22" w:history="1">
        <w:r>
          <w:rPr>
            <w:color w:val="087B78"/>
            <w:sz w:val="18"/>
            <w:szCs w:val="18"/>
          </w:rPr>
          <w:t xml:space="preserve"> [2]</w:t>
        </w:r>
      </w:hyperlink>
      <w:hyperlink r:id="rId23" w:history="1">
        <w:r>
          <w:rPr>
            <w:color w:val="087B78"/>
            <w:sz w:val="18"/>
            <w:szCs w:val="18"/>
          </w:rPr>
          <w:t xml:space="preserve"> [1]</w:t>
        </w:r>
      </w:hyperlink>
    </w:p>
    <w:p w14:paraId="135293B1" w14:textId="339CB867" w:rsidR="00803C0E" w:rsidRDefault="00FC2A78">
      <w:r>
        <w:t>Yamazaki and colleagues used NEAT1_2 domain manipulations and a block-copolymer micelle framework to explain ordered assembly. In that model, different connected RNP blocks have competing interaction preferences that favor finite, organized structures. The interpretation is more specific than an unconstrained droplet that continuously coarsens. It is a theory linked to experimental changes in scaffold organization; it should be evaluated by its architectural predictions rather than assumed to describe every</w:t>
      </w:r>
      <w:r>
        <w:t xml:space="preserve"> paraspeckle in every tissue.</w:t>
      </w:r>
      <w:hyperlink r:id="rId24" w:history="1">
        <w:r>
          <w:rPr>
            <w:color w:val="087B78"/>
            <w:sz w:val="18"/>
            <w:szCs w:val="18"/>
          </w:rPr>
          <w:t xml:space="preserve"> [7]</w:t>
        </w:r>
      </w:hyperlink>
    </w:p>
    <w:p w14:paraId="61F8B59B" w14:textId="33F217C7" w:rsidR="00803C0E" w:rsidRDefault="00FC2A78">
      <w:r>
        <w:t>The distinction also changes how dynamics are interpreted. Exchange of one protein reports that component’s interactions with the assembly. It does not establish that the RNA scaffold itself mixes freely or that the whole structure is a simple liquid. A useful experiment compares multiple protein and RNA components, asks whether morphology changes after domain-specific perturbations and tests whether the predictions of a finite-assembly model survive changes in scaffold concentration. Structural and kinetic</w:t>
      </w:r>
      <w:r>
        <w:t xml:space="preserve"> readouts answer different parts of that problem.</w:t>
      </w:r>
      <w:hyperlink r:id="rId25" w:history="1">
        <w:r>
          <w:rPr>
            <w:color w:val="087B78"/>
            <w:sz w:val="18"/>
            <w:szCs w:val="18"/>
          </w:rPr>
          <w:t xml:space="preserve"> [7]</w:t>
        </w:r>
      </w:hyperlink>
      <w:hyperlink r:id="rId26" w:history="1">
        <w:r>
          <w:rPr>
            <w:color w:val="087B78"/>
            <w:sz w:val="18"/>
            <w:szCs w:val="18"/>
          </w:rPr>
          <w:t xml:space="preserve"> [3]</w:t>
        </w:r>
      </w:hyperlink>
      <w:hyperlink r:id="rId27" w:history="1">
        <w:r>
          <w:rPr>
            <w:color w:val="087B78"/>
            <w:sz w:val="18"/>
            <w:szCs w:val="18"/>
          </w:rPr>
          <w:t xml:space="preserve"> [5]</w:t>
        </w:r>
      </w:hyperlink>
    </w:p>
    <w:p w14:paraId="1D5BE004" w14:textId="77777777" w:rsidR="00803C0E" w:rsidRDefault="00FC2A78">
      <w:pPr>
        <w:pStyle w:val="Heading1"/>
      </w:pPr>
      <w:bookmarkStart w:id="5" w:name="_Toc242668398"/>
      <w:r>
        <w:t>5. RNA retention is a demonstrated example with limits</w:t>
      </w:r>
      <w:bookmarkEnd w:id="5"/>
    </w:p>
    <w:p w14:paraId="68ADB1B9" w14:textId="7B324024" w:rsidR="00803C0E" w:rsidRDefault="00FC2A78">
      <w:r>
        <w:t>Prasanth and colleagues identified mouse CTN-RNA, a nuclear-retained transcript from the mCAT2 locus that was partly associated with paraspeckles. Its alternative transcript structure and edited 3′ region were linked to nuclear retention, and stress-dependent cleavage generated a protein-coding RNA. This supplied a concrete example of regulated availability of a retained RNA. The transcript was also diffusely distributed, so the experiment should not be restated as proof that every retained molecule resided</w:t>
      </w:r>
      <w:r>
        <w:t xml:space="preserve"> within a paraspeckle or that all edited RNAs use the same pathway.</w:t>
      </w:r>
      <w:hyperlink r:id="rId28" w:history="1">
        <w:r>
          <w:rPr>
            <w:color w:val="087B78"/>
            <w:sz w:val="18"/>
            <w:szCs w:val="18"/>
          </w:rPr>
          <w:t xml:space="preserve"> [8]</w:t>
        </w:r>
      </w:hyperlink>
    </w:p>
    <w:p w14:paraId="6A87EFDB" w14:textId="4FA2776B" w:rsidR="00803C0E" w:rsidRDefault="00FC2A78">
      <w:r>
        <w:t>A retention claim requires an RNA-specific comparison of location, persistence and productive export. Enrichment in a body can be compatible with retention, but enrichment alone does not establish whether the body is the cause or a consequence of binding. A scaffold perturbation should therefore be interpreted together with the distribution of the candidate RNA and its downstream coding output. The strongest explanation follows the retained species and demonstrates which processing event changes its availab</w:t>
      </w:r>
      <w:r>
        <w:t>ility, rather than treating a nuclear fluorescence pattern as sufficient proof of sequestration.</w:t>
      </w:r>
      <w:hyperlink r:id="rId29" w:history="1">
        <w:r>
          <w:rPr>
            <w:color w:val="087B78"/>
            <w:sz w:val="18"/>
            <w:szCs w:val="18"/>
          </w:rPr>
          <w:t xml:space="preserve"> [8]</w:t>
        </w:r>
      </w:hyperlink>
      <w:hyperlink r:id="rId30" w:history="1">
        <w:r>
          <w:rPr>
            <w:color w:val="087B78"/>
            <w:sz w:val="18"/>
            <w:szCs w:val="18"/>
          </w:rPr>
          <w:t xml:space="preserve"> [1]</w:t>
        </w:r>
      </w:hyperlink>
    </w:p>
    <w:p w14:paraId="7C0982BD" w14:textId="77777777" w:rsidR="00803C0E" w:rsidRDefault="00FC2A78">
      <w:pPr>
        <w:pStyle w:val="Heading1"/>
      </w:pPr>
      <w:bookmarkStart w:id="6" w:name="_Toc242668399"/>
      <w:r>
        <w:t>6. Protein redistribution can alter gene regulation</w:t>
      </w:r>
      <w:bookmarkEnd w:id="6"/>
    </w:p>
    <w:p w14:paraId="13E9993B" w14:textId="7F94012C" w:rsidR="00803C0E" w:rsidRDefault="00FC2A78">
      <w:r>
        <w:t xml:space="preserve">A second functional route concerns protein availability. Imamura and colleagues reported that immune stimulation or viral infection induced NEAT1 and paraspeckle formation in their cellular systems. They linked induction to redistribution of SFPQ away from the IL8 promoter and toward paraspeckles, accompanied by increased IL8 expression. This is a stimulus-dependent example of </w:t>
      </w:r>
      <w:r>
        <w:lastRenderedPageBreak/>
        <w:t>changing where a regulatory protein is available, rather than a universal claim that NEAT1 activates inflammatory genes in every tissue.</w:t>
      </w:r>
      <w:hyperlink r:id="rId31" w:history="1">
        <w:r>
          <w:rPr>
            <w:color w:val="087B78"/>
            <w:sz w:val="18"/>
            <w:szCs w:val="18"/>
          </w:rPr>
          <w:t xml:space="preserve"> [9]</w:t>
        </w:r>
      </w:hyperlink>
    </w:p>
    <w:p w14:paraId="03A8169F" w14:textId="0A7D0FB3" w:rsidR="00803C0E" w:rsidRDefault="00FC2A78">
      <w:r>
        <w:t>The causal distinction is between changing a protein’s amount, changing its RNA-binding interactions and changing its access to a particular promoter. Those mechanisms can coexist, but a localization image alone cannot separate them. The SFPQ example motivates combined promoter occupancy, RNA-scaffold and expression measurements. It also cautions against describing sequestration as intrinsically inhibitory: withdrawing a repressor from a promoter can increase expression. The sign of the outcome depends on t</w:t>
      </w:r>
      <w:r>
        <w:t>he protein, target and cellular stimulus.</w:t>
      </w:r>
      <w:hyperlink r:id="rId32" w:history="1">
        <w:r>
          <w:rPr>
            <w:color w:val="087B78"/>
            <w:sz w:val="18"/>
            <w:szCs w:val="18"/>
          </w:rPr>
          <w:t xml:space="preserve"> [9]</w:t>
        </w:r>
      </w:hyperlink>
    </w:p>
    <w:p w14:paraId="62788F5A" w14:textId="363E7F40" w:rsidR="00803C0E" w:rsidRDefault="00FC2A78">
      <w:r>
        <w:t>Body assembly and biological benefit should likewise be analyzed independently. More paraspeckles can reflect an adaptive response, a downstream marker of stress or a state that changes the availability of an essential protein. The correct interpretation depends on perturbation and rescue experiments tied to a defined endpoint. Expression and survival results should not be generalized solely from body number, because neither the scaffold’s biochemical roles nor the properties of recruited proteins are const</w:t>
      </w:r>
      <w:r>
        <w:t>ant across contexts.</w:t>
      </w:r>
      <w:hyperlink r:id="rId33" w:history="1">
        <w:r>
          <w:rPr>
            <w:color w:val="087B78"/>
            <w:sz w:val="18"/>
            <w:szCs w:val="18"/>
          </w:rPr>
          <w:t xml:space="preserve"> [4]</w:t>
        </w:r>
      </w:hyperlink>
      <w:hyperlink r:id="rId34" w:history="1">
        <w:r>
          <w:rPr>
            <w:color w:val="087B78"/>
            <w:sz w:val="18"/>
            <w:szCs w:val="18"/>
          </w:rPr>
          <w:t xml:space="preserve"> [5]</w:t>
        </w:r>
      </w:hyperlink>
    </w:p>
    <w:p w14:paraId="4620555F" w14:textId="77777777" w:rsidR="00803C0E" w:rsidRDefault="00FC2A78">
      <w:pPr>
        <w:pStyle w:val="Heading1"/>
      </w:pPr>
      <w:bookmarkStart w:id="7" w:name="_Toc242668400"/>
      <w:r>
        <w:t>7. Cell populations, stress and TDP-43 regulation</w:t>
      </w:r>
      <w:bookmarkEnd w:id="7"/>
    </w:p>
    <w:p w14:paraId="61780A02" w14:textId="4053E4BD" w:rsidR="00803C0E" w:rsidRDefault="00FC2A78">
      <w:r>
        <w:t>Nakagawa and colleagues found prominent paraspeckles in selected mouse cell populations, and the studied Neat1-null mice did not establish a universal requirement for visible paraspeckles in viability. This places the body in a physiological context: baseline abundance and necessity vary. A result from an immortalized line with abundant bodies should not be transferred directly to an unstressed tissue in which the long isoform and its assembly are less prominent. Absence of an overt phenotype in one setting</w:t>
      </w:r>
      <w:r>
        <w:t xml:space="preserve"> also does not rule out a conditional requirement under another stress.</w:t>
      </w:r>
      <w:hyperlink r:id="rId35" w:history="1">
        <w:r>
          <w:rPr>
            <w:color w:val="087B78"/>
            <w:sz w:val="18"/>
            <w:szCs w:val="18"/>
          </w:rPr>
          <w:t xml:space="preserve"> [4]</w:t>
        </w:r>
      </w:hyperlink>
    </w:p>
    <w:p w14:paraId="5524C92A" w14:textId="21DD8B0A" w:rsidR="00803C0E" w:rsidRDefault="00FC2A78">
      <w:r>
        <w:t>Hodgson and colleagues supplied a mechanistic stress example in 2026. TDP-43 suppressed condensation of NEAT1_2 RNPs in a concentration-dependent manner requiring its polymerization and RNA binding, with core proteins such as FUS counterbalancing that effect. NEAT1 UG-repeat regions mediated regulation at different stages. At lower concentrations TDP-43 could enter paraspeckles as non-liquid clusters, showing that recruitment and disruption are not mutually exclusive behaviors. The study connects those mole</w:t>
      </w:r>
      <w:r>
        <w:t>cular properties to context-dependent architecture rather than one fixed TDP-43 role.</w:t>
      </w:r>
      <w:hyperlink r:id="rId36" w:history="1">
        <w:r>
          <w:rPr>
            <w:color w:val="087B78"/>
            <w:sz w:val="18"/>
            <w:szCs w:val="18"/>
          </w:rPr>
          <w:t xml:space="preserve"> [5]</w:t>
        </w:r>
      </w:hyperlink>
    </w:p>
    <w:p w14:paraId="7F46334F" w14:textId="6673ACCF" w:rsidR="00803C0E" w:rsidRDefault="00FC2A78">
      <w:r>
        <w:t>The same study linked alteration of a NEAT1 3′ UG repeat to greater stability and cytoprotection in stressed human neurons and reported a repeat-length association with ALS survival. The neuronal perturbation and patient association are different forms of evidence. Together they motivate a biological connection; they do not establish an effective human therapy or show that repeat length determines an individual outcome. Disease interpretation must preserve the distinction between a controlled cellular inter</w:t>
      </w:r>
      <w:r>
        <w:t>vention and an observational clinical relationship.</w:t>
      </w:r>
      <w:hyperlink r:id="rId37" w:history="1">
        <w:r>
          <w:rPr>
            <w:color w:val="087B78"/>
            <w:sz w:val="18"/>
            <w:szCs w:val="18"/>
          </w:rPr>
          <w:t xml:space="preserve"> [5]</w:t>
        </w:r>
      </w:hyperlink>
    </w:p>
    <w:p w14:paraId="432B62D9" w14:textId="77777777" w:rsidR="00803C0E" w:rsidRDefault="00FC2A78">
      <w:pPr>
        <w:pStyle w:val="Heading1"/>
      </w:pPr>
      <w:bookmarkStart w:id="8" w:name="_Toc242668401"/>
      <w:r>
        <w:lastRenderedPageBreak/>
        <w:t>8. Comparing the evidence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3C0E" w14:paraId="7AA7BFD7"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727BF020" w14:textId="77777777" w:rsidR="00803C0E" w:rsidRDefault="00FC2A78">
            <w:pPr>
              <w:spacing w:after="50" w:line="255" w:lineRule="auto"/>
            </w:pPr>
            <w:r>
              <w:rPr>
                <w:b/>
                <w:bCs/>
                <w:color w:val="173B4C"/>
                <w:sz w:val="19"/>
                <w:szCs w:val="19"/>
              </w:rPr>
              <w:t>Question</w:t>
            </w:r>
          </w:p>
        </w:tc>
        <w:tc>
          <w:tcPr>
            <w:tcW w:w="3120" w:type="dxa"/>
            <w:shd w:val="clear" w:color="auto" w:fill="EAF3F3"/>
            <w:tcMar>
              <w:top w:w="105" w:type="dxa"/>
              <w:left w:w="125" w:type="dxa"/>
              <w:bottom w:w="105" w:type="dxa"/>
              <w:right w:w="125" w:type="dxa"/>
            </w:tcMar>
          </w:tcPr>
          <w:p w14:paraId="17B7FEE7" w14:textId="77777777" w:rsidR="00803C0E" w:rsidRDefault="00FC2A78">
            <w:pPr>
              <w:spacing w:after="50" w:line="255" w:lineRule="auto"/>
            </w:pPr>
            <w:r>
              <w:rPr>
                <w:b/>
                <w:bCs/>
                <w:color w:val="173B4C"/>
                <w:sz w:val="19"/>
                <w:szCs w:val="19"/>
              </w:rPr>
              <w:t>Relevant experiment</w:t>
            </w:r>
          </w:p>
        </w:tc>
        <w:tc>
          <w:tcPr>
            <w:tcW w:w="3120" w:type="dxa"/>
            <w:shd w:val="clear" w:color="auto" w:fill="EAF3F3"/>
            <w:tcMar>
              <w:top w:w="105" w:type="dxa"/>
              <w:left w:w="125" w:type="dxa"/>
              <w:bottom w:w="105" w:type="dxa"/>
              <w:right w:w="125" w:type="dxa"/>
            </w:tcMar>
          </w:tcPr>
          <w:p w14:paraId="08BAA064" w14:textId="77777777" w:rsidR="00803C0E" w:rsidRDefault="00FC2A78">
            <w:pPr>
              <w:spacing w:after="50" w:line="255" w:lineRule="auto"/>
            </w:pPr>
            <w:r>
              <w:rPr>
                <w:b/>
                <w:bCs/>
                <w:color w:val="173B4C"/>
                <w:sz w:val="19"/>
                <w:szCs w:val="19"/>
              </w:rPr>
              <w:t>Interpretive boundary</w:t>
            </w:r>
          </w:p>
        </w:tc>
      </w:tr>
      <w:tr w:rsidR="00803C0E" w14:paraId="6324102C" w14:textId="77777777">
        <w:tblPrEx>
          <w:tblCellMar>
            <w:top w:w="0" w:type="dxa"/>
            <w:bottom w:w="0" w:type="dxa"/>
          </w:tblCellMar>
        </w:tblPrEx>
        <w:trPr>
          <w:cantSplit/>
        </w:trPr>
        <w:tc>
          <w:tcPr>
            <w:tcW w:w="3120" w:type="dxa"/>
            <w:tcMar>
              <w:top w:w="105" w:type="dxa"/>
              <w:left w:w="125" w:type="dxa"/>
              <w:bottom w:w="105" w:type="dxa"/>
              <w:right w:w="125" w:type="dxa"/>
            </w:tcMar>
          </w:tcPr>
          <w:p w14:paraId="10779F0F" w14:textId="77777777" w:rsidR="00803C0E" w:rsidRDefault="00FC2A78">
            <w:pPr>
              <w:spacing w:after="50" w:line="255" w:lineRule="auto"/>
            </w:pPr>
            <w:r>
              <w:rPr>
                <w:sz w:val="19"/>
                <w:szCs w:val="19"/>
              </w:rPr>
              <w:t>What constructs the body?</w:t>
            </w:r>
          </w:p>
        </w:tc>
        <w:tc>
          <w:tcPr>
            <w:tcW w:w="3120" w:type="dxa"/>
            <w:tcMar>
              <w:top w:w="105" w:type="dxa"/>
              <w:left w:w="125" w:type="dxa"/>
              <w:bottom w:w="105" w:type="dxa"/>
              <w:right w:w="125" w:type="dxa"/>
            </w:tcMar>
          </w:tcPr>
          <w:p w14:paraId="581DB0FB" w14:textId="77777777" w:rsidR="00803C0E" w:rsidRDefault="00FC2A78">
            <w:pPr>
              <w:spacing w:after="50" w:line="255" w:lineRule="auto"/>
            </w:pPr>
            <w:r>
              <w:rPr>
                <w:sz w:val="19"/>
                <w:szCs w:val="19"/>
              </w:rPr>
              <w:t>NEAT1 depletion, isoform selection and protein screening</w:t>
            </w:r>
          </w:p>
        </w:tc>
        <w:tc>
          <w:tcPr>
            <w:tcW w:w="3120" w:type="dxa"/>
            <w:tcMar>
              <w:top w:w="105" w:type="dxa"/>
              <w:left w:w="125" w:type="dxa"/>
              <w:bottom w:w="105" w:type="dxa"/>
              <w:right w:w="125" w:type="dxa"/>
            </w:tcMar>
          </w:tcPr>
          <w:p w14:paraId="061B5F4F" w14:textId="79D6802D" w:rsidR="00803C0E" w:rsidRDefault="00FC2A78">
            <w:pPr>
              <w:spacing w:after="50" w:line="255" w:lineRule="auto"/>
            </w:pPr>
            <w:r>
              <w:rPr>
                <w:sz w:val="19"/>
                <w:szCs w:val="19"/>
              </w:rPr>
              <w:t>Architecture depends on a specific RNA/protein system; total NEAT1 and long-isoform abundance are different readouts.</w:t>
            </w:r>
            <w:hyperlink r:id="rId38" w:history="1">
              <w:r>
                <w:rPr>
                  <w:color w:val="087B78"/>
                  <w:sz w:val="18"/>
                  <w:szCs w:val="18"/>
                </w:rPr>
                <w:t xml:space="preserve"> [1]</w:t>
              </w:r>
            </w:hyperlink>
            <w:hyperlink r:id="rId39" w:history="1">
              <w:r>
                <w:rPr>
                  <w:color w:val="087B78"/>
                  <w:sz w:val="18"/>
                  <w:szCs w:val="18"/>
                </w:rPr>
                <w:t xml:space="preserve"> [2]</w:t>
              </w:r>
            </w:hyperlink>
          </w:p>
        </w:tc>
      </w:tr>
      <w:tr w:rsidR="00803C0E" w14:paraId="0F54B212" w14:textId="77777777">
        <w:tblPrEx>
          <w:tblCellMar>
            <w:top w:w="0" w:type="dxa"/>
            <w:bottom w:w="0" w:type="dxa"/>
          </w:tblCellMar>
        </w:tblPrEx>
        <w:trPr>
          <w:cantSplit/>
        </w:trPr>
        <w:tc>
          <w:tcPr>
            <w:tcW w:w="3120" w:type="dxa"/>
            <w:tcMar>
              <w:top w:w="105" w:type="dxa"/>
              <w:left w:w="125" w:type="dxa"/>
              <w:bottom w:w="105" w:type="dxa"/>
              <w:right w:w="125" w:type="dxa"/>
            </w:tcMar>
          </w:tcPr>
          <w:p w14:paraId="798D43D8" w14:textId="77777777" w:rsidR="00803C0E" w:rsidRDefault="00FC2A78">
            <w:pPr>
              <w:spacing w:after="50" w:line="255" w:lineRule="auto"/>
            </w:pPr>
            <w:r>
              <w:rPr>
                <w:sz w:val="19"/>
                <w:szCs w:val="19"/>
              </w:rPr>
              <w:t>Where are RNA regions arranged?</w:t>
            </w:r>
          </w:p>
        </w:tc>
        <w:tc>
          <w:tcPr>
            <w:tcW w:w="3120" w:type="dxa"/>
            <w:tcMar>
              <w:top w:w="105" w:type="dxa"/>
              <w:left w:w="125" w:type="dxa"/>
              <w:bottom w:w="105" w:type="dxa"/>
              <w:right w:w="125" w:type="dxa"/>
            </w:tcMar>
          </w:tcPr>
          <w:p w14:paraId="3B70A9D5" w14:textId="77777777" w:rsidR="00803C0E" w:rsidRDefault="00FC2A78">
            <w:pPr>
              <w:spacing w:after="50" w:line="255" w:lineRule="auto"/>
            </w:pPr>
            <w:r>
              <w:rPr>
                <w:sz w:val="19"/>
                <w:szCs w:val="19"/>
              </w:rPr>
              <w:t>Domain-specific EM mapping and 3D super-resolution</w:t>
            </w:r>
          </w:p>
        </w:tc>
        <w:tc>
          <w:tcPr>
            <w:tcW w:w="3120" w:type="dxa"/>
            <w:tcMar>
              <w:top w:w="105" w:type="dxa"/>
              <w:left w:w="125" w:type="dxa"/>
              <w:bottom w:w="105" w:type="dxa"/>
              <w:right w:w="125" w:type="dxa"/>
            </w:tcMar>
          </w:tcPr>
          <w:p w14:paraId="6C302DAA" w14:textId="598DBA0A" w:rsidR="00803C0E" w:rsidRDefault="00FC2A78">
            <w:pPr>
              <w:spacing w:after="50" w:line="255" w:lineRule="auto"/>
            </w:pPr>
            <w:r>
              <w:rPr>
                <w:sz w:val="19"/>
                <w:szCs w:val="19"/>
              </w:rPr>
              <w:t>Labeled-domain positions establish organization; they do not by themselves prove bulk phase coexistence.</w:t>
            </w:r>
            <w:hyperlink r:id="rId40" w:history="1">
              <w:r>
                <w:rPr>
                  <w:color w:val="087B78"/>
                  <w:sz w:val="18"/>
                  <w:szCs w:val="18"/>
                </w:rPr>
                <w:t xml:space="preserve"> [3]</w:t>
              </w:r>
            </w:hyperlink>
            <w:hyperlink r:id="rId41" w:history="1">
              <w:r>
                <w:rPr>
                  <w:color w:val="087B78"/>
                  <w:sz w:val="18"/>
                  <w:szCs w:val="18"/>
                </w:rPr>
                <w:t xml:space="preserve"> [6]</w:t>
              </w:r>
            </w:hyperlink>
          </w:p>
        </w:tc>
      </w:tr>
      <w:tr w:rsidR="00803C0E" w14:paraId="5164308B" w14:textId="77777777">
        <w:tblPrEx>
          <w:tblCellMar>
            <w:top w:w="0" w:type="dxa"/>
            <w:bottom w:w="0" w:type="dxa"/>
          </w:tblCellMar>
        </w:tblPrEx>
        <w:trPr>
          <w:cantSplit/>
        </w:trPr>
        <w:tc>
          <w:tcPr>
            <w:tcW w:w="3120" w:type="dxa"/>
            <w:tcMar>
              <w:top w:w="105" w:type="dxa"/>
              <w:left w:w="125" w:type="dxa"/>
              <w:bottom w:w="105" w:type="dxa"/>
              <w:right w:w="125" w:type="dxa"/>
            </w:tcMar>
          </w:tcPr>
          <w:p w14:paraId="3F4011D0" w14:textId="77777777" w:rsidR="00803C0E" w:rsidRDefault="00FC2A78">
            <w:pPr>
              <w:spacing w:after="50" w:line="255" w:lineRule="auto"/>
            </w:pPr>
            <w:r>
              <w:rPr>
                <w:sz w:val="19"/>
                <w:szCs w:val="19"/>
              </w:rPr>
              <w:t>Why is assembly finite and ordered?</w:t>
            </w:r>
          </w:p>
        </w:tc>
        <w:tc>
          <w:tcPr>
            <w:tcW w:w="3120" w:type="dxa"/>
            <w:tcMar>
              <w:top w:w="105" w:type="dxa"/>
              <w:left w:w="125" w:type="dxa"/>
              <w:bottom w:w="105" w:type="dxa"/>
              <w:right w:w="125" w:type="dxa"/>
            </w:tcMar>
          </w:tcPr>
          <w:p w14:paraId="17F83806" w14:textId="77777777" w:rsidR="00803C0E" w:rsidRDefault="00FC2A78">
            <w:pPr>
              <w:spacing w:after="50" w:line="255" w:lineRule="auto"/>
            </w:pPr>
            <w:r>
              <w:rPr>
                <w:sz w:val="19"/>
                <w:szCs w:val="19"/>
              </w:rPr>
              <w:t>Scaffold-domain manipulations and block-copolymer model</w:t>
            </w:r>
          </w:p>
        </w:tc>
        <w:tc>
          <w:tcPr>
            <w:tcW w:w="3120" w:type="dxa"/>
            <w:tcMar>
              <w:top w:w="105" w:type="dxa"/>
              <w:left w:w="125" w:type="dxa"/>
              <w:bottom w:w="105" w:type="dxa"/>
              <w:right w:w="125" w:type="dxa"/>
            </w:tcMar>
          </w:tcPr>
          <w:p w14:paraId="288A0164" w14:textId="4CE7474E" w:rsidR="00803C0E" w:rsidRDefault="00FC2A78">
            <w:pPr>
              <w:spacing w:after="50" w:line="255" w:lineRule="auto"/>
            </w:pPr>
            <w:r>
              <w:rPr>
                <w:sz w:val="19"/>
                <w:szCs w:val="19"/>
              </w:rPr>
              <w:t>Micellization is an experimentally motivated model with specific predictions, not a universal label for all nuclear bodies.</w:t>
            </w:r>
            <w:hyperlink r:id="rId42" w:history="1">
              <w:r>
                <w:rPr>
                  <w:color w:val="087B78"/>
                  <w:sz w:val="18"/>
                  <w:szCs w:val="18"/>
                </w:rPr>
                <w:t xml:space="preserve"> [7]</w:t>
              </w:r>
            </w:hyperlink>
          </w:p>
        </w:tc>
      </w:tr>
      <w:tr w:rsidR="00803C0E" w14:paraId="7E9AEFE3" w14:textId="77777777">
        <w:tblPrEx>
          <w:tblCellMar>
            <w:top w:w="0" w:type="dxa"/>
            <w:bottom w:w="0" w:type="dxa"/>
          </w:tblCellMar>
        </w:tblPrEx>
        <w:trPr>
          <w:cantSplit/>
        </w:trPr>
        <w:tc>
          <w:tcPr>
            <w:tcW w:w="3120" w:type="dxa"/>
            <w:tcMar>
              <w:top w:w="105" w:type="dxa"/>
              <w:left w:w="125" w:type="dxa"/>
              <w:bottom w:w="105" w:type="dxa"/>
              <w:right w:w="125" w:type="dxa"/>
            </w:tcMar>
          </w:tcPr>
          <w:p w14:paraId="0BA72ED3" w14:textId="77777777" w:rsidR="00803C0E" w:rsidRDefault="00FC2A78">
            <w:pPr>
              <w:spacing w:after="50" w:line="255" w:lineRule="auto"/>
            </w:pPr>
            <w:r>
              <w:rPr>
                <w:sz w:val="19"/>
                <w:szCs w:val="19"/>
              </w:rPr>
              <w:t>Can a transcript be retained and released?</w:t>
            </w:r>
          </w:p>
        </w:tc>
        <w:tc>
          <w:tcPr>
            <w:tcW w:w="3120" w:type="dxa"/>
            <w:tcMar>
              <w:top w:w="105" w:type="dxa"/>
              <w:left w:w="125" w:type="dxa"/>
              <w:bottom w:w="105" w:type="dxa"/>
              <w:right w:w="125" w:type="dxa"/>
            </w:tcMar>
          </w:tcPr>
          <w:p w14:paraId="27BBFE77" w14:textId="77777777" w:rsidR="00803C0E" w:rsidRDefault="00FC2A78">
            <w:pPr>
              <w:spacing w:after="50" w:line="255" w:lineRule="auto"/>
            </w:pPr>
            <w:r>
              <w:rPr>
                <w:sz w:val="19"/>
                <w:szCs w:val="19"/>
              </w:rPr>
              <w:t>Mouse CTN-RNA localization and stress-dependent processing</w:t>
            </w:r>
          </w:p>
        </w:tc>
        <w:tc>
          <w:tcPr>
            <w:tcW w:w="3120" w:type="dxa"/>
            <w:tcMar>
              <w:top w:w="105" w:type="dxa"/>
              <w:left w:w="125" w:type="dxa"/>
              <w:bottom w:w="105" w:type="dxa"/>
              <w:right w:w="125" w:type="dxa"/>
            </w:tcMar>
          </w:tcPr>
          <w:p w14:paraId="721DDC57" w14:textId="317E50E4" w:rsidR="00803C0E" w:rsidRDefault="00FC2A78">
            <w:pPr>
              <w:spacing w:after="50" w:line="255" w:lineRule="auto"/>
            </w:pPr>
            <w:r>
              <w:rPr>
                <w:sz w:val="19"/>
                <w:szCs w:val="19"/>
              </w:rPr>
              <w:t>A defined RNA example does not establish a general storage pathway for every edited transcript.</w:t>
            </w:r>
            <w:hyperlink r:id="rId43" w:history="1">
              <w:r>
                <w:rPr>
                  <w:color w:val="087B78"/>
                  <w:sz w:val="18"/>
                  <w:szCs w:val="18"/>
                </w:rPr>
                <w:t xml:space="preserve"> [8]</w:t>
              </w:r>
            </w:hyperlink>
          </w:p>
        </w:tc>
      </w:tr>
      <w:tr w:rsidR="00803C0E" w14:paraId="41C1396F" w14:textId="77777777">
        <w:tblPrEx>
          <w:tblCellMar>
            <w:top w:w="0" w:type="dxa"/>
            <w:bottom w:w="0" w:type="dxa"/>
          </w:tblCellMar>
        </w:tblPrEx>
        <w:trPr>
          <w:cantSplit/>
        </w:trPr>
        <w:tc>
          <w:tcPr>
            <w:tcW w:w="3120" w:type="dxa"/>
            <w:tcMar>
              <w:top w:w="105" w:type="dxa"/>
              <w:left w:w="125" w:type="dxa"/>
              <w:bottom w:w="105" w:type="dxa"/>
              <w:right w:w="125" w:type="dxa"/>
            </w:tcMar>
          </w:tcPr>
          <w:p w14:paraId="18F1C217" w14:textId="77777777" w:rsidR="00803C0E" w:rsidRDefault="00FC2A78">
            <w:pPr>
              <w:spacing w:after="50" w:line="255" w:lineRule="auto"/>
            </w:pPr>
            <w:r>
              <w:rPr>
                <w:sz w:val="19"/>
                <w:szCs w:val="19"/>
              </w:rPr>
              <w:t>Can protein redistribution regulate transcription?</w:t>
            </w:r>
          </w:p>
        </w:tc>
        <w:tc>
          <w:tcPr>
            <w:tcW w:w="3120" w:type="dxa"/>
            <w:tcMar>
              <w:top w:w="105" w:type="dxa"/>
              <w:left w:w="125" w:type="dxa"/>
              <w:bottom w:w="105" w:type="dxa"/>
              <w:right w:w="125" w:type="dxa"/>
            </w:tcMar>
          </w:tcPr>
          <w:p w14:paraId="0DAFB21E" w14:textId="77777777" w:rsidR="00803C0E" w:rsidRDefault="00FC2A78">
            <w:pPr>
              <w:spacing w:after="50" w:line="255" w:lineRule="auto"/>
            </w:pPr>
            <w:r>
              <w:rPr>
                <w:sz w:val="19"/>
                <w:szCs w:val="19"/>
              </w:rPr>
              <w:t>SFPQ/IL8 promoter and NEAT1 response experiments</w:t>
            </w:r>
          </w:p>
        </w:tc>
        <w:tc>
          <w:tcPr>
            <w:tcW w:w="3120" w:type="dxa"/>
            <w:tcMar>
              <w:top w:w="105" w:type="dxa"/>
              <w:left w:w="125" w:type="dxa"/>
              <w:bottom w:w="105" w:type="dxa"/>
              <w:right w:w="125" w:type="dxa"/>
            </w:tcMar>
          </w:tcPr>
          <w:p w14:paraId="2850E07F" w14:textId="42605DAF" w:rsidR="00803C0E" w:rsidRDefault="00FC2A78">
            <w:pPr>
              <w:spacing w:after="50" w:line="255" w:lineRule="auto"/>
            </w:pPr>
            <w:r>
              <w:rPr>
                <w:sz w:val="19"/>
                <w:szCs w:val="19"/>
              </w:rPr>
              <w:t>The direction and magnitude of regulation depend on the target protein, promoter and stimulus.</w:t>
            </w:r>
            <w:hyperlink r:id="rId44" w:history="1">
              <w:r>
                <w:rPr>
                  <w:color w:val="087B78"/>
                  <w:sz w:val="18"/>
                  <w:szCs w:val="18"/>
                </w:rPr>
                <w:t xml:space="preserve"> [9]</w:t>
              </w:r>
            </w:hyperlink>
          </w:p>
        </w:tc>
      </w:tr>
      <w:tr w:rsidR="00803C0E" w14:paraId="4946D9BC" w14:textId="77777777">
        <w:tblPrEx>
          <w:tblCellMar>
            <w:top w:w="0" w:type="dxa"/>
            <w:bottom w:w="0" w:type="dxa"/>
          </w:tblCellMar>
        </w:tblPrEx>
        <w:trPr>
          <w:cantSplit/>
        </w:trPr>
        <w:tc>
          <w:tcPr>
            <w:tcW w:w="3120" w:type="dxa"/>
            <w:tcMar>
              <w:top w:w="105" w:type="dxa"/>
              <w:left w:w="125" w:type="dxa"/>
              <w:bottom w:w="105" w:type="dxa"/>
              <w:right w:w="125" w:type="dxa"/>
            </w:tcMar>
          </w:tcPr>
          <w:p w14:paraId="2CC5343D" w14:textId="77777777" w:rsidR="00803C0E" w:rsidRDefault="00FC2A78">
            <w:pPr>
              <w:spacing w:after="50" w:line="255" w:lineRule="auto"/>
            </w:pPr>
            <w:r>
              <w:rPr>
                <w:sz w:val="19"/>
                <w:szCs w:val="19"/>
              </w:rPr>
              <w:t>Does assembly matter in disease-related stress?</w:t>
            </w:r>
          </w:p>
        </w:tc>
        <w:tc>
          <w:tcPr>
            <w:tcW w:w="3120" w:type="dxa"/>
            <w:tcMar>
              <w:top w:w="105" w:type="dxa"/>
              <w:left w:w="125" w:type="dxa"/>
              <w:bottom w:w="105" w:type="dxa"/>
              <w:right w:w="125" w:type="dxa"/>
            </w:tcMar>
          </w:tcPr>
          <w:p w14:paraId="2471C4A1" w14:textId="77777777" w:rsidR="00803C0E" w:rsidRDefault="00FC2A78">
            <w:pPr>
              <w:spacing w:after="50" w:line="255" w:lineRule="auto"/>
            </w:pPr>
            <w:r>
              <w:rPr>
                <w:sz w:val="19"/>
                <w:szCs w:val="19"/>
              </w:rPr>
              <w:t>TDP-43/NEAT1 manipulations in stressed neurons and patient association</w:t>
            </w:r>
          </w:p>
        </w:tc>
        <w:tc>
          <w:tcPr>
            <w:tcW w:w="3120" w:type="dxa"/>
            <w:tcMar>
              <w:top w:w="105" w:type="dxa"/>
              <w:left w:w="125" w:type="dxa"/>
              <w:bottom w:w="105" w:type="dxa"/>
              <w:right w:w="125" w:type="dxa"/>
            </w:tcMar>
          </w:tcPr>
          <w:p w14:paraId="3B911E5E" w14:textId="67CF1E92" w:rsidR="00803C0E" w:rsidRDefault="00FC2A78">
            <w:pPr>
              <w:spacing w:after="50" w:line="255" w:lineRule="auto"/>
            </w:pPr>
            <w:r>
              <w:rPr>
                <w:sz w:val="19"/>
                <w:szCs w:val="19"/>
              </w:rPr>
              <w:t>Cellular protection and observational survival association are distinct; therapeutic efficacy remains unestablished.</w:t>
            </w:r>
            <w:hyperlink r:id="rId45" w:history="1">
              <w:r>
                <w:rPr>
                  <w:color w:val="087B78"/>
                  <w:sz w:val="18"/>
                  <w:szCs w:val="18"/>
                </w:rPr>
                <w:t xml:space="preserve"> [5]</w:t>
              </w:r>
            </w:hyperlink>
          </w:p>
        </w:tc>
      </w:tr>
    </w:tbl>
    <w:p w14:paraId="3E1BD61E" w14:textId="77777777" w:rsidR="00803C0E" w:rsidRDefault="00803C0E">
      <w:pPr>
        <w:spacing w:after="170"/>
      </w:pPr>
    </w:p>
    <w:p w14:paraId="4CF2080D" w14:textId="1362EACF" w:rsidR="00803C0E" w:rsidRDefault="00FC2A78">
      <w:r>
        <w:t xml:space="preserve">These studies are strongest when read as a connected set of questions: which RNA is produced, which interactions organize it, how components are arranged, what substrate is regulated and under which condition that regulation matters. No single assay covers the whole chain. Combining isoform-specific RNA measurements with spatial mapping, controlled protein perturbations and a defined functional output can test the link between architecture and biological effect while retaining alternatives involving direct </w:t>
      </w:r>
      <w:r>
        <w:t>RNA or protein functions.</w:t>
      </w:r>
      <w:hyperlink r:id="rId46" w:history="1">
        <w:r>
          <w:rPr>
            <w:color w:val="087B78"/>
            <w:sz w:val="18"/>
            <w:szCs w:val="18"/>
          </w:rPr>
          <w:t xml:space="preserve"> [2]</w:t>
        </w:r>
      </w:hyperlink>
      <w:hyperlink r:id="rId47" w:history="1">
        <w:r>
          <w:rPr>
            <w:color w:val="087B78"/>
            <w:sz w:val="18"/>
            <w:szCs w:val="18"/>
          </w:rPr>
          <w:t xml:space="preserve"> [3]</w:t>
        </w:r>
      </w:hyperlink>
      <w:hyperlink r:id="rId48" w:history="1">
        <w:r>
          <w:rPr>
            <w:color w:val="087B78"/>
            <w:sz w:val="18"/>
            <w:szCs w:val="18"/>
          </w:rPr>
          <w:t xml:space="preserve"> [9]</w:t>
        </w:r>
      </w:hyperlink>
      <w:hyperlink r:id="rId49" w:history="1">
        <w:r>
          <w:rPr>
            <w:color w:val="087B78"/>
            <w:sz w:val="18"/>
            <w:szCs w:val="18"/>
          </w:rPr>
          <w:t xml:space="preserve"> [5]</w:t>
        </w:r>
      </w:hyperlink>
    </w:p>
    <w:p w14:paraId="7C2BBBAD" w14:textId="77777777" w:rsidR="00803C0E" w:rsidRDefault="00FC2A78">
      <w:pPr>
        <w:pStyle w:val="Heading1"/>
      </w:pPr>
      <w:bookmarkStart w:id="9" w:name="_Toc242668402"/>
      <w:r>
        <w:t>9. Interpreting perturbations of an architectural RNA</w:t>
      </w:r>
      <w:bookmarkEnd w:id="9"/>
    </w:p>
    <w:p w14:paraId="34CBDDB3" w14:textId="53EC3934" w:rsidR="00803C0E" w:rsidRDefault="00FC2A78">
      <w:r>
        <w:t xml:space="preserve">An architectural-RNA knockout is a powerful necessity test, but it is not an architecture-only intervention. Removing NEAT1_2 changes RNA binding and the distribution of proteins as well as the visible body. A complementary domain edit can preserve transcription while changing a particular interaction, and a matched rescue can test whether the relevant molecular feature restores the phenotype. The isoform-processing and UG-repeat experiments show why such </w:t>
      </w:r>
      <w:r>
        <w:lastRenderedPageBreak/>
        <w:t>specificity matters. A causal statement should name the edited region or lost interaction rather than substitute the broader label of paraspeckle loss.</w:t>
      </w:r>
      <w:hyperlink r:id="rId50" w:history="1">
        <w:r>
          <w:rPr>
            <w:color w:val="087B78"/>
            <w:sz w:val="18"/>
            <w:szCs w:val="18"/>
          </w:rPr>
          <w:t xml:space="preserve"> [2]</w:t>
        </w:r>
      </w:hyperlink>
      <w:hyperlink r:id="rId51" w:history="1">
        <w:r>
          <w:rPr>
            <w:color w:val="087B78"/>
            <w:sz w:val="18"/>
            <w:szCs w:val="18"/>
          </w:rPr>
          <w:t xml:space="preserve"> [5]</w:t>
        </w:r>
      </w:hyperlink>
    </w:p>
    <w:p w14:paraId="0C04EDA1" w14:textId="7BCAB1CF" w:rsidR="00803C0E" w:rsidRDefault="00FC2A78">
      <w:r>
        <w:t>A second issue is the endpoint. RNA localization, promoter occupancy, body stability and neuronal injury are different outputs; improvement in one does not logically guarantee improvement in another. A useful mechanistic chain establishes the perturbation, verifies the intended RNA or protein change and follows the proposed downstream substrate. It then checks the functional outcome in the same context. This approach connects the well-supported architectural role of NEAT1 to a particular biological effect w</w:t>
      </w:r>
      <w:r>
        <w:t>ithout presuming that every NEAT1-associated phenotype shares one explanation.</w:t>
      </w:r>
      <w:hyperlink r:id="rId52" w:history="1">
        <w:r>
          <w:rPr>
            <w:color w:val="087B78"/>
            <w:sz w:val="18"/>
            <w:szCs w:val="18"/>
          </w:rPr>
          <w:t xml:space="preserve"> [1]</w:t>
        </w:r>
      </w:hyperlink>
      <w:hyperlink r:id="rId53" w:history="1">
        <w:r>
          <w:rPr>
            <w:color w:val="087B78"/>
            <w:sz w:val="18"/>
            <w:szCs w:val="18"/>
          </w:rPr>
          <w:t xml:space="preserve"> [9]</w:t>
        </w:r>
      </w:hyperlink>
      <w:hyperlink r:id="rId54" w:history="1">
        <w:r>
          <w:rPr>
            <w:color w:val="087B78"/>
            <w:sz w:val="18"/>
            <w:szCs w:val="18"/>
          </w:rPr>
          <w:t xml:space="preserve"> [5]</w:t>
        </w:r>
      </w:hyperlink>
    </w:p>
    <w:p w14:paraId="341CE58C" w14:textId="77777777" w:rsidR="00803C0E" w:rsidRDefault="00FC2A78">
      <w:pPr>
        <w:pStyle w:val="Heading1"/>
      </w:pPr>
      <w:bookmarkStart w:id="10" w:name="_Toc242668403"/>
      <w:r>
        <w:t>10. Synthesis and priorities</w:t>
      </w:r>
      <w:bookmarkEnd w:id="10"/>
    </w:p>
    <w:p w14:paraId="539EFE34" w14:textId="0F1FCAD9" w:rsidR="00803C0E" w:rsidRDefault="00FC2A78">
      <w:r>
        <w:t>The current model treats paraspeckles as ordered, regulated assemblies whose architectural RNA is also subject to gene-expression control. Their influence on an RNA or protein pool depends on the scaffold, binding partners and physiological setting. The most defensible generalization is therefore conditional organization, with multiple possible functions arising from particular substrates. This accounts for core–periphery structure, finite assembly and stress-dependent changes without requiring every body t</w:t>
      </w:r>
      <w:r>
        <w:t>o behave as one homogeneous liquid or every phenotype to originate from RNA retention.</w:t>
      </w:r>
      <w:hyperlink r:id="rId55" w:history="1">
        <w:r>
          <w:rPr>
            <w:color w:val="087B78"/>
            <w:sz w:val="18"/>
            <w:szCs w:val="18"/>
          </w:rPr>
          <w:t xml:space="preserve"> [7]</w:t>
        </w:r>
      </w:hyperlink>
      <w:hyperlink r:id="rId56" w:history="1">
        <w:r>
          <w:rPr>
            <w:color w:val="087B78"/>
            <w:sz w:val="18"/>
            <w:szCs w:val="18"/>
          </w:rPr>
          <w:t xml:space="preserve"> [2]</w:t>
        </w:r>
      </w:hyperlink>
      <w:hyperlink r:id="rId57" w:history="1">
        <w:r>
          <w:rPr>
            <w:color w:val="087B78"/>
            <w:sz w:val="18"/>
            <w:szCs w:val="18"/>
          </w:rPr>
          <w:t xml:space="preserve"> [3]</w:t>
        </w:r>
      </w:hyperlink>
      <w:hyperlink r:id="rId58" w:history="1">
        <w:r>
          <w:rPr>
            <w:color w:val="087B78"/>
            <w:sz w:val="18"/>
            <w:szCs w:val="18"/>
          </w:rPr>
          <w:t xml:space="preserve"> [5]</w:t>
        </w:r>
      </w:hyperlink>
    </w:p>
    <w:p w14:paraId="158B02A2" w14:textId="1800B666" w:rsidR="00803C0E" w:rsidRDefault="00FC2A78">
      <w:r>
        <w:t>Important open questions concern how many RNA molecules participate in a functional assembly, how different interaction networks alter its internal accessibility and which perturbations selectively change architecture while preserving direct scaffold and protein functions. RNA-domain editing, endogenous tagging and transcript-specific functional assays provide routes to resolve those questions. A disease-focused experiment should additionally demonstrate that the relevant molecular change precedes and modif</w:t>
      </w:r>
      <w:r>
        <w:t>ies a defined injury endpoint. Those requirements follow from the gap between structural association and causal function shown by the primary studies.</w:t>
      </w:r>
      <w:hyperlink r:id="rId59" w:history="1">
        <w:r>
          <w:rPr>
            <w:color w:val="087B78"/>
            <w:sz w:val="18"/>
            <w:szCs w:val="18"/>
          </w:rPr>
          <w:t xml:space="preserve"> [6]</w:t>
        </w:r>
      </w:hyperlink>
      <w:hyperlink r:id="rId60" w:history="1">
        <w:r>
          <w:rPr>
            <w:color w:val="087B78"/>
            <w:sz w:val="18"/>
            <w:szCs w:val="18"/>
          </w:rPr>
          <w:t xml:space="preserve"> [9]</w:t>
        </w:r>
      </w:hyperlink>
      <w:hyperlink r:id="rId61" w:history="1">
        <w:r>
          <w:rPr>
            <w:color w:val="087B78"/>
            <w:sz w:val="18"/>
            <w:szCs w:val="18"/>
          </w:rPr>
          <w:t xml:space="preserve"> [5]</w:t>
        </w:r>
      </w:hyperlink>
    </w:p>
    <w:p w14:paraId="10F0D05B" w14:textId="77777777" w:rsidR="00803C0E" w:rsidRDefault="00FC2A78">
      <w:pPr>
        <w:pStyle w:val="Heading1"/>
      </w:pPr>
      <w:bookmarkStart w:id="11" w:name="_Toc242668404"/>
      <w:r>
        <w:t>References</w:t>
      </w:r>
      <w:bookmarkEnd w:id="11"/>
    </w:p>
    <w:p w14:paraId="0175DBD3" w14:textId="436FF2C9" w:rsidR="00803C0E" w:rsidRDefault="00FC2A78">
      <w:pPr>
        <w:keepLines/>
        <w:spacing w:after="90" w:line="245" w:lineRule="auto"/>
      </w:pPr>
      <w:r>
        <w:rPr>
          <w:b/>
          <w:bCs/>
          <w:sz w:val="20"/>
          <w:szCs w:val="20"/>
        </w:rPr>
        <w:t xml:space="preserve">[1] Clemson et al. (2009). </w:t>
      </w:r>
      <w:r>
        <w:rPr>
          <w:sz w:val="20"/>
          <w:szCs w:val="20"/>
        </w:rPr>
        <w:t xml:space="preserve">An Architectural Role for a Nuclear Noncoding RNA: NEAT1 RNA Is Essential for the Structure of Paraspeckles. Molecular Cell. </w:t>
      </w:r>
      <w:hyperlink r:id="rId62" w:history="1">
        <w:r>
          <w:rPr>
            <w:color w:val="087B78"/>
            <w:sz w:val="20"/>
            <w:szCs w:val="20"/>
            <w:u w:val="single"/>
          </w:rPr>
          <w:t>10.1016/j.molcel.2009.01.026</w:t>
        </w:r>
      </w:hyperlink>
    </w:p>
    <w:p w14:paraId="217ED9F0" w14:textId="0350CAC4" w:rsidR="00803C0E" w:rsidRDefault="00FC2A78">
      <w:pPr>
        <w:keepLines/>
        <w:spacing w:after="90" w:line="245" w:lineRule="auto"/>
      </w:pPr>
      <w:r>
        <w:rPr>
          <w:b/>
          <w:bCs/>
          <w:sz w:val="20"/>
          <w:szCs w:val="20"/>
        </w:rPr>
        <w:t xml:space="preserve">[2] Naganuma et al. (2012). </w:t>
      </w:r>
      <w:r>
        <w:rPr>
          <w:sz w:val="20"/>
          <w:szCs w:val="20"/>
        </w:rPr>
        <w:t xml:space="preserve">Alternative 3′-end processing of long noncoding RNA initiates construction of nuclear paraspeckles. The EMBO Journal. </w:t>
      </w:r>
      <w:hyperlink r:id="rId63" w:history="1">
        <w:r>
          <w:rPr>
            <w:color w:val="087B78"/>
            <w:sz w:val="20"/>
            <w:szCs w:val="20"/>
            <w:u w:val="single"/>
          </w:rPr>
          <w:t>10.1038/emboj.2012.251</w:t>
        </w:r>
      </w:hyperlink>
    </w:p>
    <w:p w14:paraId="1A7B8D14" w14:textId="2FC2B0D5" w:rsidR="00803C0E" w:rsidRDefault="00FC2A78">
      <w:pPr>
        <w:keepLines/>
        <w:spacing w:after="90" w:line="245" w:lineRule="auto"/>
      </w:pPr>
      <w:r>
        <w:rPr>
          <w:b/>
          <w:bCs/>
          <w:sz w:val="20"/>
          <w:szCs w:val="20"/>
        </w:rPr>
        <w:t xml:space="preserve">[3] Souquere et al. (2010). </w:t>
      </w:r>
      <w:r>
        <w:rPr>
          <w:sz w:val="20"/>
          <w:szCs w:val="20"/>
        </w:rPr>
        <w:t xml:space="preserve">Highly Ordered Spatial Organization of the Structural Long Noncoding NEAT1 RNAs within Paraspeckle Nuclear Bodies. Molecular Biology of the Cell. </w:t>
      </w:r>
      <w:hyperlink r:id="rId64" w:history="1">
        <w:r>
          <w:rPr>
            <w:color w:val="087B78"/>
            <w:sz w:val="20"/>
            <w:szCs w:val="20"/>
            <w:u w:val="single"/>
          </w:rPr>
          <w:t>10.1091/mbc.E10-08-0690</w:t>
        </w:r>
      </w:hyperlink>
    </w:p>
    <w:p w14:paraId="10E002C9" w14:textId="29213103" w:rsidR="00803C0E" w:rsidRDefault="00FC2A78">
      <w:pPr>
        <w:keepLines/>
        <w:spacing w:after="90" w:line="245" w:lineRule="auto"/>
      </w:pPr>
      <w:r>
        <w:rPr>
          <w:b/>
          <w:bCs/>
          <w:sz w:val="20"/>
          <w:szCs w:val="20"/>
        </w:rPr>
        <w:t xml:space="preserve">[4] Nakagawa et al. (2011). </w:t>
      </w:r>
      <w:r>
        <w:rPr>
          <w:sz w:val="20"/>
          <w:szCs w:val="20"/>
        </w:rPr>
        <w:t xml:space="preserve">Paraspeckles are subpopulation-specific nuclear bodies that are not essential in mice. Journal of Cell Biology. </w:t>
      </w:r>
      <w:hyperlink r:id="rId65" w:history="1">
        <w:r>
          <w:rPr>
            <w:color w:val="087B78"/>
            <w:sz w:val="20"/>
            <w:szCs w:val="20"/>
            <w:u w:val="single"/>
          </w:rPr>
          <w:t>10.1083/jcb.201011110</w:t>
        </w:r>
      </w:hyperlink>
    </w:p>
    <w:p w14:paraId="7CD791ED" w14:textId="411F8CF0" w:rsidR="00803C0E" w:rsidRDefault="00FC2A78">
      <w:pPr>
        <w:keepLines/>
        <w:spacing w:after="90" w:line="245" w:lineRule="auto"/>
      </w:pPr>
      <w:r>
        <w:rPr>
          <w:b/>
          <w:bCs/>
          <w:sz w:val="20"/>
          <w:szCs w:val="20"/>
        </w:rPr>
        <w:t xml:space="preserve">[5] Hodgson et al. (2026). </w:t>
      </w:r>
      <w:r>
        <w:rPr>
          <w:sz w:val="20"/>
          <w:szCs w:val="20"/>
        </w:rPr>
        <w:t xml:space="preserve">Paraspeckle condensation is controlled via TDP-43 polymerization and linked to neuroprotection. Nature Cell Biology. </w:t>
      </w:r>
      <w:hyperlink r:id="rId66" w:history="1">
        <w:r>
          <w:rPr>
            <w:color w:val="087B78"/>
            <w:sz w:val="20"/>
            <w:szCs w:val="20"/>
            <w:u w:val="single"/>
          </w:rPr>
          <w:t>10.1038/s41556-026-01895-y</w:t>
        </w:r>
      </w:hyperlink>
    </w:p>
    <w:p w14:paraId="75061C6E" w14:textId="1B6F3187" w:rsidR="00803C0E" w:rsidRDefault="00FC2A78">
      <w:pPr>
        <w:keepLines/>
        <w:spacing w:after="90" w:line="245" w:lineRule="auto"/>
      </w:pPr>
      <w:r>
        <w:rPr>
          <w:b/>
          <w:bCs/>
          <w:sz w:val="20"/>
          <w:szCs w:val="20"/>
        </w:rPr>
        <w:t xml:space="preserve">[6] Berrevoets et al. (2025). </w:t>
      </w:r>
      <w:r>
        <w:rPr>
          <w:sz w:val="20"/>
          <w:szCs w:val="20"/>
        </w:rPr>
        <w:t xml:space="preserve">Smart 3D super-resolution microscopy reveals the architecture of the RNA scaffold in a nuclear body. Nature Communications. </w:t>
      </w:r>
      <w:hyperlink r:id="rId67" w:history="1">
        <w:r>
          <w:rPr>
            <w:color w:val="087B78"/>
            <w:sz w:val="20"/>
            <w:szCs w:val="20"/>
            <w:u w:val="single"/>
          </w:rPr>
          <w:t>10.1038/s41467-025-65723-x</w:t>
        </w:r>
      </w:hyperlink>
    </w:p>
    <w:p w14:paraId="067D9CC7" w14:textId="0B6C9D67" w:rsidR="00803C0E" w:rsidRDefault="00FC2A78">
      <w:pPr>
        <w:keepLines/>
        <w:spacing w:after="90" w:line="245" w:lineRule="auto"/>
      </w:pPr>
      <w:r>
        <w:rPr>
          <w:b/>
          <w:bCs/>
          <w:sz w:val="20"/>
          <w:szCs w:val="20"/>
        </w:rPr>
        <w:lastRenderedPageBreak/>
        <w:t xml:space="preserve">[7] Yamazaki et al. (2021). </w:t>
      </w:r>
      <w:r>
        <w:rPr>
          <w:sz w:val="20"/>
          <w:szCs w:val="20"/>
        </w:rPr>
        <w:t xml:space="preserve">Paraspeckles are constructed as block copolymer micelles. The EMBO Journal. </w:t>
      </w:r>
      <w:hyperlink r:id="rId68" w:history="1">
        <w:r>
          <w:rPr>
            <w:color w:val="087B78"/>
            <w:sz w:val="20"/>
            <w:szCs w:val="20"/>
            <w:u w:val="single"/>
          </w:rPr>
          <w:t>10.15252/embj.2020107270</w:t>
        </w:r>
      </w:hyperlink>
    </w:p>
    <w:p w14:paraId="1BF438AA" w14:textId="6ED168C6" w:rsidR="00803C0E" w:rsidRDefault="00FC2A78">
      <w:pPr>
        <w:keepLines/>
        <w:spacing w:after="90" w:line="245" w:lineRule="auto"/>
      </w:pPr>
      <w:r>
        <w:rPr>
          <w:b/>
          <w:bCs/>
          <w:sz w:val="20"/>
          <w:szCs w:val="20"/>
        </w:rPr>
        <w:t xml:space="preserve">[8] Prasanth et al. (2005). </w:t>
      </w:r>
      <w:r>
        <w:rPr>
          <w:sz w:val="20"/>
          <w:szCs w:val="20"/>
        </w:rPr>
        <w:t xml:space="preserve">Regulating gene expression through RNA nuclear retention. Cell. </w:t>
      </w:r>
      <w:hyperlink r:id="rId69" w:history="1">
        <w:r>
          <w:rPr>
            <w:color w:val="087B78"/>
            <w:sz w:val="20"/>
            <w:szCs w:val="20"/>
            <w:u w:val="single"/>
          </w:rPr>
          <w:t>10.1016/j.cell.2005.08.033</w:t>
        </w:r>
      </w:hyperlink>
    </w:p>
    <w:p w14:paraId="032E9858" w14:textId="7E67C67B" w:rsidR="00803C0E" w:rsidRDefault="00FC2A78">
      <w:pPr>
        <w:keepLines/>
        <w:spacing w:after="90" w:line="245" w:lineRule="auto"/>
      </w:pPr>
      <w:r>
        <w:rPr>
          <w:b/>
          <w:bCs/>
          <w:sz w:val="20"/>
          <w:szCs w:val="20"/>
        </w:rPr>
        <w:t xml:space="preserve">[9] Imamura et al. (2014). </w:t>
      </w:r>
      <w:r>
        <w:rPr>
          <w:sz w:val="20"/>
          <w:szCs w:val="20"/>
        </w:rPr>
        <w:t xml:space="preserve">Long Noncoding RNA NEAT1-Dependent SFPQ Relocation from Promoter Region to Paraspeckle Mediates IL8 Expression upon Immune Stimuli. Molecular Cell. </w:t>
      </w:r>
      <w:hyperlink r:id="rId70" w:history="1">
        <w:r>
          <w:rPr>
            <w:color w:val="087B78"/>
            <w:sz w:val="20"/>
            <w:szCs w:val="20"/>
            <w:u w:val="single"/>
          </w:rPr>
          <w:t>10.1016/j.molcel.2014.01.009</w:t>
        </w:r>
      </w:hyperlink>
    </w:p>
    <w:p w14:paraId="2D971F7E" w14:textId="77777777" w:rsidR="00803C0E" w:rsidRDefault="00FC2A78">
      <w:pPr>
        <w:pStyle w:val="Heading1"/>
      </w:pPr>
      <w:bookmarkStart w:id="12" w:name="_Toc242668405"/>
      <w:r>
        <w:t>Evidence scope</w:t>
      </w:r>
      <w:bookmarkEnd w:id="12"/>
    </w:p>
    <w:p w14:paraId="199FEF1B" w14:textId="77777777" w:rsidR="00803C0E" w:rsidRDefault="00FC2A78">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803C0E">
      <w:headerReference w:type="default" r:id="rId71"/>
      <w:footerReference w:type="default" r:id="rId72"/>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F058" w14:textId="77777777" w:rsidR="00FC2A78" w:rsidRDefault="00FC2A78">
      <w:pPr>
        <w:spacing w:after="0" w:line="240" w:lineRule="auto"/>
      </w:pPr>
      <w:r>
        <w:separator/>
      </w:r>
    </w:p>
  </w:endnote>
  <w:endnote w:type="continuationSeparator" w:id="0">
    <w:p w14:paraId="45924C7A" w14:textId="77777777" w:rsidR="00FC2A78" w:rsidRDefault="00FC2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95C3" w14:textId="77777777" w:rsidR="00803C0E" w:rsidRDefault="00FC2A78">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137389">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137389">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9086" w14:textId="77777777" w:rsidR="00FC2A78" w:rsidRDefault="00FC2A78">
      <w:pPr>
        <w:spacing w:after="0" w:line="240" w:lineRule="auto"/>
      </w:pPr>
      <w:r>
        <w:separator/>
      </w:r>
    </w:p>
  </w:footnote>
  <w:footnote w:type="continuationSeparator" w:id="0">
    <w:p w14:paraId="5718824C" w14:textId="77777777" w:rsidR="00FC2A78" w:rsidRDefault="00FC2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FDE8" w14:textId="77777777" w:rsidR="00803C0E" w:rsidRDefault="00FC2A78">
    <w:pPr>
      <w:pBdr>
        <w:bottom w:val="single" w:sz="4" w:space="0" w:color="B8D1D0"/>
      </w:pBdr>
    </w:pPr>
    <w:r>
      <w:rPr>
        <w:color w:val="527077"/>
        <w:sz w:val="17"/>
        <w:szCs w:val="17"/>
      </w:rPr>
      <w:t>Paraspeckles: RNA Architecture, Assembly and Conditional Function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FB2"/>
    <w:multiLevelType w:val="hybridMultilevel"/>
    <w:tmpl w:val="8EF01B28"/>
    <w:lvl w:ilvl="0" w:tplc="4ABCA3D4">
      <w:start w:val="1"/>
      <w:numFmt w:val="bullet"/>
      <w:lvlText w:val="●"/>
      <w:lvlJc w:val="left"/>
      <w:pPr>
        <w:ind w:left="720" w:hanging="360"/>
      </w:pPr>
    </w:lvl>
    <w:lvl w:ilvl="1" w:tplc="966EA8C4">
      <w:start w:val="1"/>
      <w:numFmt w:val="bullet"/>
      <w:lvlText w:val="○"/>
      <w:lvlJc w:val="left"/>
      <w:pPr>
        <w:ind w:left="1440" w:hanging="360"/>
      </w:pPr>
    </w:lvl>
    <w:lvl w:ilvl="2" w:tplc="E9749ED6">
      <w:start w:val="1"/>
      <w:numFmt w:val="bullet"/>
      <w:lvlText w:val="■"/>
      <w:lvlJc w:val="left"/>
      <w:pPr>
        <w:ind w:left="2160" w:hanging="360"/>
      </w:pPr>
    </w:lvl>
    <w:lvl w:ilvl="3" w:tplc="E89A2468">
      <w:start w:val="1"/>
      <w:numFmt w:val="bullet"/>
      <w:lvlText w:val="●"/>
      <w:lvlJc w:val="left"/>
      <w:pPr>
        <w:ind w:left="2880" w:hanging="360"/>
      </w:pPr>
    </w:lvl>
    <w:lvl w:ilvl="4" w:tplc="FB78B2DA">
      <w:start w:val="1"/>
      <w:numFmt w:val="bullet"/>
      <w:lvlText w:val="○"/>
      <w:lvlJc w:val="left"/>
      <w:pPr>
        <w:ind w:left="3600" w:hanging="360"/>
      </w:pPr>
    </w:lvl>
    <w:lvl w:ilvl="5" w:tplc="ED1E3EDC">
      <w:start w:val="1"/>
      <w:numFmt w:val="bullet"/>
      <w:lvlText w:val="■"/>
      <w:lvlJc w:val="left"/>
      <w:pPr>
        <w:ind w:left="4320" w:hanging="360"/>
      </w:pPr>
    </w:lvl>
    <w:lvl w:ilvl="6" w:tplc="D1AE9D54">
      <w:start w:val="1"/>
      <w:numFmt w:val="bullet"/>
      <w:lvlText w:val="●"/>
      <w:lvlJc w:val="left"/>
      <w:pPr>
        <w:ind w:left="5040" w:hanging="360"/>
      </w:pPr>
    </w:lvl>
    <w:lvl w:ilvl="7" w:tplc="42565216">
      <w:start w:val="1"/>
      <w:numFmt w:val="bullet"/>
      <w:lvlText w:val="●"/>
      <w:lvlJc w:val="left"/>
      <w:pPr>
        <w:ind w:left="5760" w:hanging="360"/>
      </w:pPr>
    </w:lvl>
    <w:lvl w:ilvl="8" w:tplc="98DA561C">
      <w:start w:val="1"/>
      <w:numFmt w:val="bullet"/>
      <w:lvlText w:val="●"/>
      <w:lvlJc w:val="left"/>
      <w:pPr>
        <w:ind w:left="6480" w:hanging="360"/>
      </w:pPr>
    </w:lvl>
  </w:abstractNum>
  <w:abstractNum w:abstractNumId="1" w15:restartNumberingAfterBreak="0">
    <w:nsid w:val="27EF39FD"/>
    <w:multiLevelType w:val="hybridMultilevel"/>
    <w:tmpl w:val="D0A4B436"/>
    <w:lvl w:ilvl="0" w:tplc="0ED8AF1C">
      <w:start w:val="1"/>
      <w:numFmt w:val="bullet"/>
      <w:lvlText w:val="•"/>
      <w:lvlJc w:val="left"/>
      <w:pPr>
        <w:ind w:left="340" w:hanging="170"/>
      </w:pPr>
    </w:lvl>
    <w:lvl w:ilvl="1" w:tplc="533A5782">
      <w:numFmt w:val="decimal"/>
      <w:lvlText w:val=""/>
      <w:lvlJc w:val="left"/>
    </w:lvl>
    <w:lvl w:ilvl="2" w:tplc="95CE7C46">
      <w:numFmt w:val="decimal"/>
      <w:lvlText w:val=""/>
      <w:lvlJc w:val="left"/>
    </w:lvl>
    <w:lvl w:ilvl="3" w:tplc="0FAC868A">
      <w:numFmt w:val="decimal"/>
      <w:lvlText w:val=""/>
      <w:lvlJc w:val="left"/>
    </w:lvl>
    <w:lvl w:ilvl="4" w:tplc="BF3A96FE">
      <w:numFmt w:val="decimal"/>
      <w:lvlText w:val=""/>
      <w:lvlJc w:val="left"/>
    </w:lvl>
    <w:lvl w:ilvl="5" w:tplc="2E1083A6">
      <w:numFmt w:val="decimal"/>
      <w:lvlText w:val=""/>
      <w:lvlJc w:val="left"/>
    </w:lvl>
    <w:lvl w:ilvl="6" w:tplc="1EE6A6B8">
      <w:numFmt w:val="decimal"/>
      <w:lvlText w:val=""/>
      <w:lvlJc w:val="left"/>
    </w:lvl>
    <w:lvl w:ilvl="7" w:tplc="9586B590">
      <w:numFmt w:val="decimal"/>
      <w:lvlText w:val=""/>
      <w:lvlJc w:val="left"/>
    </w:lvl>
    <w:lvl w:ilvl="8" w:tplc="E1DC70C4">
      <w:numFmt w:val="decimal"/>
      <w:lvlText w:val=""/>
      <w:lvlJc w:val="left"/>
    </w:lvl>
  </w:abstractNum>
  <w:num w:numId="1" w16cid:durableId="11612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0E"/>
    <w:rsid w:val="00137389"/>
    <w:rsid w:val="00803C0E"/>
    <w:rsid w:val="00E67F65"/>
    <w:rsid w:val="00FC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5AFA8"/>
  <w15:docId w15:val="{18B5616A-62A8-4B1A-AA2E-5E05E5D0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1373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91/mbc.E10-08-0690" TargetMode="External"/><Relationship Id="rId21" Type="http://schemas.openxmlformats.org/officeDocument/2006/relationships/hyperlink" Target="https://doi.org/10.15252/embj.2020107270" TargetMode="External"/><Relationship Id="rId42" Type="http://schemas.openxmlformats.org/officeDocument/2006/relationships/hyperlink" Target="https://doi.org/10.15252/embj.2020107270" TargetMode="External"/><Relationship Id="rId47" Type="http://schemas.openxmlformats.org/officeDocument/2006/relationships/hyperlink" Target="https://doi.org/10.1091/mbc.E10-08-0690" TargetMode="External"/><Relationship Id="rId63" Type="http://schemas.openxmlformats.org/officeDocument/2006/relationships/hyperlink" Target="https://doi.org/10.1038/emboj.2012.251" TargetMode="External"/><Relationship Id="rId68" Type="http://schemas.openxmlformats.org/officeDocument/2006/relationships/hyperlink" Target="https://doi.org/10.15252/embj.2020107270" TargetMode="External"/><Relationship Id="rId2" Type="http://schemas.openxmlformats.org/officeDocument/2006/relationships/styles" Target="styles.xml"/><Relationship Id="rId16" Type="http://schemas.openxmlformats.org/officeDocument/2006/relationships/hyperlink" Target="https://doi.org/10.1038/emboj.2012.251" TargetMode="External"/><Relationship Id="rId29" Type="http://schemas.openxmlformats.org/officeDocument/2006/relationships/hyperlink" Target="https://doi.org/10.1016/j.cell.2005.08.033" TargetMode="External"/><Relationship Id="rId11" Type="http://schemas.openxmlformats.org/officeDocument/2006/relationships/hyperlink" Target="https://doi.org/10.1038/s41556-026-01895-y" TargetMode="External"/><Relationship Id="rId24" Type="http://schemas.openxmlformats.org/officeDocument/2006/relationships/hyperlink" Target="https://doi.org/10.15252/embj.2020107270" TargetMode="External"/><Relationship Id="rId32" Type="http://schemas.openxmlformats.org/officeDocument/2006/relationships/hyperlink" Target="https://doi.org/10.1016/j.molcel.2014.01.009" TargetMode="External"/><Relationship Id="rId37" Type="http://schemas.openxmlformats.org/officeDocument/2006/relationships/hyperlink" Target="https://doi.org/10.1038/s41556-026-01895-y" TargetMode="External"/><Relationship Id="rId40" Type="http://schemas.openxmlformats.org/officeDocument/2006/relationships/hyperlink" Target="https://doi.org/10.1091/mbc.E10-08-0690" TargetMode="External"/><Relationship Id="rId45" Type="http://schemas.openxmlformats.org/officeDocument/2006/relationships/hyperlink" Target="https://doi.org/10.1038/s41556-026-01895-y" TargetMode="External"/><Relationship Id="rId53" Type="http://schemas.openxmlformats.org/officeDocument/2006/relationships/hyperlink" Target="https://doi.org/10.1016/j.molcel.2014.01.009" TargetMode="External"/><Relationship Id="rId58" Type="http://schemas.openxmlformats.org/officeDocument/2006/relationships/hyperlink" Target="https://doi.org/10.1038/s41556-026-01895-y" TargetMode="External"/><Relationship Id="rId66" Type="http://schemas.openxmlformats.org/officeDocument/2006/relationships/hyperlink" Target="https://doi.org/10.1038/s41556-026-01895-y"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38/s41556-026-01895-y" TargetMode="External"/><Relationship Id="rId19" Type="http://schemas.openxmlformats.org/officeDocument/2006/relationships/hyperlink" Target="https://doi.org/10.1038/s41467-025-65723-x" TargetMode="External"/><Relationship Id="rId14" Type="http://schemas.openxmlformats.org/officeDocument/2006/relationships/hyperlink" Target="https://doi.org/10.1091/mbc.E10-08-0690" TargetMode="External"/><Relationship Id="rId22" Type="http://schemas.openxmlformats.org/officeDocument/2006/relationships/hyperlink" Target="https://doi.org/10.1038/emboj.2012.251" TargetMode="External"/><Relationship Id="rId27" Type="http://schemas.openxmlformats.org/officeDocument/2006/relationships/hyperlink" Target="https://doi.org/10.1038/s41556-026-01895-y" TargetMode="External"/><Relationship Id="rId30" Type="http://schemas.openxmlformats.org/officeDocument/2006/relationships/hyperlink" Target="https://doi.org/10.1016/j.molcel.2009.01.026" TargetMode="External"/><Relationship Id="rId35" Type="http://schemas.openxmlformats.org/officeDocument/2006/relationships/hyperlink" Target="https://doi.org/10.1083/jcb.201011110" TargetMode="External"/><Relationship Id="rId43" Type="http://schemas.openxmlformats.org/officeDocument/2006/relationships/hyperlink" Target="https://doi.org/10.1016/j.cell.2005.08.033" TargetMode="External"/><Relationship Id="rId48" Type="http://schemas.openxmlformats.org/officeDocument/2006/relationships/hyperlink" Target="https://doi.org/10.1016/j.molcel.2014.01.009" TargetMode="External"/><Relationship Id="rId56" Type="http://schemas.openxmlformats.org/officeDocument/2006/relationships/hyperlink" Target="https://doi.org/10.1038/emboj.2012.251" TargetMode="External"/><Relationship Id="rId64" Type="http://schemas.openxmlformats.org/officeDocument/2006/relationships/hyperlink" Target="https://doi.org/10.1091/mbc.E10-08-0690" TargetMode="External"/><Relationship Id="rId69" Type="http://schemas.openxmlformats.org/officeDocument/2006/relationships/hyperlink" Target="https://doi.org/10.1016/j.cell.2005.08.033" TargetMode="External"/><Relationship Id="rId8" Type="http://schemas.openxmlformats.org/officeDocument/2006/relationships/hyperlink" Target="https://doi.org/10.1038/emboj.2012.251" TargetMode="External"/><Relationship Id="rId51" Type="http://schemas.openxmlformats.org/officeDocument/2006/relationships/hyperlink" Target="https://doi.org/10.1038/s41556-026-01895-y"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16/j.molcel.2009.01.026" TargetMode="External"/><Relationship Id="rId17" Type="http://schemas.openxmlformats.org/officeDocument/2006/relationships/hyperlink" Target="https://doi.org/10.1083/jcb.201011110" TargetMode="External"/><Relationship Id="rId25" Type="http://schemas.openxmlformats.org/officeDocument/2006/relationships/hyperlink" Target="https://doi.org/10.15252/embj.2020107270" TargetMode="External"/><Relationship Id="rId33" Type="http://schemas.openxmlformats.org/officeDocument/2006/relationships/hyperlink" Target="https://doi.org/10.1083/jcb.201011110" TargetMode="External"/><Relationship Id="rId38" Type="http://schemas.openxmlformats.org/officeDocument/2006/relationships/hyperlink" Target="https://doi.org/10.1016/j.molcel.2009.01.026" TargetMode="External"/><Relationship Id="rId46" Type="http://schemas.openxmlformats.org/officeDocument/2006/relationships/hyperlink" Target="https://doi.org/10.1038/emboj.2012.251" TargetMode="External"/><Relationship Id="rId59" Type="http://schemas.openxmlformats.org/officeDocument/2006/relationships/hyperlink" Target="https://doi.org/10.1038/s41467-025-65723-x" TargetMode="External"/><Relationship Id="rId67" Type="http://schemas.openxmlformats.org/officeDocument/2006/relationships/hyperlink" Target="https://doi.org/10.1038/s41467-025-65723-x" TargetMode="External"/><Relationship Id="rId20" Type="http://schemas.openxmlformats.org/officeDocument/2006/relationships/hyperlink" Target="https://doi.org/10.1091/mbc.E10-08-0690" TargetMode="External"/><Relationship Id="rId41" Type="http://schemas.openxmlformats.org/officeDocument/2006/relationships/hyperlink" Target="https://doi.org/10.1038/s41467-025-65723-x" TargetMode="External"/><Relationship Id="rId54" Type="http://schemas.openxmlformats.org/officeDocument/2006/relationships/hyperlink" Target="https://doi.org/10.1038/s41556-026-01895-y" TargetMode="External"/><Relationship Id="rId62" Type="http://schemas.openxmlformats.org/officeDocument/2006/relationships/hyperlink" Target="https://doi.org/10.1016/j.molcel.2009.01.026" TargetMode="External"/><Relationship Id="rId70" Type="http://schemas.openxmlformats.org/officeDocument/2006/relationships/hyperlink" Target="https://doi.org/10.1016/j.molcel.2014.01.00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emboj.2012.251" TargetMode="External"/><Relationship Id="rId23" Type="http://schemas.openxmlformats.org/officeDocument/2006/relationships/hyperlink" Target="https://doi.org/10.1016/j.molcel.2009.01.026" TargetMode="External"/><Relationship Id="rId28" Type="http://schemas.openxmlformats.org/officeDocument/2006/relationships/hyperlink" Target="https://doi.org/10.1016/j.cell.2005.08.033" TargetMode="External"/><Relationship Id="rId36" Type="http://schemas.openxmlformats.org/officeDocument/2006/relationships/hyperlink" Target="https://doi.org/10.1038/s41556-026-01895-y" TargetMode="External"/><Relationship Id="rId49" Type="http://schemas.openxmlformats.org/officeDocument/2006/relationships/hyperlink" Target="https://doi.org/10.1038/s41556-026-01895-y" TargetMode="External"/><Relationship Id="rId57" Type="http://schemas.openxmlformats.org/officeDocument/2006/relationships/hyperlink" Target="https://doi.org/10.1091/mbc.E10-08-0690" TargetMode="External"/><Relationship Id="rId10" Type="http://schemas.openxmlformats.org/officeDocument/2006/relationships/hyperlink" Target="https://doi.org/10.1083/jcb.201011110" TargetMode="External"/><Relationship Id="rId31" Type="http://schemas.openxmlformats.org/officeDocument/2006/relationships/hyperlink" Target="https://doi.org/10.1016/j.molcel.2014.01.009" TargetMode="External"/><Relationship Id="rId44" Type="http://schemas.openxmlformats.org/officeDocument/2006/relationships/hyperlink" Target="https://doi.org/10.1016/j.molcel.2014.01.009" TargetMode="External"/><Relationship Id="rId52" Type="http://schemas.openxmlformats.org/officeDocument/2006/relationships/hyperlink" Target="https://doi.org/10.1016/j.molcel.2009.01.026" TargetMode="External"/><Relationship Id="rId60" Type="http://schemas.openxmlformats.org/officeDocument/2006/relationships/hyperlink" Target="https://doi.org/10.1016/j.molcel.2014.01.009" TargetMode="External"/><Relationship Id="rId65" Type="http://schemas.openxmlformats.org/officeDocument/2006/relationships/hyperlink" Target="https://doi.org/10.1083/jcb.201011110"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91/mbc.E10-08-0690" TargetMode="External"/><Relationship Id="rId13" Type="http://schemas.openxmlformats.org/officeDocument/2006/relationships/hyperlink" Target="https://doi.org/10.1038/emboj.2012.251" TargetMode="External"/><Relationship Id="rId18" Type="http://schemas.openxmlformats.org/officeDocument/2006/relationships/hyperlink" Target="https://doi.org/10.1091/mbc.E10-08-0690" TargetMode="External"/><Relationship Id="rId39" Type="http://schemas.openxmlformats.org/officeDocument/2006/relationships/hyperlink" Target="https://doi.org/10.1038/emboj.2012.251" TargetMode="External"/><Relationship Id="rId34" Type="http://schemas.openxmlformats.org/officeDocument/2006/relationships/hyperlink" Target="https://doi.org/10.1038/s41556-026-01895-y" TargetMode="External"/><Relationship Id="rId50" Type="http://schemas.openxmlformats.org/officeDocument/2006/relationships/hyperlink" Target="https://doi.org/10.1038/emboj.2012.251" TargetMode="External"/><Relationship Id="rId55" Type="http://schemas.openxmlformats.org/officeDocument/2006/relationships/hyperlink" Target="https://doi.org/10.15252/embj.2020107270" TargetMode="External"/><Relationship Id="rId7" Type="http://schemas.openxmlformats.org/officeDocument/2006/relationships/hyperlink" Target="https://doi.org/10.1016/j.molcel.2009.01.026" TargetMode="Externa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2527</Words>
  <Characters>15772</Characters>
  <Application>Microsoft Office Word</Application>
  <DocSecurity>0</DocSecurity>
  <Lines>264</Lines>
  <Paragraphs>85</Paragraphs>
  <ScaleCrop>false</ScaleCrop>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Paraspeckles: RNA Architecture, Assembly and Conditional Function</dc:title>
  <dc:subject>NEAT1 isoforms, ordered ribonucleoprotein organization and stress-dependent regulation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