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FA5B6" w14:textId="77777777" w:rsidR="008E74D3" w:rsidRDefault="00FE4184">
      <w:pPr>
        <w:pStyle w:val="Title"/>
      </w:pPr>
      <w:r>
        <w:t>PML Nuclear Bodies: Assembly, SUMO Networks and Conditional Biological Functions</w:t>
      </w:r>
    </w:p>
    <w:p w14:paraId="4354F010" w14:textId="77777777" w:rsidR="008E74D3" w:rsidRDefault="00FE4184">
      <w:pPr>
        <w:pStyle w:val="Subtitle"/>
      </w:pPr>
      <w:r>
        <w:t>Structural organization, dynamic recruitment, chromatin control and protein quality regulation</w:t>
      </w:r>
    </w:p>
    <w:p w14:paraId="2C8A7174" w14:textId="77777777" w:rsidR="008E74D3" w:rsidRDefault="00FE4184">
      <w:pPr>
        <w:spacing w:before="200" w:after="320"/>
      </w:pPr>
      <w:r>
        <w:rPr>
          <w:color w:val="087B78"/>
          <w:sz w:val="20"/>
          <w:szCs w:val="20"/>
        </w:rPr>
        <w:t>CellNucleus · Current research review · 12 October 2026</w:t>
      </w:r>
    </w:p>
    <w:p w14:paraId="562F283C" w14:textId="77777777" w:rsidR="008E74D3" w:rsidRDefault="00FE4184">
      <w:pPr>
        <w:pStyle w:val="Heading1"/>
      </w:pPr>
      <w:bookmarkStart w:id="0" w:name="_Toc242668397"/>
      <w:r>
        <w:t>Abstract</w:t>
      </w:r>
      <w:bookmarkEnd w:id="0"/>
    </w:p>
    <w:p w14:paraId="6A276F5E" w14:textId="0FD8F224" w:rsidR="008E74D3" w:rsidRDefault="00FE4184">
      <w:r>
        <w:t>PML nuclear bodies organize selected proteins through scaffold assembly and regulated recruitment. Oxidation-associated PML interactions, SUMO modification, SUMO-binding contacts and client-specific exchange create a molecular environment whose function changes with stress and cellular context. Structural studies and recent proteostasis experiments support a layered account: forming the scaffold, recruiting a partner and modifying that partner are different events. Chromatin, telomere and disease examples i</w:t>
      </w:r>
      <w:r>
        <w:t>llustrate this organization without establishing one universal liquid state or biological role.</w:t>
      </w:r>
      <w:hyperlink r:id="rId7" w:history="1">
        <w:r>
          <w:rPr>
            <w:color w:val="087B78"/>
            <w:sz w:val="18"/>
            <w:szCs w:val="18"/>
          </w:rPr>
          <w:t xml:space="preserve"> [1]</w:t>
        </w:r>
      </w:hyperlink>
      <w:hyperlink r:id="rId8" w:history="1">
        <w:r>
          <w:rPr>
            <w:color w:val="087B78"/>
            <w:sz w:val="18"/>
            <w:szCs w:val="18"/>
          </w:rPr>
          <w:t xml:space="preserve"> [2]</w:t>
        </w:r>
      </w:hyperlink>
      <w:hyperlink r:id="rId9" w:history="1">
        <w:r>
          <w:rPr>
            <w:color w:val="087B78"/>
            <w:sz w:val="18"/>
            <w:szCs w:val="18"/>
          </w:rPr>
          <w:t xml:space="preserve"> [3]</w:t>
        </w:r>
      </w:hyperlink>
      <w:hyperlink r:id="rId10" w:history="1">
        <w:r>
          <w:rPr>
            <w:color w:val="087B78"/>
            <w:sz w:val="18"/>
            <w:szCs w:val="18"/>
          </w:rPr>
          <w:t xml:space="preserve"> [4]</w:t>
        </w:r>
      </w:hyperlink>
      <w:hyperlink r:id="rId11" w:history="1">
        <w:r>
          <w:rPr>
            <w:color w:val="087B78"/>
            <w:sz w:val="18"/>
            <w:szCs w:val="18"/>
          </w:rPr>
          <w:t xml:space="preserve"> [5]</w:t>
        </w:r>
      </w:hyperlink>
      <w:hyperlink r:id="rId12" w:history="1">
        <w:r>
          <w:rPr>
            <w:color w:val="087B78"/>
            <w:sz w:val="18"/>
            <w:szCs w:val="18"/>
          </w:rPr>
          <w:t xml:space="preserve"> [6]</w:t>
        </w:r>
      </w:hyperlink>
    </w:p>
    <w:p w14:paraId="05E866BB" w14:textId="77777777" w:rsidR="008E74D3" w:rsidRDefault="00FE4184">
      <w:pPr>
        <w:pageBreakBefore/>
        <w:spacing w:before="330"/>
      </w:pPr>
      <w:r>
        <w:rPr>
          <w:b/>
          <w:bCs/>
          <w:color w:val="173B4C"/>
          <w:sz w:val="32"/>
          <w:szCs w:val="32"/>
        </w:rPr>
        <w:lastRenderedPageBreak/>
        <w:t>Contents</w:t>
      </w:r>
    </w:p>
    <w:sdt>
      <w:sdtPr>
        <w:alias w:val="Contents"/>
        <w:id w:val="579644248"/>
      </w:sdtPr>
      <w:sdtEndPr/>
      <w:sdtContent>
        <w:p w14:paraId="10794E96" w14:textId="0C7AF5FE" w:rsidR="003142A2" w:rsidRDefault="00FE418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668397" w:history="1">
            <w:r w:rsidR="003142A2" w:rsidRPr="0031494E">
              <w:rPr>
                <w:rStyle w:val="Hyperlink"/>
                <w:noProof/>
              </w:rPr>
              <w:t>Abstract</w:t>
            </w:r>
            <w:r w:rsidR="003142A2">
              <w:rPr>
                <w:noProof/>
              </w:rPr>
              <w:tab/>
            </w:r>
            <w:r w:rsidR="003142A2">
              <w:rPr>
                <w:noProof/>
              </w:rPr>
              <w:fldChar w:fldCharType="begin"/>
            </w:r>
            <w:r w:rsidR="003142A2">
              <w:rPr>
                <w:noProof/>
              </w:rPr>
              <w:instrText xml:space="preserve"> PAGEREF _Toc242668397 \h </w:instrText>
            </w:r>
            <w:r w:rsidR="003142A2">
              <w:rPr>
                <w:noProof/>
              </w:rPr>
            </w:r>
            <w:r w:rsidR="003142A2">
              <w:rPr>
                <w:noProof/>
              </w:rPr>
              <w:fldChar w:fldCharType="separate"/>
            </w:r>
            <w:r w:rsidR="003142A2">
              <w:rPr>
                <w:noProof/>
              </w:rPr>
              <w:t>1</w:t>
            </w:r>
            <w:r w:rsidR="003142A2">
              <w:rPr>
                <w:noProof/>
              </w:rPr>
              <w:fldChar w:fldCharType="end"/>
            </w:r>
          </w:hyperlink>
        </w:p>
        <w:p w14:paraId="18C89C8C" w14:textId="65311D53" w:rsidR="003142A2" w:rsidRDefault="003142A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8" w:history="1">
            <w:r w:rsidRPr="0031494E">
              <w:rPr>
                <w:rStyle w:val="Hyperlink"/>
                <w:noProof/>
              </w:rPr>
              <w:t>1. A scaffold-centered compartment</w:t>
            </w:r>
            <w:r>
              <w:rPr>
                <w:noProof/>
              </w:rPr>
              <w:tab/>
            </w:r>
            <w:r>
              <w:rPr>
                <w:noProof/>
              </w:rPr>
              <w:fldChar w:fldCharType="begin"/>
            </w:r>
            <w:r>
              <w:rPr>
                <w:noProof/>
              </w:rPr>
              <w:instrText xml:space="preserve"> PAGEREF _Toc242668398 \h </w:instrText>
            </w:r>
            <w:r>
              <w:rPr>
                <w:noProof/>
              </w:rPr>
            </w:r>
            <w:r>
              <w:rPr>
                <w:noProof/>
              </w:rPr>
              <w:fldChar w:fldCharType="separate"/>
            </w:r>
            <w:r>
              <w:rPr>
                <w:noProof/>
              </w:rPr>
              <w:t>2</w:t>
            </w:r>
            <w:r>
              <w:rPr>
                <w:noProof/>
              </w:rPr>
              <w:fldChar w:fldCharType="end"/>
            </w:r>
          </w:hyperlink>
        </w:p>
        <w:p w14:paraId="632A6858" w14:textId="0ECC3974" w:rsidR="003142A2" w:rsidRDefault="003142A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9" w:history="1">
            <w:r w:rsidRPr="0031494E">
              <w:rPr>
                <w:rStyle w:val="Hyperlink"/>
                <w:noProof/>
              </w:rPr>
              <w:t>2. Molecular assembly and the RBCC architecture</w:t>
            </w:r>
            <w:r>
              <w:rPr>
                <w:noProof/>
              </w:rPr>
              <w:tab/>
            </w:r>
            <w:r>
              <w:rPr>
                <w:noProof/>
              </w:rPr>
              <w:fldChar w:fldCharType="begin"/>
            </w:r>
            <w:r>
              <w:rPr>
                <w:noProof/>
              </w:rPr>
              <w:instrText xml:space="preserve"> PAGEREF _Toc242668399 \h </w:instrText>
            </w:r>
            <w:r>
              <w:rPr>
                <w:noProof/>
              </w:rPr>
            </w:r>
            <w:r>
              <w:rPr>
                <w:noProof/>
              </w:rPr>
              <w:fldChar w:fldCharType="separate"/>
            </w:r>
            <w:r>
              <w:rPr>
                <w:noProof/>
              </w:rPr>
              <w:t>3</w:t>
            </w:r>
            <w:r>
              <w:rPr>
                <w:noProof/>
              </w:rPr>
              <w:fldChar w:fldCharType="end"/>
            </w:r>
          </w:hyperlink>
        </w:p>
        <w:p w14:paraId="6CF1EEBA" w14:textId="5B38978E" w:rsidR="003142A2" w:rsidRDefault="003142A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400" w:history="1">
            <w:r w:rsidRPr="0031494E">
              <w:rPr>
                <w:rStyle w:val="Hyperlink"/>
                <w:noProof/>
              </w:rPr>
              <w:t>3. SUMO modification and partner recruitment</w:t>
            </w:r>
            <w:r>
              <w:rPr>
                <w:noProof/>
              </w:rPr>
              <w:tab/>
            </w:r>
            <w:r>
              <w:rPr>
                <w:noProof/>
              </w:rPr>
              <w:fldChar w:fldCharType="begin"/>
            </w:r>
            <w:r>
              <w:rPr>
                <w:noProof/>
              </w:rPr>
              <w:instrText xml:space="preserve"> PAGEREF _Toc242668400 \h </w:instrText>
            </w:r>
            <w:r>
              <w:rPr>
                <w:noProof/>
              </w:rPr>
            </w:r>
            <w:r>
              <w:rPr>
                <w:noProof/>
              </w:rPr>
              <w:fldChar w:fldCharType="separate"/>
            </w:r>
            <w:r>
              <w:rPr>
                <w:noProof/>
              </w:rPr>
              <w:t>3</w:t>
            </w:r>
            <w:r>
              <w:rPr>
                <w:noProof/>
              </w:rPr>
              <w:fldChar w:fldCharType="end"/>
            </w:r>
          </w:hyperlink>
        </w:p>
        <w:p w14:paraId="186051F4" w14:textId="1A3B31C7" w:rsidR="003142A2" w:rsidRDefault="003142A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401" w:history="1">
            <w:r w:rsidRPr="0031494E">
              <w:rPr>
                <w:rStyle w:val="Hyperlink"/>
                <w:noProof/>
              </w:rPr>
              <w:t>4. Dynamics and spatial heterogeneity</w:t>
            </w:r>
            <w:r>
              <w:rPr>
                <w:noProof/>
              </w:rPr>
              <w:tab/>
            </w:r>
            <w:r>
              <w:rPr>
                <w:noProof/>
              </w:rPr>
              <w:fldChar w:fldCharType="begin"/>
            </w:r>
            <w:r>
              <w:rPr>
                <w:noProof/>
              </w:rPr>
              <w:instrText xml:space="preserve"> PAGEREF _Toc242668401 \h </w:instrText>
            </w:r>
            <w:r>
              <w:rPr>
                <w:noProof/>
              </w:rPr>
            </w:r>
            <w:r>
              <w:rPr>
                <w:noProof/>
              </w:rPr>
              <w:fldChar w:fldCharType="separate"/>
            </w:r>
            <w:r>
              <w:rPr>
                <w:noProof/>
              </w:rPr>
              <w:t>4</w:t>
            </w:r>
            <w:r>
              <w:rPr>
                <w:noProof/>
              </w:rPr>
              <w:fldChar w:fldCharType="end"/>
            </w:r>
          </w:hyperlink>
        </w:p>
        <w:p w14:paraId="4234C533" w14:textId="24F5763F" w:rsidR="003142A2" w:rsidRDefault="003142A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402" w:history="1">
            <w:r w:rsidRPr="0031494E">
              <w:rPr>
                <w:rStyle w:val="Hyperlink"/>
                <w:noProof/>
              </w:rPr>
              <w:t>5. Chromatin-associated functions</w:t>
            </w:r>
            <w:r>
              <w:rPr>
                <w:noProof/>
              </w:rPr>
              <w:tab/>
            </w:r>
            <w:r>
              <w:rPr>
                <w:noProof/>
              </w:rPr>
              <w:fldChar w:fldCharType="begin"/>
            </w:r>
            <w:r>
              <w:rPr>
                <w:noProof/>
              </w:rPr>
              <w:instrText xml:space="preserve"> PAGEREF _Toc242668402 \h </w:instrText>
            </w:r>
            <w:r>
              <w:rPr>
                <w:noProof/>
              </w:rPr>
            </w:r>
            <w:r>
              <w:rPr>
                <w:noProof/>
              </w:rPr>
              <w:fldChar w:fldCharType="separate"/>
            </w:r>
            <w:r>
              <w:rPr>
                <w:noProof/>
              </w:rPr>
              <w:t>4</w:t>
            </w:r>
            <w:r>
              <w:rPr>
                <w:noProof/>
              </w:rPr>
              <w:fldChar w:fldCharType="end"/>
            </w:r>
          </w:hyperlink>
        </w:p>
        <w:p w14:paraId="7D7DFAE8" w14:textId="0746428F" w:rsidR="003142A2" w:rsidRDefault="003142A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403" w:history="1">
            <w:r w:rsidRPr="0031494E">
              <w:rPr>
                <w:rStyle w:val="Hyperlink"/>
                <w:noProof/>
              </w:rPr>
              <w:t>6. Viral genomes and context-specific restriction</w:t>
            </w:r>
            <w:r>
              <w:rPr>
                <w:noProof/>
              </w:rPr>
              <w:tab/>
            </w:r>
            <w:r>
              <w:rPr>
                <w:noProof/>
              </w:rPr>
              <w:fldChar w:fldCharType="begin"/>
            </w:r>
            <w:r>
              <w:rPr>
                <w:noProof/>
              </w:rPr>
              <w:instrText xml:space="preserve"> PAGEREF _Toc242668403 \h </w:instrText>
            </w:r>
            <w:r>
              <w:rPr>
                <w:noProof/>
              </w:rPr>
            </w:r>
            <w:r>
              <w:rPr>
                <w:noProof/>
              </w:rPr>
              <w:fldChar w:fldCharType="separate"/>
            </w:r>
            <w:r>
              <w:rPr>
                <w:noProof/>
              </w:rPr>
              <w:t>5</w:t>
            </w:r>
            <w:r>
              <w:rPr>
                <w:noProof/>
              </w:rPr>
              <w:fldChar w:fldCharType="end"/>
            </w:r>
          </w:hyperlink>
        </w:p>
        <w:p w14:paraId="650F9E20" w14:textId="58BA8860" w:rsidR="003142A2" w:rsidRDefault="003142A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404" w:history="1">
            <w:r w:rsidRPr="0031494E">
              <w:rPr>
                <w:rStyle w:val="Hyperlink"/>
                <w:noProof/>
              </w:rPr>
              <w:t>7. ALT-associated telomeres</w:t>
            </w:r>
            <w:r>
              <w:rPr>
                <w:noProof/>
              </w:rPr>
              <w:tab/>
            </w:r>
            <w:r>
              <w:rPr>
                <w:noProof/>
              </w:rPr>
              <w:fldChar w:fldCharType="begin"/>
            </w:r>
            <w:r>
              <w:rPr>
                <w:noProof/>
              </w:rPr>
              <w:instrText xml:space="preserve"> PAGEREF _Toc242668404 \h </w:instrText>
            </w:r>
            <w:r>
              <w:rPr>
                <w:noProof/>
              </w:rPr>
            </w:r>
            <w:r>
              <w:rPr>
                <w:noProof/>
              </w:rPr>
              <w:fldChar w:fldCharType="separate"/>
            </w:r>
            <w:r>
              <w:rPr>
                <w:noProof/>
              </w:rPr>
              <w:t>5</w:t>
            </w:r>
            <w:r>
              <w:rPr>
                <w:noProof/>
              </w:rPr>
              <w:fldChar w:fldCharType="end"/>
            </w:r>
          </w:hyperlink>
        </w:p>
        <w:p w14:paraId="2332179B" w14:textId="57FA1057" w:rsidR="003142A2" w:rsidRDefault="003142A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405" w:history="1">
            <w:r w:rsidRPr="0031494E">
              <w:rPr>
                <w:rStyle w:val="Hyperlink"/>
                <w:noProof/>
              </w:rPr>
              <w:t>8. Proteostasis and controlled recruitment in 2025</w:t>
            </w:r>
            <w:r>
              <w:rPr>
                <w:noProof/>
              </w:rPr>
              <w:tab/>
            </w:r>
            <w:r>
              <w:rPr>
                <w:noProof/>
              </w:rPr>
              <w:fldChar w:fldCharType="begin"/>
            </w:r>
            <w:r>
              <w:rPr>
                <w:noProof/>
              </w:rPr>
              <w:instrText xml:space="preserve"> PAGEREF _Toc242668405 \h </w:instrText>
            </w:r>
            <w:r>
              <w:rPr>
                <w:noProof/>
              </w:rPr>
            </w:r>
            <w:r>
              <w:rPr>
                <w:noProof/>
              </w:rPr>
              <w:fldChar w:fldCharType="separate"/>
            </w:r>
            <w:r>
              <w:rPr>
                <w:noProof/>
              </w:rPr>
              <w:t>5</w:t>
            </w:r>
            <w:r>
              <w:rPr>
                <w:noProof/>
              </w:rPr>
              <w:fldChar w:fldCharType="end"/>
            </w:r>
          </w:hyperlink>
        </w:p>
        <w:p w14:paraId="53C050F3" w14:textId="6F26CE03" w:rsidR="003142A2" w:rsidRDefault="003142A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406" w:history="1">
            <w:r w:rsidRPr="0031494E">
              <w:rPr>
                <w:rStyle w:val="Hyperlink"/>
                <w:noProof/>
              </w:rPr>
              <w:t>9. Mechanistic and clinical evidence are distinct</w:t>
            </w:r>
            <w:r>
              <w:rPr>
                <w:noProof/>
              </w:rPr>
              <w:tab/>
            </w:r>
            <w:r>
              <w:rPr>
                <w:noProof/>
              </w:rPr>
              <w:fldChar w:fldCharType="begin"/>
            </w:r>
            <w:r>
              <w:rPr>
                <w:noProof/>
              </w:rPr>
              <w:instrText xml:space="preserve"> PAGEREF _Toc242668406 \h </w:instrText>
            </w:r>
            <w:r>
              <w:rPr>
                <w:noProof/>
              </w:rPr>
            </w:r>
            <w:r>
              <w:rPr>
                <w:noProof/>
              </w:rPr>
              <w:fldChar w:fldCharType="separate"/>
            </w:r>
            <w:r>
              <w:rPr>
                <w:noProof/>
              </w:rPr>
              <w:t>6</w:t>
            </w:r>
            <w:r>
              <w:rPr>
                <w:noProof/>
              </w:rPr>
              <w:fldChar w:fldCharType="end"/>
            </w:r>
          </w:hyperlink>
        </w:p>
        <w:p w14:paraId="13EE6A99" w14:textId="07DA7F31" w:rsidR="003142A2" w:rsidRDefault="003142A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407" w:history="1">
            <w:r w:rsidRPr="0031494E">
              <w:rPr>
                <w:rStyle w:val="Hyperlink"/>
                <w:noProof/>
              </w:rPr>
              <w:t>10. Evidence map and synthesis</w:t>
            </w:r>
            <w:r>
              <w:rPr>
                <w:noProof/>
              </w:rPr>
              <w:tab/>
            </w:r>
            <w:r>
              <w:rPr>
                <w:noProof/>
              </w:rPr>
              <w:fldChar w:fldCharType="begin"/>
            </w:r>
            <w:r>
              <w:rPr>
                <w:noProof/>
              </w:rPr>
              <w:instrText xml:space="preserve"> PAGEREF _Toc242668407 \h </w:instrText>
            </w:r>
            <w:r>
              <w:rPr>
                <w:noProof/>
              </w:rPr>
            </w:r>
            <w:r>
              <w:rPr>
                <w:noProof/>
              </w:rPr>
              <w:fldChar w:fldCharType="separate"/>
            </w:r>
            <w:r>
              <w:rPr>
                <w:noProof/>
              </w:rPr>
              <w:t>7</w:t>
            </w:r>
            <w:r>
              <w:rPr>
                <w:noProof/>
              </w:rPr>
              <w:fldChar w:fldCharType="end"/>
            </w:r>
          </w:hyperlink>
        </w:p>
        <w:p w14:paraId="3C7C2DC6" w14:textId="269A083C" w:rsidR="003142A2" w:rsidRDefault="003142A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408" w:history="1">
            <w:r w:rsidRPr="0031494E">
              <w:rPr>
                <w:rStyle w:val="Hyperlink"/>
                <w:noProof/>
              </w:rPr>
              <w:t>References</w:t>
            </w:r>
            <w:r>
              <w:rPr>
                <w:noProof/>
              </w:rPr>
              <w:tab/>
            </w:r>
            <w:r>
              <w:rPr>
                <w:noProof/>
              </w:rPr>
              <w:fldChar w:fldCharType="begin"/>
            </w:r>
            <w:r>
              <w:rPr>
                <w:noProof/>
              </w:rPr>
              <w:instrText xml:space="preserve"> PAGEREF _Toc242668408 \h </w:instrText>
            </w:r>
            <w:r>
              <w:rPr>
                <w:noProof/>
              </w:rPr>
            </w:r>
            <w:r>
              <w:rPr>
                <w:noProof/>
              </w:rPr>
              <w:fldChar w:fldCharType="separate"/>
            </w:r>
            <w:r>
              <w:rPr>
                <w:noProof/>
              </w:rPr>
              <w:t>7</w:t>
            </w:r>
            <w:r>
              <w:rPr>
                <w:noProof/>
              </w:rPr>
              <w:fldChar w:fldCharType="end"/>
            </w:r>
          </w:hyperlink>
        </w:p>
        <w:p w14:paraId="02F4D5A2" w14:textId="2AD4700F" w:rsidR="003142A2" w:rsidRDefault="003142A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409" w:history="1">
            <w:r w:rsidRPr="0031494E">
              <w:rPr>
                <w:rStyle w:val="Hyperlink"/>
                <w:noProof/>
              </w:rPr>
              <w:t>Evidence scope</w:t>
            </w:r>
            <w:r>
              <w:rPr>
                <w:noProof/>
              </w:rPr>
              <w:tab/>
            </w:r>
            <w:r>
              <w:rPr>
                <w:noProof/>
              </w:rPr>
              <w:fldChar w:fldCharType="begin"/>
            </w:r>
            <w:r>
              <w:rPr>
                <w:noProof/>
              </w:rPr>
              <w:instrText xml:space="preserve"> PAGEREF _Toc242668409 \h </w:instrText>
            </w:r>
            <w:r>
              <w:rPr>
                <w:noProof/>
              </w:rPr>
            </w:r>
            <w:r>
              <w:rPr>
                <w:noProof/>
              </w:rPr>
              <w:fldChar w:fldCharType="separate"/>
            </w:r>
            <w:r>
              <w:rPr>
                <w:noProof/>
              </w:rPr>
              <w:t>8</w:t>
            </w:r>
            <w:r>
              <w:rPr>
                <w:noProof/>
              </w:rPr>
              <w:fldChar w:fldCharType="end"/>
            </w:r>
          </w:hyperlink>
        </w:p>
        <w:p w14:paraId="579C3C5D" w14:textId="05B44D05" w:rsidR="008E74D3" w:rsidRDefault="00FE4184">
          <w:r>
            <w:fldChar w:fldCharType="end"/>
          </w:r>
        </w:p>
      </w:sdtContent>
    </w:sdt>
    <w:p w14:paraId="1FC4A343" w14:textId="77777777" w:rsidR="008E74D3" w:rsidRDefault="00FE4184">
      <w:pPr>
        <w:pStyle w:val="Heading1"/>
      </w:pPr>
      <w:bookmarkStart w:id="1" w:name="_Toc242668398"/>
      <w:r>
        <w:t>1. A scaffold-centered compartment</w:t>
      </w:r>
      <w:bookmarkEnd w:id="1"/>
    </w:p>
    <w:p w14:paraId="55B81542" w14:textId="2747FBCA" w:rsidR="008E74D3" w:rsidRDefault="00FE4184">
      <w:r>
        <w:t>A PML body is defined by organization around the promyelocytic leukemia protein rather than by a fixed inventory of all possible partners. The PML scaffold and proteins recruited to it have distinct molecular roles. Sahin and colleagues separated oxidation-associated initial PML assembly from SUMO/SIM-dependent partner recruitment and retention. This distinction explains why a body can remain visible while its composition or function changes. Counting PML foci therefore describes scaffold organization but d</w:t>
      </w:r>
      <w:r>
        <w:t>oes not establish what every body contains or which reaction it performs.</w:t>
      </w:r>
      <w:hyperlink r:id="rId13" w:history="1">
        <w:r>
          <w:rPr>
            <w:color w:val="087B78"/>
            <w:sz w:val="18"/>
            <w:szCs w:val="18"/>
          </w:rPr>
          <w:t xml:space="preserve"> [1]</w:t>
        </w:r>
      </w:hyperlink>
    </w:p>
    <w:p w14:paraId="12146F9A" w14:textId="1BEB6EE8" w:rsidR="008E74D3" w:rsidRDefault="00FE4184">
      <w:r>
        <w:t>The term compartment is useful when it means preferential access to a local interaction network. It need not imply a membrane or a perfectly uniform internal solution. In the tested shell/core EM model, PML and SP100 occupied different regions. Those spatial differences are compatible with selective binding and scaffold organization. A mechanistic description should specify the protein, cellular model and stimulus instead of assigning every constituent to one undifferentiated phase.</w:t>
      </w:r>
      <w:hyperlink r:id="rId14" w:history="1">
        <w:r>
          <w:rPr>
            <w:color w:val="087B78"/>
            <w:sz w:val="18"/>
            <w:szCs w:val="18"/>
          </w:rPr>
          <w:t xml:space="preserve"> [1]</w:t>
        </w:r>
      </w:hyperlink>
    </w:p>
    <w:p w14:paraId="350A2CA1" w14:textId="1B010F12" w:rsidR="008E74D3" w:rsidRDefault="00FE4184">
      <w:r>
        <w:t xml:space="preserve">Three questions consequently frame PML-body biology: what interactions construct the scaffold, what recruits a particular client and what biochemical outcome follows that recruitment? Different assays answer each question. Mutants and structural studies identify assembly interfaces; imaging and exchange measurements describe composition and dynamics; functional assays establish chromatin or proteostasis outcomes. The same focus can participate in more than one </w:t>
      </w:r>
      <w:r>
        <w:lastRenderedPageBreak/>
        <w:t>pathway, but the presence of a component alone cannot establish that every pathway is active.</w:t>
      </w:r>
      <w:hyperlink r:id="rId15" w:history="1">
        <w:r>
          <w:rPr>
            <w:color w:val="087B78"/>
            <w:sz w:val="18"/>
            <w:szCs w:val="18"/>
          </w:rPr>
          <w:t xml:space="preserve"> [2]</w:t>
        </w:r>
      </w:hyperlink>
      <w:hyperlink r:id="rId16" w:history="1">
        <w:r>
          <w:rPr>
            <w:color w:val="087B78"/>
            <w:sz w:val="18"/>
            <w:szCs w:val="18"/>
          </w:rPr>
          <w:t xml:space="preserve"> [3]</w:t>
        </w:r>
      </w:hyperlink>
      <w:hyperlink r:id="rId17" w:history="1">
        <w:r>
          <w:rPr>
            <w:color w:val="087B78"/>
            <w:sz w:val="18"/>
            <w:szCs w:val="18"/>
          </w:rPr>
          <w:t xml:space="preserve"> [4]</w:t>
        </w:r>
      </w:hyperlink>
    </w:p>
    <w:p w14:paraId="625EF37A" w14:textId="77777777" w:rsidR="008E74D3" w:rsidRDefault="00FE4184">
      <w:pPr>
        <w:pStyle w:val="Heading1"/>
      </w:pPr>
      <w:bookmarkStart w:id="2" w:name="_Toc242668399"/>
      <w:r>
        <w:t>2. Molecular assembly and the RBCC architecture</w:t>
      </w:r>
      <w:bookmarkEnd w:id="2"/>
    </w:p>
    <w:p w14:paraId="6FAF8B19" w14:textId="69DE9003" w:rsidR="008E74D3" w:rsidRDefault="00FE4184">
      <w:r>
        <w:t>PML contains the RING, B-box and coiled-coil region studied as the RBCC assembly module. Tan and colleagues resolved a PML dimer by cryo-EM and combined structural information with crosslinking and cellular formation assays. Their model connects coiled-coil-mediated interactions between dimers to higher-order body construction. This provides a molecular structural route from protein organization to a larger nuclear assembly, rather than requiring the initial scaffold to be explained solely by generic disord</w:t>
      </w:r>
      <w:r>
        <w:t>ered-domain demixing.</w:t>
      </w:r>
      <w:hyperlink r:id="rId18" w:history="1">
        <w:r>
          <w:rPr>
            <w:color w:val="087B78"/>
            <w:sz w:val="18"/>
            <w:szCs w:val="18"/>
          </w:rPr>
          <w:t xml:space="preserve"> [2]</w:t>
        </w:r>
      </w:hyperlink>
    </w:p>
    <w:p w14:paraId="3C7840FB" w14:textId="4E44241B" w:rsidR="008E74D3" w:rsidRDefault="00FE4184">
      <w:r>
        <w:t>The distinction between a resolved structure and a working higher-order model is important. A map of a purified RBCC dimer directly constrains that molecular unit; extending it to an entire body requires additional interaction and formation evidence. The authors’ octopus-like assembly model is an interpretation integrating several measurements. It should not be presented as a complete atomic reconstruction of every endogenous PML body or every PML isoform under all stresses.</w:t>
      </w:r>
      <w:hyperlink r:id="rId19" w:history="1">
        <w:r>
          <w:rPr>
            <w:color w:val="087B78"/>
            <w:sz w:val="18"/>
            <w:szCs w:val="18"/>
          </w:rPr>
          <w:t xml:space="preserve"> [2]</w:t>
        </w:r>
      </w:hyperlink>
    </w:p>
    <w:p w14:paraId="6C61C39C" w14:textId="22C87E21" w:rsidR="008E74D3" w:rsidRDefault="00FE4184">
      <w:r>
        <w:t xml:space="preserve">The structural model and oxidation-associated cellular assembly experiments address complementary scales. One identifies interfaces and possible polymer organization; the other tests regulation of scaffold assembly and partner recruitment in cells. A mutation can affect both geometry and recruitment if it changes a binding interface. Connecting these levels requires measurements of protein stability, localization and client composition as well as body morphology, especially when an assembly mutant is being </w:t>
      </w:r>
      <w:r>
        <w:t>used to infer biological function.</w:t>
      </w:r>
      <w:hyperlink r:id="rId20" w:history="1">
        <w:r>
          <w:rPr>
            <w:color w:val="087B78"/>
            <w:sz w:val="18"/>
            <w:szCs w:val="18"/>
          </w:rPr>
          <w:t xml:space="preserve"> [2]</w:t>
        </w:r>
      </w:hyperlink>
      <w:hyperlink r:id="rId21" w:history="1">
        <w:r>
          <w:rPr>
            <w:color w:val="087B78"/>
            <w:sz w:val="18"/>
            <w:szCs w:val="18"/>
          </w:rPr>
          <w:t xml:space="preserve"> [1]</w:t>
        </w:r>
      </w:hyperlink>
    </w:p>
    <w:p w14:paraId="7D9A1D1F" w14:textId="77777777" w:rsidR="008E74D3" w:rsidRDefault="00FE4184">
      <w:pPr>
        <w:pStyle w:val="Heading1"/>
      </w:pPr>
      <w:bookmarkStart w:id="3" w:name="_Toc242668400"/>
      <w:r>
        <w:t>3. SUMO modification and partner recruitment</w:t>
      </w:r>
      <w:bookmarkEnd w:id="3"/>
    </w:p>
    <w:p w14:paraId="1C5C2C5E" w14:textId="6A72CC7B" w:rsidR="008E74D3" w:rsidRDefault="00FE4184">
      <w:r>
        <w:t>SUMO modification and SUMO-interaction motifs provide a route for concentrating compatible proteins around PML. Sahin and colleagues showed that initial PML assembly could be distinguished from the SUMO-associated recruitment and retention of partners. The result supports a staged assembly account: building a scaffold is different from loading a functional client network. It also explains why changes in modification can alter body composition without requiring complete disappearance of PML structures.</w:t>
      </w:r>
      <w:hyperlink r:id="rId22" w:history="1">
        <w:r>
          <w:rPr>
            <w:color w:val="087B78"/>
            <w:sz w:val="18"/>
            <w:szCs w:val="18"/>
          </w:rPr>
          <w:t xml:space="preserve"> [1]</w:t>
        </w:r>
      </w:hyperlink>
    </w:p>
    <w:p w14:paraId="171EE09A" w14:textId="4B7D29E7" w:rsidR="008E74D3" w:rsidRDefault="00FE4184">
      <w:r>
        <w:t>Covalent modification and noncovalent recognition should not be conflated. A protein can be SUMO modified, bind a SUMO-modified partner or participate in a network containing several such interactions. These possibilities have different consequences for residence time and biochemical accessibility. The RNF4 experiments show a further distinction: poly-SUMO can supply a recognition signal for ubiquitination and degradation. Thus increased local SUMO is not simply a permanent recruitment cue; it can also mark</w:t>
      </w:r>
      <w:r>
        <w:t xml:space="preserve"> a substrate for regulated turnover.</w:t>
      </w:r>
      <w:hyperlink r:id="rId23" w:history="1">
        <w:r>
          <w:rPr>
            <w:color w:val="087B78"/>
            <w:sz w:val="18"/>
            <w:szCs w:val="18"/>
          </w:rPr>
          <w:t xml:space="preserve"> [1]</w:t>
        </w:r>
      </w:hyperlink>
      <w:hyperlink r:id="rId24" w:history="1">
        <w:r>
          <w:rPr>
            <w:color w:val="087B78"/>
            <w:sz w:val="18"/>
            <w:szCs w:val="18"/>
          </w:rPr>
          <w:t xml:space="preserve"> [7]</w:t>
        </w:r>
      </w:hyperlink>
    </w:p>
    <w:p w14:paraId="169B2E3E" w14:textId="3C1740B3" w:rsidR="008E74D3" w:rsidRDefault="00FE4184">
      <w:r>
        <w:t xml:space="preserve">A productive local network therefore balances recruitment, reaction and release. Stronger retention could improve the opportunity for a modification or obstruct later access to another pathway. The relevant outcome depends on the partner and stress. This is why an experiment that </w:t>
      </w:r>
      <w:r>
        <w:lastRenderedPageBreak/>
        <w:t>changes total PML-body size or brightness needs client-specific biochemical readouts before it can be interpreted as enhanced function. The SUMO-dependent turnover and TDP-43 recruitment studies illustrate two distinct outputs from related interaction chemistry.</w:t>
      </w:r>
      <w:hyperlink r:id="rId25" w:history="1">
        <w:r>
          <w:rPr>
            <w:color w:val="087B78"/>
            <w:sz w:val="18"/>
            <w:szCs w:val="18"/>
          </w:rPr>
          <w:t xml:space="preserve"> [7]</w:t>
        </w:r>
      </w:hyperlink>
      <w:hyperlink r:id="rId26" w:history="1">
        <w:r>
          <w:rPr>
            <w:color w:val="087B78"/>
            <w:sz w:val="18"/>
            <w:szCs w:val="18"/>
          </w:rPr>
          <w:t xml:space="preserve"> [4]</w:t>
        </w:r>
      </w:hyperlink>
    </w:p>
    <w:p w14:paraId="5A49C023" w14:textId="77777777" w:rsidR="008E74D3" w:rsidRDefault="00FE4184">
      <w:pPr>
        <w:pStyle w:val="Heading1"/>
      </w:pPr>
      <w:bookmarkStart w:id="4" w:name="_Toc242668401"/>
      <w:r>
        <w:t>4. Dynamics and spatial heterogeneity</w:t>
      </w:r>
      <w:bookmarkEnd w:id="4"/>
    </w:p>
    <w:p w14:paraId="5A5CE0B8" w14:textId="73256363" w:rsidR="008E74D3" w:rsidRDefault="00FE4184">
      <w:r>
        <w:t>Weidtkamp-Peters and colleagues measured exchange of PML-body components and found protein-specific dynamic behavior. A body containing relatively persistent scaffold interactions can simultaneously host more mobile partners. Fluorescence recovery consequently reports the measured component and its access to exchanging pools, rather than a universal relaxation time for the whole structure. Comparing scaffold and clients is more informative than taking one recovery curve as a complete material-state diagnosi</w:t>
      </w:r>
      <w:r>
        <w:t>s.</w:t>
      </w:r>
      <w:hyperlink r:id="rId27" w:history="1">
        <w:r>
          <w:rPr>
            <w:color w:val="087B78"/>
            <w:sz w:val="18"/>
            <w:szCs w:val="18"/>
          </w:rPr>
          <w:t xml:space="preserve"> [3]</w:t>
        </w:r>
      </w:hyperlink>
    </w:p>
    <w:p w14:paraId="3825E329" w14:textId="765CF13E" w:rsidR="008E74D3" w:rsidRDefault="00FE4184">
      <w:r>
        <w:t>The shell/core observations also require their experimental context. Sahin and colleagues used an SP100/PML-expressing CHO model for immuno-EM that distinguished PML-associated peripheral structure and SP100-rich central organization. Those observations establish component arrangement in that model; they do not make every endogenous SP100 molecule a universal shell constituent or certify the material state of the core. This distinction matters when schematic diagrams are used to explain bodies from differen</w:t>
      </w:r>
      <w:r>
        <w:t>t cell types or conditions.</w:t>
      </w:r>
      <w:hyperlink r:id="rId28" w:history="1">
        <w:r>
          <w:rPr>
            <w:color w:val="087B78"/>
            <w:sz w:val="18"/>
            <w:szCs w:val="18"/>
          </w:rPr>
          <w:t xml:space="preserve"> [1]</w:t>
        </w:r>
      </w:hyperlink>
    </w:p>
    <w:p w14:paraId="20888073" w14:textId="053B38C1" w:rsidR="008E74D3" w:rsidRDefault="00FE4184">
      <w:r>
        <w:t>Internal organization, boundary exchange and whole-body movement are different observables. A scaffold can be spatially stable while its partners exchange, and a client can show rapid recovery without implying unrestricted mixing of all components. A physical model should predict several such observables and survive defined interaction perturbations. The current combination of structural interfaces, exchange measurements and staged recruitment therefore favors an explicitly component-dependent description o</w:t>
      </w:r>
      <w:r>
        <w:t>ver a single homogeneous-body label.</w:t>
      </w:r>
      <w:hyperlink r:id="rId29" w:history="1">
        <w:r>
          <w:rPr>
            <w:color w:val="087B78"/>
            <w:sz w:val="18"/>
            <w:szCs w:val="18"/>
          </w:rPr>
          <w:t xml:space="preserve"> [2]</w:t>
        </w:r>
      </w:hyperlink>
      <w:hyperlink r:id="rId30" w:history="1">
        <w:r>
          <w:rPr>
            <w:color w:val="087B78"/>
            <w:sz w:val="18"/>
            <w:szCs w:val="18"/>
          </w:rPr>
          <w:t xml:space="preserve"> [3]</w:t>
        </w:r>
      </w:hyperlink>
      <w:hyperlink r:id="rId31" w:history="1">
        <w:r>
          <w:rPr>
            <w:color w:val="087B78"/>
            <w:sz w:val="18"/>
            <w:szCs w:val="18"/>
          </w:rPr>
          <w:t xml:space="preserve"> [1]</w:t>
        </w:r>
      </w:hyperlink>
    </w:p>
    <w:p w14:paraId="2FB48C7A" w14:textId="77777777" w:rsidR="008E74D3" w:rsidRDefault="00FE4184">
      <w:pPr>
        <w:pStyle w:val="Heading1"/>
      </w:pPr>
      <w:bookmarkStart w:id="5" w:name="_Toc242668402"/>
      <w:r>
        <w:t>5. Chromatin-associated functions</w:t>
      </w:r>
      <w:bookmarkEnd w:id="5"/>
    </w:p>
    <w:p w14:paraId="3C7DEFD9" w14:textId="429F0E6F" w:rsidR="008E74D3" w:rsidRDefault="00FE4184">
      <w:r>
        <w:t>Drané and colleagues demonstrated that DAXX is an H3.3-selective histone chaperone capable of supporting replication-independent deposition, and they connected DAXX/H3.3 organization to PML bodies. This supplies a biochemical basis for a link between local histone pools and chromatin regulation. The body can organize proteins and substrates involved in chromatin assembly, but the catalytic chaperone activity belongs to the relevant molecular machinery rather than to a fluorescent PML focus considered as a s</w:t>
      </w:r>
      <w:r>
        <w:t>ingle enzyme.</w:t>
      </w:r>
      <w:hyperlink r:id="rId32" w:history="1">
        <w:r>
          <w:rPr>
            <w:color w:val="087B78"/>
            <w:sz w:val="18"/>
            <w:szCs w:val="18"/>
          </w:rPr>
          <w:t xml:space="preserve"> [5]</w:t>
        </w:r>
      </w:hyperlink>
    </w:p>
    <w:p w14:paraId="46673544" w14:textId="01EAD822" w:rsidR="008E74D3" w:rsidRDefault="00FE4184">
      <w:r>
        <w:t>The distinction also helps interpret colocalization. H3.3 at a PML body can represent a soluble or chaperone-bound pre-deposition pool pending another transition, whereas deposited chromatin is a different endpoint. A change in H3.3 localization is therefore not identical to a change in nucleosome occupancy at a target locus. Linking the two requires deposition assays and genomic or substrate-specific measurements. Direct histone binding and deposition data make the DAXX case stronger than a mechanism infer</w:t>
      </w:r>
      <w:r>
        <w:t>red only from co-enrichment.</w:t>
      </w:r>
      <w:hyperlink r:id="rId33" w:history="1">
        <w:r>
          <w:rPr>
            <w:color w:val="087B78"/>
            <w:sz w:val="18"/>
            <w:szCs w:val="18"/>
          </w:rPr>
          <w:t xml:space="preserve"> [5]</w:t>
        </w:r>
      </w:hyperlink>
    </w:p>
    <w:p w14:paraId="00735EF4" w14:textId="77777777" w:rsidR="008E74D3" w:rsidRDefault="00FE4184">
      <w:pPr>
        <w:pStyle w:val="Heading1"/>
      </w:pPr>
      <w:bookmarkStart w:id="6" w:name="_Toc242668403"/>
      <w:r>
        <w:lastRenderedPageBreak/>
        <w:t>6. Viral genomes and context-specific restriction</w:t>
      </w:r>
      <w:bookmarkEnd w:id="6"/>
    </w:p>
    <w:p w14:paraId="650E63AC" w14:textId="21391B54" w:rsidR="008E74D3" w:rsidRDefault="00FE4184">
      <w:r>
        <w:t>Cohen and colleagues tested quiescent HSV-1 genomes in cellular models and linked PML-associated histone machinery to H3.3 chromatinization. PML depletion affected that chromatinization, while destabilization of the virus-associated bodies could permit return of viral transcription and replication. This is a defined example of nuclear organization participating in restriction and reversible gene control. It should not be restated as irreversible silencing of every viral genome or a complete account of laten</w:t>
      </w:r>
      <w:r>
        <w:t>cy in an intact organism.</w:t>
      </w:r>
      <w:hyperlink r:id="rId34" w:history="1">
        <w:r>
          <w:rPr>
            <w:color w:val="087B78"/>
            <w:sz w:val="18"/>
            <w:szCs w:val="18"/>
          </w:rPr>
          <w:t xml:space="preserve"> [8]</w:t>
        </w:r>
      </w:hyperlink>
    </w:p>
    <w:p w14:paraId="74129DB1" w14:textId="3149BB3C" w:rsidR="008E74D3" w:rsidRDefault="00FE4184">
      <w:r>
        <w:t>The chromatin example makes clear why PML biology cannot be reduced to sequestration alone. A body may influence the molecular treatment of a DNA substrate through recruited chaperones and regulators. Its effect depends on the viral state, host cell and perturbation. Demonstrating such a function requires following the incoming or quiescent genome, its histone occupancy and the transcriptional endpoint. Association with a PML focus is an informative starting point but does not independently establish restri</w:t>
      </w:r>
      <w:r>
        <w:t>ction or predict every infection’s outcome.</w:t>
      </w:r>
      <w:hyperlink r:id="rId35" w:history="1">
        <w:r>
          <w:rPr>
            <w:color w:val="087B78"/>
            <w:sz w:val="18"/>
            <w:szCs w:val="18"/>
          </w:rPr>
          <w:t xml:space="preserve"> [8]</w:t>
        </w:r>
      </w:hyperlink>
      <w:hyperlink r:id="rId36" w:history="1">
        <w:r>
          <w:rPr>
            <w:color w:val="087B78"/>
            <w:sz w:val="18"/>
            <w:szCs w:val="18"/>
          </w:rPr>
          <w:t xml:space="preserve"> [5]</w:t>
        </w:r>
      </w:hyperlink>
    </w:p>
    <w:p w14:paraId="09387D4D" w14:textId="77777777" w:rsidR="008E74D3" w:rsidRDefault="00FE4184">
      <w:pPr>
        <w:pStyle w:val="Heading1"/>
      </w:pPr>
      <w:bookmarkStart w:id="7" w:name="_Toc242668404"/>
      <w:r>
        <w:t>7. ALT-associated telomeres</w:t>
      </w:r>
      <w:bookmarkEnd w:id="7"/>
    </w:p>
    <w:p w14:paraId="572B98F6" w14:textId="56925127" w:rsidR="008E74D3" w:rsidRDefault="00FE4184">
      <w:r>
        <w:t>Zhang and colleagues examined ALT-associated PML bodies and used controlled condensation systems to test telomere clustering. Their experiments connected condensate properties to bringing telomeres together in ALT cancer cells, while distinguishing clustering from the more specific biochemical requirements of telomere synthesis. This is an example in which spatial organization can contribute to access between substrates without being sufficient for the complete DNA reaction.</w:t>
      </w:r>
      <w:hyperlink r:id="rId37" w:history="1">
        <w:r>
          <w:rPr>
            <w:color w:val="087B78"/>
            <w:sz w:val="18"/>
            <w:szCs w:val="18"/>
          </w:rPr>
          <w:t xml:space="preserve"> [6]</w:t>
        </w:r>
      </w:hyperlink>
    </w:p>
    <w:p w14:paraId="3E97F2BA" w14:textId="2805FDF7" w:rsidR="008E74D3" w:rsidRDefault="00FE4184">
      <w:r>
        <w:t>A clustered telomere signal and productive telomere elongation are therefore separate outcomes. A synthetic assembly that reproduces clustering may omit proteins needed for DNA synthesis or repair. Conversely, removing PML can change partner recruitment as well as contact geometry. A causal model of ALT-associated bodies should measure both physical organization and a direct synthesis endpoint, with the telomerase-independent cellular context stated. Those requirements prevent an attractive spatial mechanis</w:t>
      </w:r>
      <w:r>
        <w:t>m from being treated as a full reconstruction of telomere maintenance.</w:t>
      </w:r>
      <w:hyperlink r:id="rId38" w:history="1">
        <w:r>
          <w:rPr>
            <w:color w:val="087B78"/>
            <w:sz w:val="18"/>
            <w:szCs w:val="18"/>
          </w:rPr>
          <w:t xml:space="preserve"> [6]</w:t>
        </w:r>
      </w:hyperlink>
    </w:p>
    <w:p w14:paraId="6647AFD8" w14:textId="77777777" w:rsidR="008E74D3" w:rsidRDefault="00FE4184">
      <w:pPr>
        <w:pStyle w:val="Heading1"/>
      </w:pPr>
      <w:bookmarkStart w:id="8" w:name="_Toc242668405"/>
      <w:r>
        <w:t>8. Proteostasis and controlled recruitment in 2025</w:t>
      </w:r>
      <w:bookmarkEnd w:id="8"/>
    </w:p>
    <w:p w14:paraId="6731EF59" w14:textId="7BFB3E32" w:rsidR="008E74D3" w:rsidRDefault="00FE4184">
      <w:r>
        <w:t>Wagner and colleagues tested SUMO2 attachment and engineered proximity of TDP-43 to PML. Recruitment triggered a SUMO–ubiquitin pathway that reduced stress-induced insolubility and involved the p97 disaggregase. These controlled interventions connect spatial access to a biochemical response instead of relying only on coincident protein inclusions. The work is proof of a pathway in tested cellular conditions, not evidence that all nuclear TDP-43 assemblies are protective or that an effective neurodegeneratio</w:t>
      </w:r>
      <w:r>
        <w:t>n treatment has been established.</w:t>
      </w:r>
      <w:hyperlink r:id="rId39" w:history="1">
        <w:r>
          <w:rPr>
            <w:color w:val="087B78"/>
            <w:sz w:val="18"/>
            <w:szCs w:val="18"/>
          </w:rPr>
          <w:t xml:space="preserve"> [4]</w:t>
        </w:r>
      </w:hyperlink>
    </w:p>
    <w:p w14:paraId="01B8092B" w14:textId="104DBE4D" w:rsidR="008E74D3" w:rsidRDefault="00FE4184">
      <w:r>
        <w:lastRenderedPageBreak/>
        <w:t>The difference between an inclusion and a productive quality-control compartment is its demonstrated effect on the substrate. More TDP-43 in a focus could represent protection, retention or an insoluble aggregate. In the recruitment experiments, biochemical fractionation and pathway perturbations helped identify the outcome. Such evidence is needed when interpreting disease-associated inclusions: morphology, SUMO staining and local concentration are not interchangeable with solubility, clearance or preserva</w:t>
      </w:r>
      <w:r>
        <w:t>tion of normal RNA-binding function.</w:t>
      </w:r>
      <w:hyperlink r:id="rId40" w:history="1">
        <w:r>
          <w:rPr>
            <w:color w:val="087B78"/>
            <w:sz w:val="18"/>
            <w:szCs w:val="18"/>
          </w:rPr>
          <w:t xml:space="preserve"> [4]</w:t>
        </w:r>
      </w:hyperlink>
    </w:p>
    <w:p w14:paraId="0C447650" w14:textId="7ED4B542" w:rsidR="008E74D3" w:rsidRDefault="00FE4184">
      <w:r>
        <w:t>Recruitment-based approaches also expose a design question. Directing a protein to a local network can improve one outcome while altering its access to normal partners. A useful extension measures the physiological function of the recruited protein as well as stress-induced aggregation. The 2025 pathway motivates further study of these tradeoffs and of the extent to which an endogenous interaction can reproduce the engineered effect. It does not justify assuming that maximal PML recruitment is always benefi</w:t>
      </w:r>
      <w:r>
        <w:t>cial.</w:t>
      </w:r>
      <w:hyperlink r:id="rId41" w:history="1">
        <w:r>
          <w:rPr>
            <w:color w:val="087B78"/>
            <w:sz w:val="18"/>
            <w:szCs w:val="18"/>
          </w:rPr>
          <w:t xml:space="preserve"> [4]</w:t>
        </w:r>
      </w:hyperlink>
    </w:p>
    <w:p w14:paraId="397B9DAD" w14:textId="77777777" w:rsidR="008E74D3" w:rsidRDefault="00FE4184">
      <w:pPr>
        <w:pStyle w:val="Heading1"/>
      </w:pPr>
      <w:bookmarkStart w:id="9" w:name="_Toc242668406"/>
      <w:r>
        <w:t>9. Mechanistic and clinical evidence are distinct</w:t>
      </w:r>
      <w:bookmarkEnd w:id="9"/>
    </w:p>
    <w:p w14:paraId="565CD2AC" w14:textId="019AAA91" w:rsidR="008E74D3" w:rsidRDefault="00FE4184">
      <w:r>
        <w:t>Tatham and colleagues showed that RNF4 recognizes poly-SUMO-associated substrates and is required for arsenic-induced PML degradation in their experiments. This established a mechanistic connection between SUMO recognition, ubiquitination and scaffold turnover. The molecular endpoint should be kept separate from clinical response, which involves the disease context and a complete treatment regimen. A cellular degradation mechanism cannot by itself establish a cure rate or treatment safety.</w:t>
      </w:r>
      <w:hyperlink r:id="rId42" w:history="1">
        <w:r>
          <w:rPr>
            <w:color w:val="087B78"/>
            <w:sz w:val="18"/>
            <w:szCs w:val="18"/>
          </w:rPr>
          <w:t xml:space="preserve"> [7]</w:t>
        </w:r>
      </w:hyperlink>
    </w:p>
    <w:p w14:paraId="420B036D" w14:textId="59674A86" w:rsidR="008E74D3" w:rsidRDefault="00FE4184">
      <w:r>
        <w:t>Poly-SUMO is not equivalent to one isolated SUMO modification. The RNF4 experiments demonstrated a chain-dependent recognition signal capable of coupling SUMO networks to ubiquitin-mediated proteolysis. As a result, increased modification can precede loss of a scaffold rather than sustained recruitment. Interpreting a stress experiment requires its time course and the identities of modified substrates, not just an endpoint SUMO-positive focus. This provides a molecular explanation for why apparently similar</w:t>
      </w:r>
      <w:r>
        <w:t xml:space="preserve"> increases in local modification can accompany different later outcomes.</w:t>
      </w:r>
      <w:hyperlink r:id="rId43" w:history="1">
        <w:r>
          <w:rPr>
            <w:color w:val="087B78"/>
            <w:sz w:val="18"/>
            <w:szCs w:val="18"/>
          </w:rPr>
          <w:t xml:space="preserve"> [7]</w:t>
        </w:r>
      </w:hyperlink>
    </w:p>
    <w:p w14:paraId="3B8F3880" w14:textId="3674585C" w:rsidR="008E74D3" w:rsidRDefault="00FE4184">
      <w:r>
        <w:t>The randomized 2013 study by Lo-Coco and colleagues compared retinoic-acid/arsenic and retinoic-acid/chemotherapy regimens in low-to-intermediate-risk acute promyelocytic leukemia. It established clinical efficacy in that defined population, with differing toxicity profiles. Its outcomes are primary clinical evidence, but the trial did not isolate restoration of PML-body geometry as the sole therapeutic cause. The clinical connection is scientifically important precisely because the patient population, regi</w:t>
      </w:r>
      <w:r>
        <w:t>men and measured outcome are explicit. It should not be converted into a universal near-100-percent cure claim from a structural paper.</w:t>
      </w:r>
      <w:hyperlink r:id="rId44" w:history="1">
        <w:r>
          <w:rPr>
            <w:color w:val="087B78"/>
            <w:sz w:val="18"/>
            <w:szCs w:val="18"/>
          </w:rPr>
          <w:t xml:space="preserve"> [9]</w:t>
        </w:r>
      </w:hyperlink>
      <w:hyperlink r:id="rId45" w:history="1">
        <w:r>
          <w:rPr>
            <w:color w:val="087B78"/>
            <w:sz w:val="18"/>
            <w:szCs w:val="18"/>
          </w:rPr>
          <w:t xml:space="preserve"> [2]</w:t>
        </w:r>
      </w:hyperlink>
    </w:p>
    <w:p w14:paraId="0077606B" w14:textId="77777777" w:rsidR="008E74D3" w:rsidRDefault="00FE4184">
      <w:pPr>
        <w:pStyle w:val="Heading1"/>
      </w:pPr>
      <w:bookmarkStart w:id="10" w:name="_Toc242668407"/>
      <w:r>
        <w:lastRenderedPageBreak/>
        <w:t>10. Evidence map and synthesis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E74D3" w14:paraId="70487A2D" w14:textId="77777777">
        <w:tblPrEx>
          <w:tblCellMar>
            <w:top w:w="0" w:type="dxa"/>
            <w:bottom w:w="0" w:type="dxa"/>
          </w:tblCellMar>
        </w:tblPrEx>
        <w:trPr>
          <w:cantSplit/>
          <w:tblHeader/>
        </w:trPr>
        <w:tc>
          <w:tcPr>
            <w:tcW w:w="3120" w:type="dxa"/>
            <w:shd w:val="clear" w:color="auto" w:fill="EAF3F3"/>
            <w:tcMar>
              <w:top w:w="105" w:type="dxa"/>
              <w:left w:w="125" w:type="dxa"/>
              <w:bottom w:w="105" w:type="dxa"/>
              <w:right w:w="125" w:type="dxa"/>
            </w:tcMar>
          </w:tcPr>
          <w:p w14:paraId="7EBA9B25" w14:textId="77777777" w:rsidR="008E74D3" w:rsidRDefault="00FE4184">
            <w:pPr>
              <w:spacing w:after="50" w:line="255" w:lineRule="auto"/>
            </w:pPr>
            <w:r>
              <w:rPr>
                <w:b/>
                <w:bCs/>
                <w:color w:val="173B4C"/>
                <w:sz w:val="19"/>
                <w:szCs w:val="19"/>
              </w:rPr>
              <w:t>Biological level</w:t>
            </w:r>
          </w:p>
        </w:tc>
        <w:tc>
          <w:tcPr>
            <w:tcW w:w="3120" w:type="dxa"/>
            <w:shd w:val="clear" w:color="auto" w:fill="EAF3F3"/>
            <w:tcMar>
              <w:top w:w="105" w:type="dxa"/>
              <w:left w:w="125" w:type="dxa"/>
              <w:bottom w:w="105" w:type="dxa"/>
              <w:right w:w="125" w:type="dxa"/>
            </w:tcMar>
          </w:tcPr>
          <w:p w14:paraId="57DED613" w14:textId="77777777" w:rsidR="008E74D3" w:rsidRDefault="00FE4184">
            <w:pPr>
              <w:spacing w:after="50" w:line="255" w:lineRule="auto"/>
            </w:pPr>
            <w:r>
              <w:rPr>
                <w:b/>
                <w:bCs/>
                <w:color w:val="173B4C"/>
                <w:sz w:val="19"/>
                <w:szCs w:val="19"/>
              </w:rPr>
              <w:t>Direct evidence</w:t>
            </w:r>
          </w:p>
        </w:tc>
        <w:tc>
          <w:tcPr>
            <w:tcW w:w="3120" w:type="dxa"/>
            <w:shd w:val="clear" w:color="auto" w:fill="EAF3F3"/>
            <w:tcMar>
              <w:top w:w="105" w:type="dxa"/>
              <w:left w:w="125" w:type="dxa"/>
              <w:bottom w:w="105" w:type="dxa"/>
              <w:right w:w="125" w:type="dxa"/>
            </w:tcMar>
          </w:tcPr>
          <w:p w14:paraId="1AC7710B" w14:textId="77777777" w:rsidR="008E74D3" w:rsidRDefault="00FE4184">
            <w:pPr>
              <w:spacing w:after="50" w:line="255" w:lineRule="auto"/>
            </w:pPr>
            <w:r>
              <w:rPr>
                <w:b/>
                <w:bCs/>
                <w:color w:val="173B4C"/>
                <w:sz w:val="19"/>
                <w:szCs w:val="19"/>
              </w:rPr>
              <w:t>What remains distinct</w:t>
            </w:r>
          </w:p>
        </w:tc>
      </w:tr>
      <w:tr w:rsidR="008E74D3" w14:paraId="0DCE526C" w14:textId="77777777">
        <w:tblPrEx>
          <w:tblCellMar>
            <w:top w:w="0" w:type="dxa"/>
            <w:bottom w:w="0" w:type="dxa"/>
          </w:tblCellMar>
        </w:tblPrEx>
        <w:trPr>
          <w:cantSplit/>
        </w:trPr>
        <w:tc>
          <w:tcPr>
            <w:tcW w:w="3120" w:type="dxa"/>
            <w:tcMar>
              <w:top w:w="105" w:type="dxa"/>
              <w:left w:w="125" w:type="dxa"/>
              <w:bottom w:w="105" w:type="dxa"/>
              <w:right w:w="125" w:type="dxa"/>
            </w:tcMar>
          </w:tcPr>
          <w:p w14:paraId="2783FF9E" w14:textId="77777777" w:rsidR="008E74D3" w:rsidRDefault="00FE4184">
            <w:pPr>
              <w:spacing w:after="50" w:line="255" w:lineRule="auto"/>
            </w:pPr>
            <w:r>
              <w:rPr>
                <w:sz w:val="19"/>
                <w:szCs w:val="19"/>
              </w:rPr>
              <w:t>Scaffold construction</w:t>
            </w:r>
          </w:p>
        </w:tc>
        <w:tc>
          <w:tcPr>
            <w:tcW w:w="3120" w:type="dxa"/>
            <w:tcMar>
              <w:top w:w="105" w:type="dxa"/>
              <w:left w:w="125" w:type="dxa"/>
              <w:bottom w:w="105" w:type="dxa"/>
              <w:right w:w="125" w:type="dxa"/>
            </w:tcMar>
          </w:tcPr>
          <w:p w14:paraId="0DF22033" w14:textId="77777777" w:rsidR="008E74D3" w:rsidRDefault="00FE4184">
            <w:pPr>
              <w:spacing w:after="50" w:line="255" w:lineRule="auto"/>
            </w:pPr>
            <w:r>
              <w:rPr>
                <w:sz w:val="19"/>
                <w:szCs w:val="19"/>
              </w:rPr>
              <w:t>Oxidation-associated assembly and RBCC structural/formation studies</w:t>
            </w:r>
          </w:p>
        </w:tc>
        <w:tc>
          <w:tcPr>
            <w:tcW w:w="3120" w:type="dxa"/>
            <w:tcMar>
              <w:top w:w="105" w:type="dxa"/>
              <w:left w:w="125" w:type="dxa"/>
              <w:bottom w:w="105" w:type="dxa"/>
              <w:right w:w="125" w:type="dxa"/>
            </w:tcMar>
          </w:tcPr>
          <w:p w14:paraId="1CCA092A" w14:textId="41A9C603" w:rsidR="008E74D3" w:rsidRDefault="00FE4184">
            <w:pPr>
              <w:spacing w:after="50" w:line="255" w:lineRule="auto"/>
            </w:pPr>
            <w:r>
              <w:rPr>
                <w:sz w:val="19"/>
                <w:szCs w:val="19"/>
              </w:rPr>
              <w:t>Higher-order working model versus a complete endogenous whole-body structure.</w:t>
            </w:r>
            <w:hyperlink r:id="rId46" w:history="1">
              <w:r>
                <w:rPr>
                  <w:color w:val="087B78"/>
                  <w:sz w:val="18"/>
                  <w:szCs w:val="18"/>
                </w:rPr>
                <w:t xml:space="preserve"> [1]</w:t>
              </w:r>
            </w:hyperlink>
            <w:hyperlink r:id="rId47" w:history="1">
              <w:r>
                <w:rPr>
                  <w:color w:val="087B78"/>
                  <w:sz w:val="18"/>
                  <w:szCs w:val="18"/>
                </w:rPr>
                <w:t xml:space="preserve"> [2]</w:t>
              </w:r>
            </w:hyperlink>
          </w:p>
        </w:tc>
      </w:tr>
      <w:tr w:rsidR="008E74D3" w14:paraId="6B9F2381" w14:textId="77777777">
        <w:tblPrEx>
          <w:tblCellMar>
            <w:top w:w="0" w:type="dxa"/>
            <w:bottom w:w="0" w:type="dxa"/>
          </w:tblCellMar>
        </w:tblPrEx>
        <w:trPr>
          <w:cantSplit/>
        </w:trPr>
        <w:tc>
          <w:tcPr>
            <w:tcW w:w="3120" w:type="dxa"/>
            <w:tcMar>
              <w:top w:w="105" w:type="dxa"/>
              <w:left w:w="125" w:type="dxa"/>
              <w:bottom w:w="105" w:type="dxa"/>
              <w:right w:w="125" w:type="dxa"/>
            </w:tcMar>
          </w:tcPr>
          <w:p w14:paraId="3F3CBB9F" w14:textId="77777777" w:rsidR="008E74D3" w:rsidRDefault="00FE4184">
            <w:pPr>
              <w:spacing w:after="50" w:line="255" w:lineRule="auto"/>
            </w:pPr>
            <w:r>
              <w:rPr>
                <w:sz w:val="19"/>
                <w:szCs w:val="19"/>
              </w:rPr>
              <w:t>Composition and dynamics</w:t>
            </w:r>
          </w:p>
        </w:tc>
        <w:tc>
          <w:tcPr>
            <w:tcW w:w="3120" w:type="dxa"/>
            <w:tcMar>
              <w:top w:w="105" w:type="dxa"/>
              <w:left w:w="125" w:type="dxa"/>
              <w:bottom w:w="105" w:type="dxa"/>
              <w:right w:w="125" w:type="dxa"/>
            </w:tcMar>
          </w:tcPr>
          <w:p w14:paraId="17F69A0E" w14:textId="77777777" w:rsidR="008E74D3" w:rsidRDefault="00FE4184">
            <w:pPr>
              <w:spacing w:after="50" w:line="255" w:lineRule="auto"/>
            </w:pPr>
            <w:r>
              <w:rPr>
                <w:sz w:val="19"/>
                <w:szCs w:val="19"/>
              </w:rPr>
              <w:t>SUMO-associated recruitment and component exchange</w:t>
            </w:r>
          </w:p>
        </w:tc>
        <w:tc>
          <w:tcPr>
            <w:tcW w:w="3120" w:type="dxa"/>
            <w:tcMar>
              <w:top w:w="105" w:type="dxa"/>
              <w:left w:w="125" w:type="dxa"/>
              <w:bottom w:w="105" w:type="dxa"/>
              <w:right w:w="125" w:type="dxa"/>
            </w:tcMar>
          </w:tcPr>
          <w:p w14:paraId="6A80D603" w14:textId="7ECFA334" w:rsidR="008E74D3" w:rsidRDefault="00FE4184">
            <w:pPr>
              <w:spacing w:after="50" w:line="255" w:lineRule="auto"/>
            </w:pPr>
            <w:r>
              <w:rPr>
                <w:sz w:val="19"/>
                <w:szCs w:val="19"/>
              </w:rPr>
              <w:t>A body’s existence, partner residence and material state are different readouts.</w:t>
            </w:r>
            <w:hyperlink r:id="rId48" w:history="1">
              <w:r>
                <w:rPr>
                  <w:color w:val="087B78"/>
                  <w:sz w:val="18"/>
                  <w:szCs w:val="18"/>
                </w:rPr>
                <w:t xml:space="preserve"> [1]</w:t>
              </w:r>
            </w:hyperlink>
            <w:hyperlink r:id="rId49" w:history="1">
              <w:r>
                <w:rPr>
                  <w:color w:val="087B78"/>
                  <w:sz w:val="18"/>
                  <w:szCs w:val="18"/>
                </w:rPr>
                <w:t xml:space="preserve"> [3]</w:t>
              </w:r>
            </w:hyperlink>
          </w:p>
        </w:tc>
      </w:tr>
      <w:tr w:rsidR="008E74D3" w14:paraId="79F2C1D0" w14:textId="77777777">
        <w:tblPrEx>
          <w:tblCellMar>
            <w:top w:w="0" w:type="dxa"/>
            <w:bottom w:w="0" w:type="dxa"/>
          </w:tblCellMar>
        </w:tblPrEx>
        <w:trPr>
          <w:cantSplit/>
        </w:trPr>
        <w:tc>
          <w:tcPr>
            <w:tcW w:w="3120" w:type="dxa"/>
            <w:tcMar>
              <w:top w:w="105" w:type="dxa"/>
              <w:left w:w="125" w:type="dxa"/>
              <w:bottom w:w="105" w:type="dxa"/>
              <w:right w:w="125" w:type="dxa"/>
            </w:tcMar>
          </w:tcPr>
          <w:p w14:paraId="5321F3B7" w14:textId="77777777" w:rsidR="008E74D3" w:rsidRDefault="00FE4184">
            <w:pPr>
              <w:spacing w:after="50" w:line="255" w:lineRule="auto"/>
            </w:pPr>
            <w:r>
              <w:rPr>
                <w:sz w:val="19"/>
                <w:szCs w:val="19"/>
              </w:rPr>
              <w:t>Chromatin and viral control</w:t>
            </w:r>
          </w:p>
        </w:tc>
        <w:tc>
          <w:tcPr>
            <w:tcW w:w="3120" w:type="dxa"/>
            <w:tcMar>
              <w:top w:w="105" w:type="dxa"/>
              <w:left w:w="125" w:type="dxa"/>
              <w:bottom w:w="105" w:type="dxa"/>
              <w:right w:w="125" w:type="dxa"/>
            </w:tcMar>
          </w:tcPr>
          <w:p w14:paraId="588F8407" w14:textId="77777777" w:rsidR="008E74D3" w:rsidRDefault="00FE4184">
            <w:pPr>
              <w:spacing w:after="50" w:line="255" w:lineRule="auto"/>
            </w:pPr>
            <w:r>
              <w:rPr>
                <w:sz w:val="19"/>
                <w:szCs w:val="19"/>
              </w:rPr>
              <w:t>DAXX deposition activity and cellular HSV-1 chromatinization</w:t>
            </w:r>
          </w:p>
        </w:tc>
        <w:tc>
          <w:tcPr>
            <w:tcW w:w="3120" w:type="dxa"/>
            <w:tcMar>
              <w:top w:w="105" w:type="dxa"/>
              <w:left w:w="125" w:type="dxa"/>
              <w:bottom w:w="105" w:type="dxa"/>
              <w:right w:w="125" w:type="dxa"/>
            </w:tcMar>
          </w:tcPr>
          <w:p w14:paraId="14C8E480" w14:textId="0AAF0889" w:rsidR="008E74D3" w:rsidRDefault="00FE4184">
            <w:pPr>
              <w:spacing w:after="50" w:line="255" w:lineRule="auto"/>
            </w:pPr>
            <w:r>
              <w:rPr>
                <w:sz w:val="19"/>
                <w:szCs w:val="19"/>
              </w:rPr>
              <w:t>Histone pools, locus deposition and organismal latency require separate measurements.</w:t>
            </w:r>
            <w:hyperlink r:id="rId50" w:history="1">
              <w:r>
                <w:rPr>
                  <w:color w:val="087B78"/>
                  <w:sz w:val="18"/>
                  <w:szCs w:val="18"/>
                </w:rPr>
                <w:t xml:space="preserve"> [5]</w:t>
              </w:r>
            </w:hyperlink>
            <w:hyperlink r:id="rId51" w:history="1">
              <w:r>
                <w:rPr>
                  <w:color w:val="087B78"/>
                  <w:sz w:val="18"/>
                  <w:szCs w:val="18"/>
                </w:rPr>
                <w:t xml:space="preserve"> [8]</w:t>
              </w:r>
            </w:hyperlink>
          </w:p>
        </w:tc>
      </w:tr>
      <w:tr w:rsidR="008E74D3" w14:paraId="1A3A420D" w14:textId="77777777">
        <w:tblPrEx>
          <w:tblCellMar>
            <w:top w:w="0" w:type="dxa"/>
            <w:bottom w:w="0" w:type="dxa"/>
          </w:tblCellMar>
        </w:tblPrEx>
        <w:trPr>
          <w:cantSplit/>
        </w:trPr>
        <w:tc>
          <w:tcPr>
            <w:tcW w:w="3120" w:type="dxa"/>
            <w:tcMar>
              <w:top w:w="105" w:type="dxa"/>
              <w:left w:w="125" w:type="dxa"/>
              <w:bottom w:w="105" w:type="dxa"/>
              <w:right w:w="125" w:type="dxa"/>
            </w:tcMar>
          </w:tcPr>
          <w:p w14:paraId="7102350E" w14:textId="77777777" w:rsidR="008E74D3" w:rsidRDefault="00FE4184">
            <w:pPr>
              <w:spacing w:after="50" w:line="255" w:lineRule="auto"/>
            </w:pPr>
            <w:r>
              <w:rPr>
                <w:sz w:val="19"/>
                <w:szCs w:val="19"/>
              </w:rPr>
              <w:t>Telomere organization</w:t>
            </w:r>
          </w:p>
        </w:tc>
        <w:tc>
          <w:tcPr>
            <w:tcW w:w="3120" w:type="dxa"/>
            <w:tcMar>
              <w:top w:w="105" w:type="dxa"/>
              <w:left w:w="125" w:type="dxa"/>
              <w:bottom w:w="105" w:type="dxa"/>
              <w:right w:w="125" w:type="dxa"/>
            </w:tcMar>
          </w:tcPr>
          <w:p w14:paraId="7CBA5AE2" w14:textId="77777777" w:rsidR="008E74D3" w:rsidRDefault="00FE4184">
            <w:pPr>
              <w:spacing w:after="50" w:line="255" w:lineRule="auto"/>
            </w:pPr>
            <w:r>
              <w:rPr>
                <w:sz w:val="19"/>
                <w:szCs w:val="19"/>
              </w:rPr>
              <w:t>Controlled ALT telomere-clustering experiments</w:t>
            </w:r>
          </w:p>
        </w:tc>
        <w:tc>
          <w:tcPr>
            <w:tcW w:w="3120" w:type="dxa"/>
            <w:tcMar>
              <w:top w:w="105" w:type="dxa"/>
              <w:left w:w="125" w:type="dxa"/>
              <w:bottom w:w="105" w:type="dxa"/>
              <w:right w:w="125" w:type="dxa"/>
            </w:tcMar>
          </w:tcPr>
          <w:p w14:paraId="143D9999" w14:textId="7A0EF03E" w:rsidR="008E74D3" w:rsidRDefault="00FE4184">
            <w:pPr>
              <w:spacing w:after="50" w:line="255" w:lineRule="auto"/>
            </w:pPr>
            <w:r>
              <w:rPr>
                <w:sz w:val="19"/>
                <w:szCs w:val="19"/>
              </w:rPr>
              <w:t>Clustering alone does not reconstruct every requirement for telomere DNA synthesis.</w:t>
            </w:r>
            <w:hyperlink r:id="rId52" w:history="1">
              <w:r>
                <w:rPr>
                  <w:color w:val="087B78"/>
                  <w:sz w:val="18"/>
                  <w:szCs w:val="18"/>
                </w:rPr>
                <w:t xml:space="preserve"> [6]</w:t>
              </w:r>
            </w:hyperlink>
          </w:p>
        </w:tc>
      </w:tr>
      <w:tr w:rsidR="008E74D3" w14:paraId="4B8114FC" w14:textId="77777777">
        <w:tblPrEx>
          <w:tblCellMar>
            <w:top w:w="0" w:type="dxa"/>
            <w:bottom w:w="0" w:type="dxa"/>
          </w:tblCellMar>
        </w:tblPrEx>
        <w:trPr>
          <w:cantSplit/>
        </w:trPr>
        <w:tc>
          <w:tcPr>
            <w:tcW w:w="3120" w:type="dxa"/>
            <w:tcMar>
              <w:top w:w="105" w:type="dxa"/>
              <w:left w:w="125" w:type="dxa"/>
              <w:bottom w:w="105" w:type="dxa"/>
              <w:right w:w="125" w:type="dxa"/>
            </w:tcMar>
          </w:tcPr>
          <w:p w14:paraId="48049A6E" w14:textId="77777777" w:rsidR="008E74D3" w:rsidRDefault="00FE4184">
            <w:pPr>
              <w:spacing w:after="50" w:line="255" w:lineRule="auto"/>
            </w:pPr>
            <w:r>
              <w:rPr>
                <w:sz w:val="19"/>
                <w:szCs w:val="19"/>
              </w:rPr>
              <w:t>Protein quality regulation</w:t>
            </w:r>
          </w:p>
        </w:tc>
        <w:tc>
          <w:tcPr>
            <w:tcW w:w="3120" w:type="dxa"/>
            <w:tcMar>
              <w:top w:w="105" w:type="dxa"/>
              <w:left w:w="125" w:type="dxa"/>
              <w:bottom w:w="105" w:type="dxa"/>
              <w:right w:w="125" w:type="dxa"/>
            </w:tcMar>
          </w:tcPr>
          <w:p w14:paraId="73A54028" w14:textId="77777777" w:rsidR="008E74D3" w:rsidRDefault="00FE4184">
            <w:pPr>
              <w:spacing w:after="50" w:line="255" w:lineRule="auto"/>
            </w:pPr>
            <w:r>
              <w:rPr>
                <w:sz w:val="19"/>
                <w:szCs w:val="19"/>
              </w:rPr>
              <w:t>Engineered TDP-43 proximity and SUMO–ubiquitin/p97 response</w:t>
            </w:r>
          </w:p>
        </w:tc>
        <w:tc>
          <w:tcPr>
            <w:tcW w:w="3120" w:type="dxa"/>
            <w:tcMar>
              <w:top w:w="105" w:type="dxa"/>
              <w:left w:w="125" w:type="dxa"/>
              <w:bottom w:w="105" w:type="dxa"/>
              <w:right w:w="125" w:type="dxa"/>
            </w:tcMar>
          </w:tcPr>
          <w:p w14:paraId="259B2256" w14:textId="2FA3723F" w:rsidR="008E74D3" w:rsidRDefault="00FE4184">
            <w:pPr>
              <w:spacing w:after="50" w:line="255" w:lineRule="auto"/>
            </w:pPr>
            <w:r>
              <w:rPr>
                <w:sz w:val="19"/>
                <w:szCs w:val="19"/>
              </w:rPr>
              <w:t>Cellular protection from insolubility is distinct from validated clinical treatment.</w:t>
            </w:r>
            <w:hyperlink r:id="rId53" w:history="1">
              <w:r>
                <w:rPr>
                  <w:color w:val="087B78"/>
                  <w:sz w:val="18"/>
                  <w:szCs w:val="18"/>
                </w:rPr>
                <w:t xml:space="preserve"> [4]</w:t>
              </w:r>
            </w:hyperlink>
          </w:p>
        </w:tc>
      </w:tr>
      <w:tr w:rsidR="008E74D3" w14:paraId="608A0B82" w14:textId="77777777">
        <w:tblPrEx>
          <w:tblCellMar>
            <w:top w:w="0" w:type="dxa"/>
            <w:bottom w:w="0" w:type="dxa"/>
          </w:tblCellMar>
        </w:tblPrEx>
        <w:trPr>
          <w:cantSplit/>
        </w:trPr>
        <w:tc>
          <w:tcPr>
            <w:tcW w:w="3120" w:type="dxa"/>
            <w:tcMar>
              <w:top w:w="105" w:type="dxa"/>
              <w:left w:w="125" w:type="dxa"/>
              <w:bottom w:w="105" w:type="dxa"/>
              <w:right w:w="125" w:type="dxa"/>
            </w:tcMar>
          </w:tcPr>
          <w:p w14:paraId="320ED5EC" w14:textId="77777777" w:rsidR="008E74D3" w:rsidRDefault="00FE4184">
            <w:pPr>
              <w:spacing w:after="50" w:line="255" w:lineRule="auto"/>
            </w:pPr>
            <w:r>
              <w:rPr>
                <w:sz w:val="19"/>
                <w:szCs w:val="19"/>
              </w:rPr>
              <w:t>Therapeutic translation</w:t>
            </w:r>
          </w:p>
        </w:tc>
        <w:tc>
          <w:tcPr>
            <w:tcW w:w="3120" w:type="dxa"/>
            <w:tcMar>
              <w:top w:w="105" w:type="dxa"/>
              <w:left w:w="125" w:type="dxa"/>
              <w:bottom w:w="105" w:type="dxa"/>
              <w:right w:w="125" w:type="dxa"/>
            </w:tcMar>
          </w:tcPr>
          <w:p w14:paraId="7E31986C" w14:textId="77777777" w:rsidR="008E74D3" w:rsidRDefault="00FE4184">
            <w:pPr>
              <w:spacing w:after="50" w:line="255" w:lineRule="auto"/>
            </w:pPr>
            <w:r>
              <w:rPr>
                <w:sz w:val="19"/>
                <w:szCs w:val="19"/>
              </w:rPr>
              <w:t>Molecular PML turnover and randomized APL clinical outcomes</w:t>
            </w:r>
          </w:p>
        </w:tc>
        <w:tc>
          <w:tcPr>
            <w:tcW w:w="3120" w:type="dxa"/>
            <w:tcMar>
              <w:top w:w="105" w:type="dxa"/>
              <w:left w:w="125" w:type="dxa"/>
              <w:bottom w:w="105" w:type="dxa"/>
              <w:right w:w="125" w:type="dxa"/>
            </w:tcMar>
          </w:tcPr>
          <w:p w14:paraId="4FB15155" w14:textId="6E1C8237" w:rsidR="008E74D3" w:rsidRDefault="00FE4184">
            <w:pPr>
              <w:spacing w:after="50" w:line="255" w:lineRule="auto"/>
            </w:pPr>
            <w:r>
              <w:rPr>
                <w:sz w:val="19"/>
                <w:szCs w:val="19"/>
              </w:rPr>
              <w:t>Drug mechanism and trial efficacy are different claims at different biological levels.</w:t>
            </w:r>
            <w:hyperlink r:id="rId54" w:history="1">
              <w:r>
                <w:rPr>
                  <w:color w:val="087B78"/>
                  <w:sz w:val="18"/>
                  <w:szCs w:val="18"/>
                </w:rPr>
                <w:t xml:space="preserve"> [7]</w:t>
              </w:r>
            </w:hyperlink>
            <w:hyperlink r:id="rId55" w:history="1">
              <w:r>
                <w:rPr>
                  <w:color w:val="087B78"/>
                  <w:sz w:val="18"/>
                  <w:szCs w:val="18"/>
                </w:rPr>
                <w:t xml:space="preserve"> [9]</w:t>
              </w:r>
            </w:hyperlink>
          </w:p>
        </w:tc>
      </w:tr>
    </w:tbl>
    <w:p w14:paraId="2AE86E11" w14:textId="77777777" w:rsidR="008E74D3" w:rsidRDefault="008E74D3">
      <w:pPr>
        <w:spacing w:after="170"/>
      </w:pPr>
    </w:p>
    <w:p w14:paraId="31D354F9" w14:textId="0DDD2CDE" w:rsidR="008E74D3" w:rsidRDefault="00FE4184">
      <w:r>
        <w:t xml:space="preserve">PML bodies are best understood as regulated scaffolds organizing conditional interaction and modification networks. The recurring principle is selective molecular access, but the resulting function depends on the recruited substrate: a histone, viral genome, telomere or stress-sensitive protein. Future experiments should separate scaffold interfaces from client functions and follow the affected substrate to a direct biological endpoint. This framework accommodates structural and dynamic heterogeneity while </w:t>
      </w:r>
      <w:r>
        <w:t>keeping mechanistic and translational claims proportional to the evidence.</w:t>
      </w:r>
      <w:hyperlink r:id="rId56" w:history="1">
        <w:r>
          <w:rPr>
            <w:color w:val="087B78"/>
            <w:sz w:val="18"/>
            <w:szCs w:val="18"/>
          </w:rPr>
          <w:t xml:space="preserve"> [2]</w:t>
        </w:r>
      </w:hyperlink>
      <w:hyperlink r:id="rId57" w:history="1">
        <w:r>
          <w:rPr>
            <w:color w:val="087B78"/>
            <w:sz w:val="18"/>
            <w:szCs w:val="18"/>
          </w:rPr>
          <w:t xml:space="preserve"> [1]</w:t>
        </w:r>
      </w:hyperlink>
      <w:hyperlink r:id="rId58" w:history="1">
        <w:r>
          <w:rPr>
            <w:color w:val="087B78"/>
            <w:sz w:val="18"/>
            <w:szCs w:val="18"/>
          </w:rPr>
          <w:t xml:space="preserve"> [5]</w:t>
        </w:r>
      </w:hyperlink>
      <w:hyperlink r:id="rId59" w:history="1">
        <w:r>
          <w:rPr>
            <w:color w:val="087B78"/>
            <w:sz w:val="18"/>
            <w:szCs w:val="18"/>
          </w:rPr>
          <w:t xml:space="preserve"> [8]</w:t>
        </w:r>
      </w:hyperlink>
      <w:hyperlink r:id="rId60" w:history="1">
        <w:r>
          <w:rPr>
            <w:color w:val="087B78"/>
            <w:sz w:val="18"/>
            <w:szCs w:val="18"/>
          </w:rPr>
          <w:t xml:space="preserve"> [6]</w:t>
        </w:r>
      </w:hyperlink>
      <w:hyperlink r:id="rId61" w:history="1">
        <w:r>
          <w:rPr>
            <w:color w:val="087B78"/>
            <w:sz w:val="18"/>
            <w:szCs w:val="18"/>
          </w:rPr>
          <w:t xml:space="preserve"> [4]</w:t>
        </w:r>
      </w:hyperlink>
    </w:p>
    <w:p w14:paraId="136FA349" w14:textId="77777777" w:rsidR="008E74D3" w:rsidRDefault="00FE4184">
      <w:pPr>
        <w:pStyle w:val="Heading1"/>
      </w:pPr>
      <w:bookmarkStart w:id="11" w:name="_Toc242668408"/>
      <w:r>
        <w:t>References</w:t>
      </w:r>
      <w:bookmarkEnd w:id="11"/>
    </w:p>
    <w:p w14:paraId="3CD7DE4B" w14:textId="51083B25" w:rsidR="008E74D3" w:rsidRDefault="00FE4184">
      <w:pPr>
        <w:keepLines/>
        <w:spacing w:after="90" w:line="245" w:lineRule="auto"/>
      </w:pPr>
      <w:r>
        <w:rPr>
          <w:b/>
          <w:bCs/>
          <w:sz w:val="20"/>
          <w:szCs w:val="20"/>
        </w:rPr>
        <w:t xml:space="preserve">[1] Sahin et al. (2014). </w:t>
      </w:r>
      <w:r>
        <w:rPr>
          <w:sz w:val="20"/>
          <w:szCs w:val="20"/>
        </w:rPr>
        <w:t xml:space="preserve">Oxidative stress-induced assembly of PML nuclear bodies controls sumoylation of partner proteins. Journal of Cell Biology. </w:t>
      </w:r>
      <w:hyperlink r:id="rId62" w:history="1">
        <w:r>
          <w:rPr>
            <w:color w:val="087B78"/>
            <w:sz w:val="20"/>
            <w:szCs w:val="20"/>
            <w:u w:val="single"/>
          </w:rPr>
          <w:t>10.1083/jcb.201305148</w:t>
        </w:r>
      </w:hyperlink>
    </w:p>
    <w:p w14:paraId="4077B49E" w14:textId="65844BE9" w:rsidR="008E74D3" w:rsidRDefault="00FE4184">
      <w:pPr>
        <w:keepLines/>
        <w:spacing w:after="90" w:line="245" w:lineRule="auto"/>
      </w:pPr>
      <w:r>
        <w:rPr>
          <w:b/>
          <w:bCs/>
          <w:sz w:val="20"/>
          <w:szCs w:val="20"/>
        </w:rPr>
        <w:t xml:space="preserve">[2] Tan et al. (2024). </w:t>
      </w:r>
      <w:r>
        <w:rPr>
          <w:sz w:val="20"/>
          <w:szCs w:val="20"/>
        </w:rPr>
        <w:t xml:space="preserve">Cryo-EM structure of PML RBCC dimer reveals CC-mediated octopus-like nuclear body assembly mechanism. Cell Discovery. </w:t>
      </w:r>
      <w:hyperlink r:id="rId63" w:history="1">
        <w:r>
          <w:rPr>
            <w:color w:val="087B78"/>
            <w:sz w:val="20"/>
            <w:szCs w:val="20"/>
            <w:u w:val="single"/>
          </w:rPr>
          <w:t>10.1038/s41421-024-00735-3</w:t>
        </w:r>
      </w:hyperlink>
    </w:p>
    <w:p w14:paraId="4B58F547" w14:textId="6A5EE03B" w:rsidR="008E74D3" w:rsidRDefault="00FE4184">
      <w:pPr>
        <w:keepLines/>
        <w:spacing w:after="90" w:line="245" w:lineRule="auto"/>
      </w:pPr>
      <w:r>
        <w:rPr>
          <w:b/>
          <w:bCs/>
          <w:sz w:val="20"/>
          <w:szCs w:val="20"/>
        </w:rPr>
        <w:t xml:space="preserve">[3] Weidtkamp-Peters et al. (2008). </w:t>
      </w:r>
      <w:r>
        <w:rPr>
          <w:sz w:val="20"/>
          <w:szCs w:val="20"/>
        </w:rPr>
        <w:t xml:space="preserve">Dynamics of component exchange at PML nuclear bodies. Journal of Cell Science. </w:t>
      </w:r>
      <w:hyperlink r:id="rId64" w:history="1">
        <w:r>
          <w:rPr>
            <w:color w:val="087B78"/>
            <w:sz w:val="20"/>
            <w:szCs w:val="20"/>
            <w:u w:val="single"/>
          </w:rPr>
          <w:t>10.1242/jcs.031922</w:t>
        </w:r>
      </w:hyperlink>
    </w:p>
    <w:p w14:paraId="2EC68381" w14:textId="5CF69B40" w:rsidR="008E74D3" w:rsidRDefault="00FE4184">
      <w:pPr>
        <w:keepLines/>
        <w:spacing w:after="90" w:line="245" w:lineRule="auto"/>
      </w:pPr>
      <w:r>
        <w:rPr>
          <w:b/>
          <w:bCs/>
          <w:sz w:val="20"/>
          <w:szCs w:val="20"/>
        </w:rPr>
        <w:t xml:space="preserve">[4] Wagner et al. (2025). </w:t>
      </w:r>
      <w:r>
        <w:rPr>
          <w:sz w:val="20"/>
          <w:szCs w:val="20"/>
        </w:rPr>
        <w:t xml:space="preserve">Induced proximity to PML protects TDP-43 from aggregation via SUMO–ubiquitin networks. Nature Chemical Biology. </w:t>
      </w:r>
      <w:hyperlink r:id="rId65" w:history="1">
        <w:r>
          <w:rPr>
            <w:color w:val="087B78"/>
            <w:sz w:val="20"/>
            <w:szCs w:val="20"/>
            <w:u w:val="single"/>
          </w:rPr>
          <w:t>10.1038/s41589-025-01886-4</w:t>
        </w:r>
      </w:hyperlink>
    </w:p>
    <w:p w14:paraId="10AFB61F" w14:textId="7E16D577" w:rsidR="008E74D3" w:rsidRDefault="00FE4184">
      <w:pPr>
        <w:keepLines/>
        <w:spacing w:after="90" w:line="245" w:lineRule="auto"/>
      </w:pPr>
      <w:r>
        <w:rPr>
          <w:b/>
          <w:bCs/>
          <w:sz w:val="20"/>
          <w:szCs w:val="20"/>
        </w:rPr>
        <w:lastRenderedPageBreak/>
        <w:t xml:space="preserve">[5] Drané et al. (2010). </w:t>
      </w:r>
      <w:r>
        <w:rPr>
          <w:sz w:val="20"/>
          <w:szCs w:val="20"/>
        </w:rPr>
        <w:t xml:space="preserve">The death-associated protein DAXX is a novel histone chaperone involved in the replication-independent deposition of H3.3. Genes &amp; Development. </w:t>
      </w:r>
      <w:hyperlink r:id="rId66" w:history="1">
        <w:r>
          <w:rPr>
            <w:color w:val="087B78"/>
            <w:sz w:val="20"/>
            <w:szCs w:val="20"/>
            <w:u w:val="single"/>
          </w:rPr>
          <w:t>10.1101/gad.566910</w:t>
        </w:r>
      </w:hyperlink>
    </w:p>
    <w:p w14:paraId="3FEA76F6" w14:textId="50F47CDC" w:rsidR="008E74D3" w:rsidRDefault="00FE4184">
      <w:pPr>
        <w:keepLines/>
        <w:spacing w:after="90" w:line="245" w:lineRule="auto"/>
      </w:pPr>
      <w:r>
        <w:rPr>
          <w:b/>
          <w:bCs/>
          <w:sz w:val="20"/>
          <w:szCs w:val="20"/>
        </w:rPr>
        <w:t xml:space="preserve">[6] Zhang et al. (2020). </w:t>
      </w:r>
      <w:r>
        <w:rPr>
          <w:sz w:val="20"/>
          <w:szCs w:val="20"/>
        </w:rPr>
        <w:t xml:space="preserve">Nuclear body phase separation drives telomere clustering in ALT cancer cells. Molecular Biology of the Cell. </w:t>
      </w:r>
      <w:hyperlink r:id="rId67" w:history="1">
        <w:r>
          <w:rPr>
            <w:color w:val="087B78"/>
            <w:sz w:val="20"/>
            <w:szCs w:val="20"/>
            <w:u w:val="single"/>
          </w:rPr>
          <w:t>10.1091/mbc.E19-10-0589</w:t>
        </w:r>
      </w:hyperlink>
    </w:p>
    <w:p w14:paraId="20E2A1F2" w14:textId="5E83CEE9" w:rsidR="008E74D3" w:rsidRDefault="00FE4184">
      <w:pPr>
        <w:keepLines/>
        <w:spacing w:after="90" w:line="245" w:lineRule="auto"/>
      </w:pPr>
      <w:r>
        <w:rPr>
          <w:b/>
          <w:bCs/>
          <w:sz w:val="20"/>
          <w:szCs w:val="20"/>
        </w:rPr>
        <w:t xml:space="preserve">[7] Tatham et al. (2008). </w:t>
      </w:r>
      <w:r>
        <w:rPr>
          <w:sz w:val="20"/>
          <w:szCs w:val="20"/>
        </w:rPr>
        <w:t xml:space="preserve">RNF4 is a poly-SUMO-specific E3 ubiquitin ligase required for arsenic-induced PML degradation. Nature Cell Biology. </w:t>
      </w:r>
      <w:hyperlink r:id="rId68" w:history="1">
        <w:r>
          <w:rPr>
            <w:color w:val="087B78"/>
            <w:sz w:val="20"/>
            <w:szCs w:val="20"/>
            <w:u w:val="single"/>
          </w:rPr>
          <w:t>10.1038/ncb1716</w:t>
        </w:r>
      </w:hyperlink>
    </w:p>
    <w:p w14:paraId="316B8DF1" w14:textId="4C8591CB" w:rsidR="008E74D3" w:rsidRDefault="00FE4184">
      <w:pPr>
        <w:keepLines/>
        <w:spacing w:after="90" w:line="245" w:lineRule="auto"/>
      </w:pPr>
      <w:r>
        <w:rPr>
          <w:b/>
          <w:bCs/>
          <w:sz w:val="20"/>
          <w:szCs w:val="20"/>
        </w:rPr>
        <w:t xml:space="preserve">[8] Cohen et al. (2018). </w:t>
      </w:r>
      <w:r>
        <w:rPr>
          <w:sz w:val="20"/>
          <w:szCs w:val="20"/>
        </w:rPr>
        <w:t xml:space="preserve">Promyelocytic leukemia (PML) nuclear bodies (NBs) induce latent/quiescent HSV-1 genomes chromatinization through a PML NB/Histone H3.3/H3.3 Chaperone Axis. PLOS Pathogens. </w:t>
      </w:r>
      <w:hyperlink r:id="rId69" w:history="1">
        <w:r>
          <w:rPr>
            <w:color w:val="087B78"/>
            <w:sz w:val="20"/>
            <w:szCs w:val="20"/>
            <w:u w:val="single"/>
          </w:rPr>
          <w:t>10.1371/journal.ppat.1007313</w:t>
        </w:r>
      </w:hyperlink>
    </w:p>
    <w:p w14:paraId="063125E7" w14:textId="44087885" w:rsidR="008E74D3" w:rsidRDefault="00FE4184">
      <w:pPr>
        <w:keepLines/>
        <w:spacing w:after="90" w:line="245" w:lineRule="auto"/>
      </w:pPr>
      <w:r>
        <w:rPr>
          <w:b/>
          <w:bCs/>
          <w:sz w:val="20"/>
          <w:szCs w:val="20"/>
        </w:rPr>
        <w:t xml:space="preserve">[9] Lo-Coco et al. (2013). </w:t>
      </w:r>
      <w:r>
        <w:rPr>
          <w:sz w:val="20"/>
          <w:szCs w:val="20"/>
        </w:rPr>
        <w:t xml:space="preserve">Retinoic acid and arsenic trioxide for acute promyelocytic leukemia. New England Journal of Medicine. </w:t>
      </w:r>
      <w:hyperlink r:id="rId70" w:history="1">
        <w:r>
          <w:rPr>
            <w:color w:val="087B78"/>
            <w:sz w:val="20"/>
            <w:szCs w:val="20"/>
            <w:u w:val="single"/>
          </w:rPr>
          <w:t>10.1056/NEJMoa1300874</w:t>
        </w:r>
      </w:hyperlink>
    </w:p>
    <w:p w14:paraId="2687D01C" w14:textId="77777777" w:rsidR="008E74D3" w:rsidRDefault="00FE4184">
      <w:pPr>
        <w:pStyle w:val="Heading1"/>
      </w:pPr>
      <w:bookmarkStart w:id="12" w:name="_Toc242668409"/>
      <w:r>
        <w:t>Evidence scope</w:t>
      </w:r>
      <w:bookmarkEnd w:id="12"/>
    </w:p>
    <w:p w14:paraId="434776B2" w14:textId="77777777" w:rsidR="008E74D3" w:rsidRDefault="00FE4184">
      <w:pPr>
        <w:keepLines/>
        <w:spacing w:after="160" w:line="270" w:lineRule="auto"/>
      </w:pPr>
      <w:r>
        <w:t>This scholarly synthesis integrates foundational studies and literature available by 12 October 2026. Source access ranges from primary abstracts to selected Results, figure captions and Methods, as specified for each reference. Experiments and models retain their organism, construct and perturbation context; raw data and supplementary material have not been comprehensively reanalysed.</w:t>
      </w:r>
    </w:p>
    <w:sectPr w:rsidR="008E74D3">
      <w:headerReference w:type="default" r:id="rId71"/>
      <w:footerReference w:type="default" r:id="rId72"/>
      <w:pgSz w:w="12240" w:h="15840"/>
      <w:pgMar w:top="1250" w:right="1440" w:bottom="1250" w:left="1440" w:header="650" w:footer="6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BA119" w14:textId="77777777" w:rsidR="00FE4184" w:rsidRDefault="00FE4184">
      <w:pPr>
        <w:spacing w:after="0" w:line="240" w:lineRule="auto"/>
      </w:pPr>
      <w:r>
        <w:separator/>
      </w:r>
    </w:p>
  </w:endnote>
  <w:endnote w:type="continuationSeparator" w:id="0">
    <w:p w14:paraId="3F5BC1CF" w14:textId="77777777" w:rsidR="00FE4184" w:rsidRDefault="00FE4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F514D" w14:textId="77777777" w:rsidR="008E74D3" w:rsidRDefault="00FE4184">
    <w:pPr>
      <w:jc w:val="right"/>
    </w:pPr>
    <w:r>
      <w:rPr>
        <w:color w:val="527077"/>
        <w:sz w:val="17"/>
        <w:szCs w:val="17"/>
      </w:rPr>
      <w:t xml:space="preserve">CellNucleus · Page </w:t>
    </w:r>
    <w:r>
      <w:rPr>
        <w:color w:val="527077"/>
        <w:sz w:val="17"/>
        <w:szCs w:val="17"/>
      </w:rPr>
      <w:fldChar w:fldCharType="begin"/>
    </w:r>
    <w:r>
      <w:rPr>
        <w:color w:val="527077"/>
        <w:sz w:val="17"/>
        <w:szCs w:val="17"/>
      </w:rPr>
      <w:instrText>PAGE</w:instrText>
    </w:r>
    <w:r>
      <w:rPr>
        <w:color w:val="527077"/>
        <w:sz w:val="17"/>
        <w:szCs w:val="17"/>
      </w:rPr>
      <w:fldChar w:fldCharType="separate"/>
    </w:r>
    <w:r w:rsidR="003142A2">
      <w:rPr>
        <w:noProof/>
        <w:color w:val="527077"/>
        <w:sz w:val="17"/>
        <w:szCs w:val="17"/>
      </w:rPr>
      <w:t>1</w:t>
    </w:r>
    <w:r>
      <w:rPr>
        <w:color w:val="527077"/>
        <w:sz w:val="17"/>
        <w:szCs w:val="17"/>
      </w:rPr>
      <w:fldChar w:fldCharType="end"/>
    </w:r>
    <w:r>
      <w:rPr>
        <w:color w:val="527077"/>
        <w:sz w:val="17"/>
        <w:szCs w:val="17"/>
      </w:rPr>
      <w:t xml:space="preserve"> of </w:t>
    </w:r>
    <w:r>
      <w:rPr>
        <w:color w:val="527077"/>
        <w:sz w:val="17"/>
        <w:szCs w:val="17"/>
      </w:rPr>
      <w:fldChar w:fldCharType="begin"/>
    </w:r>
    <w:r>
      <w:rPr>
        <w:color w:val="527077"/>
        <w:sz w:val="17"/>
        <w:szCs w:val="17"/>
      </w:rPr>
      <w:instrText>NUMPAGES</w:instrText>
    </w:r>
    <w:r>
      <w:rPr>
        <w:color w:val="527077"/>
        <w:sz w:val="17"/>
        <w:szCs w:val="17"/>
      </w:rPr>
      <w:fldChar w:fldCharType="separate"/>
    </w:r>
    <w:r w:rsidR="003142A2">
      <w:rPr>
        <w:noProof/>
        <w:color w:val="527077"/>
        <w:sz w:val="17"/>
        <w:szCs w:val="17"/>
      </w:rPr>
      <w:t>2</w:t>
    </w:r>
    <w:r>
      <w:rPr>
        <w:color w:val="5270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744C9" w14:textId="77777777" w:rsidR="00FE4184" w:rsidRDefault="00FE4184">
      <w:pPr>
        <w:spacing w:after="0" w:line="240" w:lineRule="auto"/>
      </w:pPr>
      <w:r>
        <w:separator/>
      </w:r>
    </w:p>
  </w:footnote>
  <w:footnote w:type="continuationSeparator" w:id="0">
    <w:p w14:paraId="4010AB19" w14:textId="77777777" w:rsidR="00FE4184" w:rsidRDefault="00FE41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A5C43" w14:textId="77777777" w:rsidR="008E74D3" w:rsidRDefault="00FE4184">
    <w:pPr>
      <w:pBdr>
        <w:bottom w:val="single" w:sz="4" w:space="0" w:color="B8D1D0"/>
      </w:pBdr>
    </w:pPr>
    <w:r>
      <w:rPr>
        <w:color w:val="527077"/>
        <w:sz w:val="17"/>
        <w:szCs w:val="17"/>
      </w:rPr>
      <w:t>PML Nuclear Bodies: Assembly, SUMO Networks and Conditional Biologica…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9263F"/>
    <w:multiLevelType w:val="hybridMultilevel"/>
    <w:tmpl w:val="FA960CCA"/>
    <w:lvl w:ilvl="0" w:tplc="F5D0ECB8">
      <w:start w:val="1"/>
      <w:numFmt w:val="bullet"/>
      <w:lvlText w:val="•"/>
      <w:lvlJc w:val="left"/>
      <w:pPr>
        <w:ind w:left="340" w:hanging="170"/>
      </w:pPr>
    </w:lvl>
    <w:lvl w:ilvl="1" w:tplc="06DA490E">
      <w:numFmt w:val="decimal"/>
      <w:lvlText w:val=""/>
      <w:lvlJc w:val="left"/>
    </w:lvl>
    <w:lvl w:ilvl="2" w:tplc="F7C2528A">
      <w:numFmt w:val="decimal"/>
      <w:lvlText w:val=""/>
      <w:lvlJc w:val="left"/>
    </w:lvl>
    <w:lvl w:ilvl="3" w:tplc="D4F67F96">
      <w:numFmt w:val="decimal"/>
      <w:lvlText w:val=""/>
      <w:lvlJc w:val="left"/>
    </w:lvl>
    <w:lvl w:ilvl="4" w:tplc="34668740">
      <w:numFmt w:val="decimal"/>
      <w:lvlText w:val=""/>
      <w:lvlJc w:val="left"/>
    </w:lvl>
    <w:lvl w:ilvl="5" w:tplc="4AE0FB08">
      <w:numFmt w:val="decimal"/>
      <w:lvlText w:val=""/>
      <w:lvlJc w:val="left"/>
    </w:lvl>
    <w:lvl w:ilvl="6" w:tplc="1792BB42">
      <w:numFmt w:val="decimal"/>
      <w:lvlText w:val=""/>
      <w:lvlJc w:val="left"/>
    </w:lvl>
    <w:lvl w:ilvl="7" w:tplc="4F68C708">
      <w:numFmt w:val="decimal"/>
      <w:lvlText w:val=""/>
      <w:lvlJc w:val="left"/>
    </w:lvl>
    <w:lvl w:ilvl="8" w:tplc="36CECE12">
      <w:numFmt w:val="decimal"/>
      <w:lvlText w:val=""/>
      <w:lvlJc w:val="left"/>
    </w:lvl>
  </w:abstractNum>
  <w:abstractNum w:abstractNumId="1" w15:restartNumberingAfterBreak="0">
    <w:nsid w:val="69B93917"/>
    <w:multiLevelType w:val="hybridMultilevel"/>
    <w:tmpl w:val="DC6807F6"/>
    <w:lvl w:ilvl="0" w:tplc="B82C1F84">
      <w:start w:val="1"/>
      <w:numFmt w:val="bullet"/>
      <w:lvlText w:val="●"/>
      <w:lvlJc w:val="left"/>
      <w:pPr>
        <w:ind w:left="720" w:hanging="360"/>
      </w:pPr>
    </w:lvl>
    <w:lvl w:ilvl="1" w:tplc="82C424CC">
      <w:start w:val="1"/>
      <w:numFmt w:val="bullet"/>
      <w:lvlText w:val="○"/>
      <w:lvlJc w:val="left"/>
      <w:pPr>
        <w:ind w:left="1440" w:hanging="360"/>
      </w:pPr>
    </w:lvl>
    <w:lvl w:ilvl="2" w:tplc="09B4B95A">
      <w:start w:val="1"/>
      <w:numFmt w:val="bullet"/>
      <w:lvlText w:val="■"/>
      <w:lvlJc w:val="left"/>
      <w:pPr>
        <w:ind w:left="2160" w:hanging="360"/>
      </w:pPr>
    </w:lvl>
    <w:lvl w:ilvl="3" w:tplc="6202483E">
      <w:start w:val="1"/>
      <w:numFmt w:val="bullet"/>
      <w:lvlText w:val="●"/>
      <w:lvlJc w:val="left"/>
      <w:pPr>
        <w:ind w:left="2880" w:hanging="360"/>
      </w:pPr>
    </w:lvl>
    <w:lvl w:ilvl="4" w:tplc="D9D4451A">
      <w:start w:val="1"/>
      <w:numFmt w:val="bullet"/>
      <w:lvlText w:val="○"/>
      <w:lvlJc w:val="left"/>
      <w:pPr>
        <w:ind w:left="3600" w:hanging="360"/>
      </w:pPr>
    </w:lvl>
    <w:lvl w:ilvl="5" w:tplc="85BE3424">
      <w:start w:val="1"/>
      <w:numFmt w:val="bullet"/>
      <w:lvlText w:val="■"/>
      <w:lvlJc w:val="left"/>
      <w:pPr>
        <w:ind w:left="4320" w:hanging="360"/>
      </w:pPr>
    </w:lvl>
    <w:lvl w:ilvl="6" w:tplc="B908FEA2">
      <w:start w:val="1"/>
      <w:numFmt w:val="bullet"/>
      <w:lvlText w:val="●"/>
      <w:lvlJc w:val="left"/>
      <w:pPr>
        <w:ind w:left="5040" w:hanging="360"/>
      </w:pPr>
    </w:lvl>
    <w:lvl w:ilvl="7" w:tplc="1E8A08F2">
      <w:start w:val="1"/>
      <w:numFmt w:val="bullet"/>
      <w:lvlText w:val="●"/>
      <w:lvlJc w:val="left"/>
      <w:pPr>
        <w:ind w:left="5760" w:hanging="360"/>
      </w:pPr>
    </w:lvl>
    <w:lvl w:ilvl="8" w:tplc="A3EE8FAA">
      <w:start w:val="1"/>
      <w:numFmt w:val="bullet"/>
      <w:lvlText w:val="●"/>
      <w:lvlJc w:val="left"/>
      <w:pPr>
        <w:ind w:left="6480" w:hanging="360"/>
      </w:pPr>
    </w:lvl>
  </w:abstractNum>
  <w:num w:numId="1" w16cid:durableId="7270757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4D3"/>
    <w:rsid w:val="003142A2"/>
    <w:rsid w:val="004C0A80"/>
    <w:rsid w:val="008E74D3"/>
    <w:rsid w:val="00FE4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06E16E"/>
  <w15:docId w15:val="{5CB7FA72-C0F7-4D01-915B-6599E9C2E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43F48"/>
        <w:sz w:val="22"/>
        <w:szCs w:val="22"/>
        <w:lang w:val="en-US" w:eastAsia="en-US" w:bidi="ar-SA"/>
      </w:rPr>
    </w:rPrDefault>
    <w:pPrDefault>
      <w:pPr>
        <w:spacing w:after="150" w:line="28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30"/>
      <w:outlineLvl w:val="0"/>
    </w:pPr>
    <w:rPr>
      <w:b/>
      <w:bCs/>
      <w:color w:val="173B4C"/>
      <w:sz w:val="32"/>
      <w:szCs w:val="32"/>
    </w:rPr>
  </w:style>
  <w:style w:type="paragraph" w:styleId="Heading2">
    <w:name w:val="heading 2"/>
    <w:uiPriority w:val="9"/>
    <w:semiHidden/>
    <w:unhideWhenUsed/>
    <w:qFormat/>
    <w:pPr>
      <w:keepNext/>
      <w:spacing w:before="240" w:after="120"/>
      <w:outlineLvl w:val="1"/>
    </w:pPr>
    <w:rPr>
      <w:b/>
      <w:bCs/>
      <w:color w:val="087B7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Subtitle"/>
    <w:uiPriority w:val="10"/>
    <w:qFormat/>
    <w:pPr>
      <w:spacing w:after="240"/>
    </w:pPr>
    <w:rPr>
      <w:b/>
      <w:bCs/>
      <w:color w:val="173B4C"/>
      <w:sz w:val="54"/>
      <w:szCs w:val="5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180"/>
    </w:pPr>
    <w:rPr>
      <w:color w:val="527077"/>
      <w:sz w:val="25"/>
      <w:szCs w:val="25"/>
    </w:rPr>
  </w:style>
  <w:style w:type="paragraph" w:styleId="TOC1">
    <w:name w:val="toc 1"/>
    <w:basedOn w:val="Normal"/>
    <w:next w:val="Normal"/>
    <w:autoRedefine/>
    <w:uiPriority w:val="39"/>
    <w:unhideWhenUsed/>
    <w:rsid w:val="003142A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38/s41589-025-01886-4" TargetMode="External"/><Relationship Id="rId21" Type="http://schemas.openxmlformats.org/officeDocument/2006/relationships/hyperlink" Target="https://doi.org/10.1083/jcb.201305148" TargetMode="External"/><Relationship Id="rId42" Type="http://schemas.openxmlformats.org/officeDocument/2006/relationships/hyperlink" Target="https://doi.org/10.1038/ncb1716" TargetMode="External"/><Relationship Id="rId47" Type="http://schemas.openxmlformats.org/officeDocument/2006/relationships/hyperlink" Target="https://doi.org/10.1038/s41421-024-00735-3" TargetMode="External"/><Relationship Id="rId63" Type="http://schemas.openxmlformats.org/officeDocument/2006/relationships/hyperlink" Target="https://doi.org/10.1038/s41421-024-00735-3" TargetMode="External"/><Relationship Id="rId68" Type="http://schemas.openxmlformats.org/officeDocument/2006/relationships/hyperlink" Target="https://doi.org/10.1038/ncb1716" TargetMode="External"/><Relationship Id="rId2" Type="http://schemas.openxmlformats.org/officeDocument/2006/relationships/styles" Target="styles.xml"/><Relationship Id="rId16" Type="http://schemas.openxmlformats.org/officeDocument/2006/relationships/hyperlink" Target="https://doi.org/10.1242/jcs.031922" TargetMode="External"/><Relationship Id="rId29" Type="http://schemas.openxmlformats.org/officeDocument/2006/relationships/hyperlink" Target="https://doi.org/10.1038/s41421-024-00735-3" TargetMode="External"/><Relationship Id="rId11" Type="http://schemas.openxmlformats.org/officeDocument/2006/relationships/hyperlink" Target="https://doi.org/10.1101/gad.566910" TargetMode="External"/><Relationship Id="rId24" Type="http://schemas.openxmlformats.org/officeDocument/2006/relationships/hyperlink" Target="https://doi.org/10.1038/ncb1716" TargetMode="External"/><Relationship Id="rId32" Type="http://schemas.openxmlformats.org/officeDocument/2006/relationships/hyperlink" Target="https://doi.org/10.1101/gad.566910" TargetMode="External"/><Relationship Id="rId37" Type="http://schemas.openxmlformats.org/officeDocument/2006/relationships/hyperlink" Target="https://doi.org/10.1091/mbc.E19-10-0589" TargetMode="External"/><Relationship Id="rId40" Type="http://schemas.openxmlformats.org/officeDocument/2006/relationships/hyperlink" Target="https://doi.org/10.1038/s41589-025-01886-4" TargetMode="External"/><Relationship Id="rId45" Type="http://schemas.openxmlformats.org/officeDocument/2006/relationships/hyperlink" Target="https://doi.org/10.1038/s41421-024-00735-3" TargetMode="External"/><Relationship Id="rId53" Type="http://schemas.openxmlformats.org/officeDocument/2006/relationships/hyperlink" Target="https://doi.org/10.1038/s41589-025-01886-4" TargetMode="External"/><Relationship Id="rId58" Type="http://schemas.openxmlformats.org/officeDocument/2006/relationships/hyperlink" Target="https://doi.org/10.1101/gad.566910" TargetMode="External"/><Relationship Id="rId66" Type="http://schemas.openxmlformats.org/officeDocument/2006/relationships/hyperlink" Target="https://doi.org/10.1101/gad.566910" TargetMode="External"/><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doi.org/10.1038/s41589-025-01886-4" TargetMode="External"/><Relationship Id="rId19" Type="http://schemas.openxmlformats.org/officeDocument/2006/relationships/hyperlink" Target="https://doi.org/10.1038/s41421-024-00735-3" TargetMode="External"/><Relationship Id="rId14" Type="http://schemas.openxmlformats.org/officeDocument/2006/relationships/hyperlink" Target="https://doi.org/10.1083/jcb.201305148" TargetMode="External"/><Relationship Id="rId22" Type="http://schemas.openxmlformats.org/officeDocument/2006/relationships/hyperlink" Target="https://doi.org/10.1083/jcb.201305148" TargetMode="External"/><Relationship Id="rId27" Type="http://schemas.openxmlformats.org/officeDocument/2006/relationships/hyperlink" Target="https://doi.org/10.1242/jcs.031922" TargetMode="External"/><Relationship Id="rId30" Type="http://schemas.openxmlformats.org/officeDocument/2006/relationships/hyperlink" Target="https://doi.org/10.1242/jcs.031922" TargetMode="External"/><Relationship Id="rId35" Type="http://schemas.openxmlformats.org/officeDocument/2006/relationships/hyperlink" Target="https://doi.org/10.1371/journal.ppat.1007313" TargetMode="External"/><Relationship Id="rId43" Type="http://schemas.openxmlformats.org/officeDocument/2006/relationships/hyperlink" Target="https://doi.org/10.1038/ncb1716" TargetMode="External"/><Relationship Id="rId48" Type="http://schemas.openxmlformats.org/officeDocument/2006/relationships/hyperlink" Target="https://doi.org/10.1083/jcb.201305148" TargetMode="External"/><Relationship Id="rId56" Type="http://schemas.openxmlformats.org/officeDocument/2006/relationships/hyperlink" Target="https://doi.org/10.1038/s41421-024-00735-3" TargetMode="External"/><Relationship Id="rId64" Type="http://schemas.openxmlformats.org/officeDocument/2006/relationships/hyperlink" Target="https://doi.org/10.1242/jcs.031922" TargetMode="External"/><Relationship Id="rId69" Type="http://schemas.openxmlformats.org/officeDocument/2006/relationships/hyperlink" Target="https://doi.org/10.1371/journal.ppat.1007313" TargetMode="External"/><Relationship Id="rId8" Type="http://schemas.openxmlformats.org/officeDocument/2006/relationships/hyperlink" Target="https://doi.org/10.1038/s41421-024-00735-3" TargetMode="External"/><Relationship Id="rId51" Type="http://schemas.openxmlformats.org/officeDocument/2006/relationships/hyperlink" Target="https://doi.org/10.1371/journal.ppat.1007313" TargetMode="External"/><Relationship Id="rId72"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doi.org/10.1091/mbc.E19-10-0589" TargetMode="External"/><Relationship Id="rId17" Type="http://schemas.openxmlformats.org/officeDocument/2006/relationships/hyperlink" Target="https://doi.org/10.1038/s41589-025-01886-4" TargetMode="External"/><Relationship Id="rId25" Type="http://schemas.openxmlformats.org/officeDocument/2006/relationships/hyperlink" Target="https://doi.org/10.1038/ncb1716" TargetMode="External"/><Relationship Id="rId33" Type="http://schemas.openxmlformats.org/officeDocument/2006/relationships/hyperlink" Target="https://doi.org/10.1101/gad.566910" TargetMode="External"/><Relationship Id="rId38" Type="http://schemas.openxmlformats.org/officeDocument/2006/relationships/hyperlink" Target="https://doi.org/10.1091/mbc.E19-10-0589" TargetMode="External"/><Relationship Id="rId46" Type="http://schemas.openxmlformats.org/officeDocument/2006/relationships/hyperlink" Target="https://doi.org/10.1083/jcb.201305148" TargetMode="External"/><Relationship Id="rId59" Type="http://schemas.openxmlformats.org/officeDocument/2006/relationships/hyperlink" Target="https://doi.org/10.1371/journal.ppat.1007313" TargetMode="External"/><Relationship Id="rId67" Type="http://schemas.openxmlformats.org/officeDocument/2006/relationships/hyperlink" Target="https://doi.org/10.1091/mbc.E19-10-0589" TargetMode="External"/><Relationship Id="rId20" Type="http://schemas.openxmlformats.org/officeDocument/2006/relationships/hyperlink" Target="https://doi.org/10.1038/s41421-024-00735-3" TargetMode="External"/><Relationship Id="rId41" Type="http://schemas.openxmlformats.org/officeDocument/2006/relationships/hyperlink" Target="https://doi.org/10.1038/s41589-025-01886-4" TargetMode="External"/><Relationship Id="rId54" Type="http://schemas.openxmlformats.org/officeDocument/2006/relationships/hyperlink" Target="https://doi.org/10.1038/ncb1716" TargetMode="External"/><Relationship Id="rId62" Type="http://schemas.openxmlformats.org/officeDocument/2006/relationships/hyperlink" Target="https://doi.org/10.1083/jcb.201305148" TargetMode="External"/><Relationship Id="rId70" Type="http://schemas.openxmlformats.org/officeDocument/2006/relationships/hyperlink" Target="https://doi.org/10.1056/NEJMoa1300874"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38/s41421-024-00735-3" TargetMode="External"/><Relationship Id="rId23" Type="http://schemas.openxmlformats.org/officeDocument/2006/relationships/hyperlink" Target="https://doi.org/10.1083/jcb.201305148" TargetMode="External"/><Relationship Id="rId28" Type="http://schemas.openxmlformats.org/officeDocument/2006/relationships/hyperlink" Target="https://doi.org/10.1083/jcb.201305148" TargetMode="External"/><Relationship Id="rId36" Type="http://schemas.openxmlformats.org/officeDocument/2006/relationships/hyperlink" Target="https://doi.org/10.1101/gad.566910" TargetMode="External"/><Relationship Id="rId49" Type="http://schemas.openxmlformats.org/officeDocument/2006/relationships/hyperlink" Target="https://doi.org/10.1242/jcs.031922" TargetMode="External"/><Relationship Id="rId57" Type="http://schemas.openxmlformats.org/officeDocument/2006/relationships/hyperlink" Target="https://doi.org/10.1083/jcb.201305148" TargetMode="External"/><Relationship Id="rId10" Type="http://schemas.openxmlformats.org/officeDocument/2006/relationships/hyperlink" Target="https://doi.org/10.1038/s41589-025-01886-4" TargetMode="External"/><Relationship Id="rId31" Type="http://schemas.openxmlformats.org/officeDocument/2006/relationships/hyperlink" Target="https://doi.org/10.1083/jcb.201305148" TargetMode="External"/><Relationship Id="rId44" Type="http://schemas.openxmlformats.org/officeDocument/2006/relationships/hyperlink" Target="https://doi.org/10.1056/NEJMoa1300874" TargetMode="External"/><Relationship Id="rId52" Type="http://schemas.openxmlformats.org/officeDocument/2006/relationships/hyperlink" Target="https://doi.org/10.1091/mbc.E19-10-0589" TargetMode="External"/><Relationship Id="rId60" Type="http://schemas.openxmlformats.org/officeDocument/2006/relationships/hyperlink" Target="https://doi.org/10.1091/mbc.E19-10-0589" TargetMode="External"/><Relationship Id="rId65" Type="http://schemas.openxmlformats.org/officeDocument/2006/relationships/hyperlink" Target="https://doi.org/10.1038/s41589-025-01886-4"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242/jcs.031922" TargetMode="External"/><Relationship Id="rId13" Type="http://schemas.openxmlformats.org/officeDocument/2006/relationships/hyperlink" Target="https://doi.org/10.1083/jcb.201305148" TargetMode="External"/><Relationship Id="rId18" Type="http://schemas.openxmlformats.org/officeDocument/2006/relationships/hyperlink" Target="https://doi.org/10.1038/s41421-024-00735-3" TargetMode="External"/><Relationship Id="rId39" Type="http://schemas.openxmlformats.org/officeDocument/2006/relationships/hyperlink" Target="https://doi.org/10.1038/s41589-025-01886-4" TargetMode="External"/><Relationship Id="rId34" Type="http://schemas.openxmlformats.org/officeDocument/2006/relationships/hyperlink" Target="https://doi.org/10.1371/journal.ppat.1007313" TargetMode="External"/><Relationship Id="rId50" Type="http://schemas.openxmlformats.org/officeDocument/2006/relationships/hyperlink" Target="https://doi.org/10.1101/gad.566910" TargetMode="External"/><Relationship Id="rId55" Type="http://schemas.openxmlformats.org/officeDocument/2006/relationships/hyperlink" Target="https://doi.org/10.1056/NEJMoa1300874" TargetMode="External"/><Relationship Id="rId7" Type="http://schemas.openxmlformats.org/officeDocument/2006/relationships/hyperlink" Target="https://doi.org/10.1083/jcb.201305148" TargetMode="External"/><Relationship Id="rId7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2489</Words>
  <Characters>16007</Characters>
  <Application>Microsoft Office Word</Application>
  <DocSecurity>0</DocSecurity>
  <Lines>261</Lines>
  <Paragraphs>87</Paragraphs>
  <ScaleCrop>false</ScaleCrop>
  <Company/>
  <LinksUpToDate>false</LinksUpToDate>
  <CharactersWithSpaces>18406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PML Nuclear Bodies: Assembly, SUMO Networks and Conditional Biological Functions</dc:title>
  <dc:subject>Structural organization, dynamic recruitment, chromatin control and protein quality regulation</dc:subject>
  <dc:creator>CellNucleus</dc:creator>
  <dc:description>Current source-based review with a matching webpage edition.</dc:description>
  <cp:lastModifiedBy>Michael Hendzel</cp:lastModifiedBy>
  <cp:revision>2</cp:revision>
  <dcterms:created xsi:type="dcterms:W3CDTF">2026-10-12T09:31:00Z</dcterms:created>
  <dcterms:modified xsi:type="dcterms:W3CDTF">2026-10-12T09:32:00Z</dcterms:modified>
</cp:coreProperties>
</file>