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DE525" w14:textId="77777777" w:rsidR="00F85348" w:rsidRDefault="00861BFA">
      <w:pPr>
        <w:pStyle w:val="Title"/>
      </w:pPr>
      <w:r>
        <w:t>Transcriptional condensates and hubs: recruitment, reaction environments and alternative mechanisms</w:t>
      </w:r>
    </w:p>
    <w:p w14:paraId="463CAC29" w14:textId="77777777" w:rsidR="00F85348" w:rsidRDefault="00861BFA">
      <w:pPr>
        <w:pStyle w:val="Subtitle"/>
      </w:pPr>
      <w:r>
        <w:t>Current primary evidence for coactivator assemblies, RNA and phosphorylation regulation, elongation-linked condensates and gene-associated polymerase clusters.</w:t>
      </w:r>
    </w:p>
    <w:p w14:paraId="20A57411" w14:textId="77777777" w:rsidR="00F85348" w:rsidRDefault="00861BFA">
      <w:pPr>
        <w:spacing w:before="200" w:after="320"/>
      </w:pPr>
      <w:r>
        <w:rPr>
          <w:color w:val="087B78"/>
          <w:sz w:val="20"/>
          <w:szCs w:val="20"/>
        </w:rPr>
        <w:t>CellNucleus · Current research review · 12 October 2026</w:t>
      </w:r>
    </w:p>
    <w:p w14:paraId="06627B7C" w14:textId="77777777" w:rsidR="00F85348" w:rsidRDefault="00861BFA">
      <w:pPr>
        <w:pStyle w:val="Heading1"/>
      </w:pPr>
      <w:bookmarkStart w:id="0" w:name="_Toc242668400"/>
      <w:r>
        <w:t>Abstract</w:t>
      </w:r>
      <w:bookmarkEnd w:id="0"/>
    </w:p>
    <w:p w14:paraId="0B27E638" w14:textId="0149E3EE" w:rsidR="00F85348" w:rsidRDefault="00861BFA">
      <w:r>
        <w:t>Transcription is associated with spatially enriched assemblies of polymerases, coactivators and regulatory factors. Purified proteins can demix and selectively partition partners, while cellular studies reveal dynamic hubs and gene-associated clusters. These observations establish multiple forms of organization. They do not require that every enriched assembly be produced by liquid–liquid phase separation or that the same physical mechanism governs initiation, elongation and RNA processing.</w:t>
      </w:r>
      <w:hyperlink r:id="rId7" w:history="1">
        <w:r>
          <w:rPr>
            <w:color w:val="087B78"/>
            <w:sz w:val="18"/>
            <w:szCs w:val="18"/>
          </w:rPr>
          <w:t xml:space="preserve"> [5]</w:t>
        </w:r>
      </w:hyperlink>
      <w:hyperlink r:id="rId8" w:history="1">
        <w:r>
          <w:rPr>
            <w:color w:val="087B78"/>
            <w:sz w:val="18"/>
            <w:szCs w:val="18"/>
          </w:rPr>
          <w:t xml:space="preserve"> [3]</w:t>
        </w:r>
      </w:hyperlink>
      <w:hyperlink r:id="rId9" w:history="1">
        <w:r>
          <w:rPr>
            <w:color w:val="087B78"/>
            <w:sz w:val="18"/>
            <w:szCs w:val="18"/>
          </w:rPr>
          <w:t xml:space="preserve"> [6]</w:t>
        </w:r>
      </w:hyperlink>
      <w:hyperlink r:id="rId10" w:history="1">
        <w:r>
          <w:rPr>
            <w:color w:val="087B78"/>
            <w:sz w:val="18"/>
            <w:szCs w:val="18"/>
          </w:rPr>
          <w:t xml:space="preserve"> [8]</w:t>
        </w:r>
      </w:hyperlink>
      <w:hyperlink r:id="rId11" w:history="1">
        <w:r>
          <w:rPr>
            <w:color w:val="087B78"/>
            <w:sz w:val="18"/>
            <w:szCs w:val="18"/>
          </w:rPr>
          <w:t xml:space="preserve"> [12]</w:t>
        </w:r>
      </w:hyperlink>
    </w:p>
    <w:p w14:paraId="14B79F3B" w14:textId="7FB1FF14" w:rsidR="00F85348" w:rsidRDefault="00861BFA">
      <w:r>
        <w:t>Recent evidence sharpens both positive and alternative mechanisms. A 2025 NDF–FACT study connected reduced condensation capacity, preserved tested interaction and catalysis, and impaired elongation in human stem cells. A 2026 fly-embryo study explained ordinary Pol-II clusters through accumulation of engaged polymerases. The current synthesis is therefore assembly- and context-specific, with physical capacity, cellular organization and functional necessity treated as separate experimentally linked questions</w:t>
      </w:r>
      <w:r>
        <w:t>.</w:t>
      </w:r>
      <w:hyperlink r:id="rId12" w:history="1">
        <w:r>
          <w:rPr>
            <w:color w:val="087B78"/>
            <w:sz w:val="18"/>
            <w:szCs w:val="18"/>
          </w:rPr>
          <w:t xml:space="preserve"> [11]</w:t>
        </w:r>
      </w:hyperlink>
      <w:hyperlink r:id="rId13" w:history="1">
        <w:r>
          <w:rPr>
            <w:color w:val="087B78"/>
            <w:sz w:val="18"/>
            <w:szCs w:val="18"/>
          </w:rPr>
          <w:t xml:space="preserve"> [12]</w:t>
        </w:r>
      </w:hyperlink>
      <w:hyperlink r:id="rId14" w:history="1">
        <w:r>
          <w:rPr>
            <w:color w:val="087B78"/>
            <w:sz w:val="18"/>
            <w:szCs w:val="18"/>
          </w:rPr>
          <w:t xml:space="preserve"> [9]</w:t>
        </w:r>
      </w:hyperlink>
    </w:p>
    <w:p w14:paraId="63644657" w14:textId="77777777" w:rsidR="00F85348" w:rsidRDefault="00861BFA">
      <w:pPr>
        <w:pageBreakBefore/>
        <w:spacing w:before="330"/>
      </w:pPr>
      <w:r>
        <w:rPr>
          <w:b/>
          <w:bCs/>
          <w:color w:val="173B4C"/>
          <w:sz w:val="32"/>
          <w:szCs w:val="32"/>
        </w:rPr>
        <w:lastRenderedPageBreak/>
        <w:t>Contents</w:t>
      </w:r>
    </w:p>
    <w:sdt>
      <w:sdtPr>
        <w:alias w:val="Contents"/>
        <w:id w:val="1939484297"/>
      </w:sdtPr>
      <w:sdtEndPr/>
      <w:sdtContent>
        <w:p w14:paraId="71E74A65" w14:textId="6EC7FF75" w:rsidR="00AE0339" w:rsidRDefault="00861BF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400" w:history="1">
            <w:r w:rsidR="00AE0339" w:rsidRPr="003F5488">
              <w:rPr>
                <w:rStyle w:val="Hyperlink"/>
                <w:noProof/>
              </w:rPr>
              <w:t>Abstract</w:t>
            </w:r>
            <w:r w:rsidR="00AE0339">
              <w:rPr>
                <w:noProof/>
              </w:rPr>
              <w:tab/>
            </w:r>
            <w:r w:rsidR="00AE0339">
              <w:rPr>
                <w:noProof/>
              </w:rPr>
              <w:fldChar w:fldCharType="begin"/>
            </w:r>
            <w:r w:rsidR="00AE0339">
              <w:rPr>
                <w:noProof/>
              </w:rPr>
              <w:instrText xml:space="preserve"> PAGEREF _Toc242668400 \h </w:instrText>
            </w:r>
            <w:r w:rsidR="00AE0339">
              <w:rPr>
                <w:noProof/>
              </w:rPr>
            </w:r>
            <w:r w:rsidR="00AE0339">
              <w:rPr>
                <w:noProof/>
              </w:rPr>
              <w:fldChar w:fldCharType="separate"/>
            </w:r>
            <w:r w:rsidR="00AE0339">
              <w:rPr>
                <w:noProof/>
              </w:rPr>
              <w:t>1</w:t>
            </w:r>
            <w:r w:rsidR="00AE0339">
              <w:rPr>
                <w:noProof/>
              </w:rPr>
              <w:fldChar w:fldCharType="end"/>
            </w:r>
          </w:hyperlink>
        </w:p>
        <w:p w14:paraId="511E09EA" w14:textId="60075884" w:rsidR="00AE0339" w:rsidRDefault="00AE03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1" w:history="1">
            <w:r w:rsidRPr="003F5488">
              <w:rPr>
                <w:rStyle w:val="Hyperlink"/>
                <w:noProof/>
              </w:rPr>
              <w:t>1. Assemblies, hubs and phase-separated condensates</w:t>
            </w:r>
            <w:r>
              <w:rPr>
                <w:noProof/>
              </w:rPr>
              <w:tab/>
            </w:r>
            <w:r>
              <w:rPr>
                <w:noProof/>
              </w:rPr>
              <w:fldChar w:fldCharType="begin"/>
            </w:r>
            <w:r>
              <w:rPr>
                <w:noProof/>
              </w:rPr>
              <w:instrText xml:space="preserve"> PAGEREF _Toc242668401 \h </w:instrText>
            </w:r>
            <w:r>
              <w:rPr>
                <w:noProof/>
              </w:rPr>
            </w:r>
            <w:r>
              <w:rPr>
                <w:noProof/>
              </w:rPr>
              <w:fldChar w:fldCharType="separate"/>
            </w:r>
            <w:r>
              <w:rPr>
                <w:noProof/>
              </w:rPr>
              <w:t>2</w:t>
            </w:r>
            <w:r>
              <w:rPr>
                <w:noProof/>
              </w:rPr>
              <w:fldChar w:fldCharType="end"/>
            </w:r>
          </w:hyperlink>
        </w:p>
        <w:p w14:paraId="086F2E5A" w14:textId="4C6D7B74" w:rsidR="00AE0339" w:rsidRDefault="00AE03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2" w:history="1">
            <w:r w:rsidRPr="003F5488">
              <w:rPr>
                <w:rStyle w:val="Hyperlink"/>
                <w:noProof/>
              </w:rPr>
              <w:t>2. Coactivator concentration at regulatory elements</w:t>
            </w:r>
            <w:r>
              <w:rPr>
                <w:noProof/>
              </w:rPr>
              <w:tab/>
            </w:r>
            <w:r>
              <w:rPr>
                <w:noProof/>
              </w:rPr>
              <w:fldChar w:fldCharType="begin"/>
            </w:r>
            <w:r>
              <w:rPr>
                <w:noProof/>
              </w:rPr>
              <w:instrText xml:space="preserve"> PAGEREF _Toc242668402 \h </w:instrText>
            </w:r>
            <w:r>
              <w:rPr>
                <w:noProof/>
              </w:rPr>
            </w:r>
            <w:r>
              <w:rPr>
                <w:noProof/>
              </w:rPr>
              <w:fldChar w:fldCharType="separate"/>
            </w:r>
            <w:r>
              <w:rPr>
                <w:noProof/>
              </w:rPr>
              <w:t>3</w:t>
            </w:r>
            <w:r>
              <w:rPr>
                <w:noProof/>
              </w:rPr>
              <w:fldChar w:fldCharType="end"/>
            </w:r>
          </w:hyperlink>
        </w:p>
        <w:p w14:paraId="2C51EC18" w14:textId="0E9FFABE" w:rsidR="00AE0339" w:rsidRDefault="00AE03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3" w:history="1">
            <w:r w:rsidRPr="003F5488">
              <w:rPr>
                <w:rStyle w:val="Hyperlink"/>
                <w:noProof/>
              </w:rPr>
              <w:t>3. Interaction chemistry links recruitment and activation</w:t>
            </w:r>
            <w:r>
              <w:rPr>
                <w:noProof/>
              </w:rPr>
              <w:tab/>
            </w:r>
            <w:r>
              <w:rPr>
                <w:noProof/>
              </w:rPr>
              <w:fldChar w:fldCharType="begin"/>
            </w:r>
            <w:r>
              <w:rPr>
                <w:noProof/>
              </w:rPr>
              <w:instrText xml:space="preserve"> PAGEREF _Toc242668403 \h </w:instrText>
            </w:r>
            <w:r>
              <w:rPr>
                <w:noProof/>
              </w:rPr>
            </w:r>
            <w:r>
              <w:rPr>
                <w:noProof/>
              </w:rPr>
              <w:fldChar w:fldCharType="separate"/>
            </w:r>
            <w:r>
              <w:rPr>
                <w:noProof/>
              </w:rPr>
              <w:t>3</w:t>
            </w:r>
            <w:r>
              <w:rPr>
                <w:noProof/>
              </w:rPr>
              <w:fldChar w:fldCharType="end"/>
            </w:r>
          </w:hyperlink>
        </w:p>
        <w:p w14:paraId="5DDB0D70" w14:textId="36597D2D" w:rsidR="00AE0339" w:rsidRDefault="00AE03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4" w:history="1">
            <w:r w:rsidRPr="003F5488">
              <w:rPr>
                <w:rStyle w:val="Hyperlink"/>
                <w:noProof/>
              </w:rPr>
              <w:t>4. Live assemblies add time and chromatin association</w:t>
            </w:r>
            <w:r>
              <w:rPr>
                <w:noProof/>
              </w:rPr>
              <w:tab/>
            </w:r>
            <w:r>
              <w:rPr>
                <w:noProof/>
              </w:rPr>
              <w:fldChar w:fldCharType="begin"/>
            </w:r>
            <w:r>
              <w:rPr>
                <w:noProof/>
              </w:rPr>
              <w:instrText xml:space="preserve"> PAGEREF _Toc242668404 \h </w:instrText>
            </w:r>
            <w:r>
              <w:rPr>
                <w:noProof/>
              </w:rPr>
            </w:r>
            <w:r>
              <w:rPr>
                <w:noProof/>
              </w:rPr>
              <w:fldChar w:fldCharType="separate"/>
            </w:r>
            <w:r>
              <w:rPr>
                <w:noProof/>
              </w:rPr>
              <w:t>4</w:t>
            </w:r>
            <w:r>
              <w:rPr>
                <w:noProof/>
              </w:rPr>
              <w:fldChar w:fldCharType="end"/>
            </w:r>
          </w:hyperlink>
        </w:p>
        <w:p w14:paraId="379F6EC9" w14:textId="59EF8460" w:rsidR="00AE0339" w:rsidRDefault="00AE03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5" w:history="1">
            <w:r w:rsidRPr="003F5488">
              <w:rPr>
                <w:rStyle w:val="Hyperlink"/>
                <w:noProof/>
              </w:rPr>
              <w:t>5. CTD phosphorylation changes assembly preference</w:t>
            </w:r>
            <w:r>
              <w:rPr>
                <w:noProof/>
              </w:rPr>
              <w:tab/>
            </w:r>
            <w:r>
              <w:rPr>
                <w:noProof/>
              </w:rPr>
              <w:fldChar w:fldCharType="begin"/>
            </w:r>
            <w:r>
              <w:rPr>
                <w:noProof/>
              </w:rPr>
              <w:instrText xml:space="preserve"> PAGEREF _Toc242668405 \h </w:instrText>
            </w:r>
            <w:r>
              <w:rPr>
                <w:noProof/>
              </w:rPr>
            </w:r>
            <w:r>
              <w:rPr>
                <w:noProof/>
              </w:rPr>
              <w:fldChar w:fldCharType="separate"/>
            </w:r>
            <w:r>
              <w:rPr>
                <w:noProof/>
              </w:rPr>
              <w:t>4</w:t>
            </w:r>
            <w:r>
              <w:rPr>
                <w:noProof/>
              </w:rPr>
              <w:fldChar w:fldCharType="end"/>
            </w:r>
          </w:hyperlink>
        </w:p>
        <w:p w14:paraId="7A69DA7A" w14:textId="6F886AD8" w:rsidR="00AE0339" w:rsidRDefault="00AE03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6" w:history="1">
            <w:r w:rsidRPr="003F5488">
              <w:rPr>
                <w:rStyle w:val="Hyperlink"/>
                <w:noProof/>
              </w:rPr>
              <w:t>6. RNA can provide feedback on assembly</w:t>
            </w:r>
            <w:r>
              <w:rPr>
                <w:noProof/>
              </w:rPr>
              <w:tab/>
            </w:r>
            <w:r>
              <w:rPr>
                <w:noProof/>
              </w:rPr>
              <w:fldChar w:fldCharType="begin"/>
            </w:r>
            <w:r>
              <w:rPr>
                <w:noProof/>
              </w:rPr>
              <w:instrText xml:space="preserve"> PAGEREF _Toc242668406 \h </w:instrText>
            </w:r>
            <w:r>
              <w:rPr>
                <w:noProof/>
              </w:rPr>
            </w:r>
            <w:r>
              <w:rPr>
                <w:noProof/>
              </w:rPr>
              <w:fldChar w:fldCharType="separate"/>
            </w:r>
            <w:r>
              <w:rPr>
                <w:noProof/>
              </w:rPr>
              <w:t>5</w:t>
            </w:r>
            <w:r>
              <w:rPr>
                <w:noProof/>
              </w:rPr>
              <w:fldChar w:fldCharType="end"/>
            </w:r>
          </w:hyperlink>
        </w:p>
        <w:p w14:paraId="49EF62C5" w14:textId="1301AEAF" w:rsidR="00AE0339" w:rsidRDefault="00AE03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7" w:history="1">
            <w:r w:rsidRPr="003F5488">
              <w:rPr>
                <w:rStyle w:val="Hyperlink"/>
                <w:noProof/>
              </w:rPr>
              <w:t>7. NDF–FACT provides a current mechanism-specific functional test</w:t>
            </w:r>
            <w:r>
              <w:rPr>
                <w:noProof/>
              </w:rPr>
              <w:tab/>
            </w:r>
            <w:r>
              <w:rPr>
                <w:noProof/>
              </w:rPr>
              <w:fldChar w:fldCharType="begin"/>
            </w:r>
            <w:r>
              <w:rPr>
                <w:noProof/>
              </w:rPr>
              <w:instrText xml:space="preserve"> PAGEREF _Toc242668407 \h </w:instrText>
            </w:r>
            <w:r>
              <w:rPr>
                <w:noProof/>
              </w:rPr>
            </w:r>
            <w:r>
              <w:rPr>
                <w:noProof/>
              </w:rPr>
              <w:fldChar w:fldCharType="separate"/>
            </w:r>
            <w:r>
              <w:rPr>
                <w:noProof/>
              </w:rPr>
              <w:t>5</w:t>
            </w:r>
            <w:r>
              <w:rPr>
                <w:noProof/>
              </w:rPr>
              <w:fldChar w:fldCharType="end"/>
            </w:r>
          </w:hyperlink>
        </w:p>
        <w:p w14:paraId="7FAD017E" w14:textId="3AC99FAA" w:rsidR="00AE0339" w:rsidRDefault="00AE03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8" w:history="1">
            <w:r w:rsidRPr="003F5488">
              <w:rPr>
                <w:rStyle w:val="Hyperlink"/>
                <w:noProof/>
              </w:rPr>
              <w:t>8. DNA binding and engaged polymerases can create clusters</w:t>
            </w:r>
            <w:r>
              <w:rPr>
                <w:noProof/>
              </w:rPr>
              <w:tab/>
            </w:r>
            <w:r>
              <w:rPr>
                <w:noProof/>
              </w:rPr>
              <w:fldChar w:fldCharType="begin"/>
            </w:r>
            <w:r>
              <w:rPr>
                <w:noProof/>
              </w:rPr>
              <w:instrText xml:space="preserve"> PAGEREF _Toc242668408 \h </w:instrText>
            </w:r>
            <w:r>
              <w:rPr>
                <w:noProof/>
              </w:rPr>
            </w:r>
            <w:r>
              <w:rPr>
                <w:noProof/>
              </w:rPr>
              <w:fldChar w:fldCharType="separate"/>
            </w:r>
            <w:r>
              <w:rPr>
                <w:noProof/>
              </w:rPr>
              <w:t>6</w:t>
            </w:r>
            <w:r>
              <w:rPr>
                <w:noProof/>
              </w:rPr>
              <w:fldChar w:fldCharType="end"/>
            </w:r>
          </w:hyperlink>
        </w:p>
        <w:p w14:paraId="2B1F4E7D" w14:textId="4963BC2A" w:rsidR="00AE0339" w:rsidRDefault="00AE03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9" w:history="1">
            <w:r w:rsidRPr="003F5488">
              <w:rPr>
                <w:rStyle w:val="Hyperlink"/>
                <w:noProof/>
              </w:rPr>
              <w:t>9. How to test an assembly mechanism</w:t>
            </w:r>
            <w:r>
              <w:rPr>
                <w:noProof/>
              </w:rPr>
              <w:tab/>
            </w:r>
            <w:r>
              <w:rPr>
                <w:noProof/>
              </w:rPr>
              <w:fldChar w:fldCharType="begin"/>
            </w:r>
            <w:r>
              <w:rPr>
                <w:noProof/>
              </w:rPr>
              <w:instrText xml:space="preserve"> PAGEREF _Toc242668409 \h </w:instrText>
            </w:r>
            <w:r>
              <w:rPr>
                <w:noProof/>
              </w:rPr>
            </w:r>
            <w:r>
              <w:rPr>
                <w:noProof/>
              </w:rPr>
              <w:fldChar w:fldCharType="separate"/>
            </w:r>
            <w:r>
              <w:rPr>
                <w:noProof/>
              </w:rPr>
              <w:t>6</w:t>
            </w:r>
            <w:r>
              <w:rPr>
                <w:noProof/>
              </w:rPr>
              <w:fldChar w:fldCharType="end"/>
            </w:r>
          </w:hyperlink>
        </w:p>
        <w:p w14:paraId="6B12D3DF" w14:textId="4BAC5420" w:rsidR="00AE0339" w:rsidRDefault="00AE03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10" w:history="1">
            <w:r w:rsidRPr="003F5488">
              <w:rPr>
                <w:rStyle w:val="Hyperlink"/>
                <w:noProof/>
              </w:rPr>
              <w:t>10. Current synthesis and priorities</w:t>
            </w:r>
            <w:r>
              <w:rPr>
                <w:noProof/>
              </w:rPr>
              <w:tab/>
            </w:r>
            <w:r>
              <w:rPr>
                <w:noProof/>
              </w:rPr>
              <w:fldChar w:fldCharType="begin"/>
            </w:r>
            <w:r>
              <w:rPr>
                <w:noProof/>
              </w:rPr>
              <w:instrText xml:space="preserve"> PAGEREF _Toc242668410 \h </w:instrText>
            </w:r>
            <w:r>
              <w:rPr>
                <w:noProof/>
              </w:rPr>
            </w:r>
            <w:r>
              <w:rPr>
                <w:noProof/>
              </w:rPr>
              <w:fldChar w:fldCharType="separate"/>
            </w:r>
            <w:r>
              <w:rPr>
                <w:noProof/>
              </w:rPr>
              <w:t>7</w:t>
            </w:r>
            <w:r>
              <w:rPr>
                <w:noProof/>
              </w:rPr>
              <w:fldChar w:fldCharType="end"/>
            </w:r>
          </w:hyperlink>
        </w:p>
        <w:p w14:paraId="4C56F045" w14:textId="62A1C602" w:rsidR="00AE0339" w:rsidRDefault="00AE03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11" w:history="1">
            <w:r w:rsidRPr="003F5488">
              <w:rPr>
                <w:rStyle w:val="Hyperlink"/>
                <w:noProof/>
              </w:rPr>
              <w:t>References</w:t>
            </w:r>
            <w:r>
              <w:rPr>
                <w:noProof/>
              </w:rPr>
              <w:tab/>
            </w:r>
            <w:r>
              <w:rPr>
                <w:noProof/>
              </w:rPr>
              <w:fldChar w:fldCharType="begin"/>
            </w:r>
            <w:r>
              <w:rPr>
                <w:noProof/>
              </w:rPr>
              <w:instrText xml:space="preserve"> PAGEREF _Toc242668411 \h </w:instrText>
            </w:r>
            <w:r>
              <w:rPr>
                <w:noProof/>
              </w:rPr>
            </w:r>
            <w:r>
              <w:rPr>
                <w:noProof/>
              </w:rPr>
              <w:fldChar w:fldCharType="separate"/>
            </w:r>
            <w:r>
              <w:rPr>
                <w:noProof/>
              </w:rPr>
              <w:t>7</w:t>
            </w:r>
            <w:r>
              <w:rPr>
                <w:noProof/>
              </w:rPr>
              <w:fldChar w:fldCharType="end"/>
            </w:r>
          </w:hyperlink>
        </w:p>
        <w:p w14:paraId="3E4C7463" w14:textId="7FB3CE55" w:rsidR="00AE0339" w:rsidRDefault="00AE03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12" w:history="1">
            <w:r w:rsidRPr="003F5488">
              <w:rPr>
                <w:rStyle w:val="Hyperlink"/>
                <w:noProof/>
              </w:rPr>
              <w:t>Evidence scope</w:t>
            </w:r>
            <w:r>
              <w:rPr>
                <w:noProof/>
              </w:rPr>
              <w:tab/>
            </w:r>
            <w:r>
              <w:rPr>
                <w:noProof/>
              </w:rPr>
              <w:fldChar w:fldCharType="begin"/>
            </w:r>
            <w:r>
              <w:rPr>
                <w:noProof/>
              </w:rPr>
              <w:instrText xml:space="preserve"> PAGEREF _Toc242668412 \h </w:instrText>
            </w:r>
            <w:r>
              <w:rPr>
                <w:noProof/>
              </w:rPr>
            </w:r>
            <w:r>
              <w:rPr>
                <w:noProof/>
              </w:rPr>
              <w:fldChar w:fldCharType="separate"/>
            </w:r>
            <w:r>
              <w:rPr>
                <w:noProof/>
              </w:rPr>
              <w:t>8</w:t>
            </w:r>
            <w:r>
              <w:rPr>
                <w:noProof/>
              </w:rPr>
              <w:fldChar w:fldCharType="end"/>
            </w:r>
          </w:hyperlink>
        </w:p>
        <w:p w14:paraId="1929F6DC" w14:textId="1619D455" w:rsidR="00F85348" w:rsidRDefault="00861BFA">
          <w:r>
            <w:fldChar w:fldCharType="end"/>
          </w:r>
        </w:p>
      </w:sdtContent>
    </w:sdt>
    <w:p w14:paraId="79F024AB" w14:textId="77777777" w:rsidR="00F85348" w:rsidRDefault="00861BFA">
      <w:pPr>
        <w:pStyle w:val="Heading1"/>
      </w:pPr>
      <w:bookmarkStart w:id="1" w:name="_Toc242668401"/>
      <w:r>
        <w:t>1. Assemblies, hubs and phase-separated condensates</w:t>
      </w:r>
      <w:bookmarkEnd w:id="1"/>
    </w:p>
    <w:p w14:paraId="0CBBB0A8" w14:textId="7A2B5C72" w:rsidR="00F85348" w:rsidRDefault="00861BFA">
      <w:r>
        <w:t>The condensate framework describes concentrated membraneless molecular assemblies and identifies multivalent interactions as one route to their organization. In transcription, the term must be tied to an observed object: a coactivator punctum, a dynamic factor hub, an engaged-polymerase cluster or a biochemically reconstituted droplet. These objects can differ in composition, size, lifetime and relationship to DNA. Naming the assembly precisely is the first step toward evaluating its mechanism.</w:t>
      </w:r>
      <w:hyperlink r:id="rId15" w:history="1">
        <w:r>
          <w:rPr>
            <w:color w:val="087B78"/>
            <w:sz w:val="18"/>
            <w:szCs w:val="18"/>
          </w:rPr>
          <w:t xml:space="preserve"> [2]</w:t>
        </w:r>
      </w:hyperlink>
      <w:hyperlink r:id="rId16" w:history="1">
        <w:r>
          <w:rPr>
            <w:color w:val="087B78"/>
            <w:sz w:val="18"/>
            <w:szCs w:val="18"/>
          </w:rPr>
          <w:t xml:space="preserve"> [3]</w:t>
        </w:r>
      </w:hyperlink>
      <w:hyperlink r:id="rId17" w:history="1">
        <w:r>
          <w:rPr>
            <w:color w:val="087B78"/>
            <w:sz w:val="18"/>
            <w:szCs w:val="18"/>
          </w:rPr>
          <w:t xml:space="preserve"> [6]</w:t>
        </w:r>
      </w:hyperlink>
      <w:hyperlink r:id="rId18" w:history="1">
        <w:r>
          <w:rPr>
            <w:color w:val="087B78"/>
            <w:sz w:val="18"/>
            <w:szCs w:val="18"/>
          </w:rPr>
          <w:t xml:space="preserve"> [12]</w:t>
        </w:r>
      </w:hyperlink>
    </w:p>
    <w:p w14:paraId="1774CC50" w14:textId="1B564EA9" w:rsidR="00F85348" w:rsidRDefault="00861BFA">
      <w:r>
        <w:t>Physical concentration can support function by changing the local availability and interactions of components, but the route to that concentration remains a separate question. Coactivator IDR droplets show partitioning capacity; DNA-binding hubs and engaged-polymerase accumulation provide other experimentally supported routes to enrichment. A complete explanation should specify both what concentrates and why it concentrates, then connect the assembly to a measured stage of transcription.</w:t>
      </w:r>
      <w:hyperlink r:id="rId19" w:history="1">
        <w:r>
          <w:rPr>
            <w:color w:val="087B78"/>
            <w:sz w:val="18"/>
            <w:szCs w:val="18"/>
          </w:rPr>
          <w:t xml:space="preserve"> [5]</w:t>
        </w:r>
      </w:hyperlink>
      <w:hyperlink r:id="rId20" w:history="1">
        <w:r>
          <w:rPr>
            <w:color w:val="087B78"/>
            <w:sz w:val="18"/>
            <w:szCs w:val="18"/>
          </w:rPr>
          <w:t xml:space="preserve"> [6]</w:t>
        </w:r>
      </w:hyperlink>
      <w:hyperlink r:id="rId21" w:history="1">
        <w:r>
          <w:rPr>
            <w:color w:val="087B78"/>
            <w:sz w:val="18"/>
            <w:szCs w:val="18"/>
          </w:rPr>
          <w:t xml:space="preserve"> [7]</w:t>
        </w:r>
      </w:hyperlink>
      <w:hyperlink r:id="rId22" w:history="1">
        <w:r>
          <w:rPr>
            <w:color w:val="087B78"/>
            <w:sz w:val="18"/>
            <w:szCs w:val="18"/>
          </w:rPr>
          <w:t xml:space="preserve"> [12]</w:t>
        </w:r>
      </w:hyperlink>
    </w:p>
    <w:p w14:paraId="76CEE423" w14:textId="03C75441" w:rsidR="00F85348" w:rsidRDefault="00861BFA">
      <w:r>
        <w:t>The distinction matters because a transcription cycle contains different molecular interactions. Recruitment and initiation, elongation through chromatin and RNA processing involve different partner sets. CTD phosphorylation and the NDF–FACT study illustrate mechanisms that change with this functional stage. Consequently, a model supported for one assembly should be tested anew before it is used to explain a different cluster elsewhere in the nucleus.</w:t>
      </w:r>
      <w:hyperlink r:id="rId23" w:history="1">
        <w:r>
          <w:rPr>
            <w:color w:val="087B78"/>
            <w:sz w:val="18"/>
            <w:szCs w:val="18"/>
          </w:rPr>
          <w:t xml:space="preserve"> [8]</w:t>
        </w:r>
      </w:hyperlink>
      <w:hyperlink r:id="rId24" w:history="1">
        <w:r>
          <w:rPr>
            <w:color w:val="087B78"/>
            <w:sz w:val="18"/>
            <w:szCs w:val="18"/>
          </w:rPr>
          <w:t xml:space="preserve"> [11]</w:t>
        </w:r>
      </w:hyperlink>
    </w:p>
    <w:p w14:paraId="7A131310" w14:textId="77777777" w:rsidR="00F85348" w:rsidRDefault="00861BFA">
      <w:pPr>
        <w:pStyle w:val="Heading1"/>
      </w:pPr>
      <w:bookmarkStart w:id="2" w:name="_Toc242668402"/>
      <w:r>
        <w:lastRenderedPageBreak/>
        <w:t>2. Coactivator concentration at regulatory elements</w:t>
      </w:r>
      <w:bookmarkEnd w:id="2"/>
    </w:p>
    <w:p w14:paraId="48CF52DC" w14:textId="1639E5BC" w:rsidR="00F85348" w:rsidRDefault="00861BFA">
      <w:r>
        <w:t xml:space="preserve">Sabari and colleagues found BRD4 and MED1 puncta at examined super-enhancer regions and showed that their disordered regions could form phase-separated droplets. MED1-IDR droplets also concentrated transcriptional material from nuclear extracts. This linked cellular enrichment to a defined biochemical capacity and motivated a compartmentalized coactivator model. The cellular puncta and the reconstituted droplets are complementary evidence, while their identity as the same physical state requires additional </w:t>
      </w:r>
      <w:r>
        <w:t>constraints.</w:t>
      </w:r>
      <w:hyperlink r:id="rId25" w:history="1">
        <w:r>
          <w:rPr>
            <w:color w:val="087B78"/>
            <w:sz w:val="18"/>
            <w:szCs w:val="18"/>
          </w:rPr>
          <w:t xml:space="preserve"> [5]</w:t>
        </w:r>
      </w:hyperlink>
    </w:p>
    <w:p w14:paraId="54AA9A1D" w14:textId="1697CE1F" w:rsidR="00F85348" w:rsidRDefault="00861BFA">
      <w:r>
        <w:t>Boija and colleagues connected OCT4-dependent regulatory recruitment to MED1 at selected mouse stem-cell loci. OCT4 depletion reduced MED1 occupancy and foci, with reduced expression of selected genes. This provides a causal recruitment relationship in that state. It also introduces a source of interpretive coupling: OCT4 controls DNA binding and coactivator engagement as well as the proposed assembly behavior, so depletion alone does not selectively test a phase mechanism.</w:t>
      </w:r>
      <w:hyperlink r:id="rId26" w:history="1">
        <w:r>
          <w:rPr>
            <w:color w:val="087B78"/>
            <w:sz w:val="18"/>
            <w:szCs w:val="18"/>
          </w:rPr>
          <w:t xml:space="preserve"> [4]</w:t>
        </w:r>
      </w:hyperlink>
    </w:p>
    <w:p w14:paraId="2FE71C5C" w14:textId="0833FEA9" w:rsidR="00F85348" w:rsidRDefault="00861BFA">
      <w:r>
        <w:t>In purified comparisons, MED1-IDR droplets incorporated OCT4 while GFP controls did not show comparable partitioning; OCT4 alone did not form droplets across the tested concentration range. The result is therefore a partner-dependent interaction rather than a rule that every disordered transcription factor independently condenses. It suggests that assembly composition and specific molecular compatibility are central variables, which can be tested directly in a defined mixture.</w:t>
      </w:r>
      <w:hyperlink r:id="rId27" w:history="1">
        <w:r>
          <w:rPr>
            <w:color w:val="087B78"/>
            <w:sz w:val="18"/>
            <w:szCs w:val="18"/>
          </w:rPr>
          <w:t xml:space="preserve"> [4]</w:t>
        </w:r>
      </w:hyperlink>
    </w:p>
    <w:p w14:paraId="5037B662" w14:textId="77777777" w:rsidR="00F85348" w:rsidRDefault="00861BFA">
      <w:pPr>
        <w:pStyle w:val="Heading1"/>
      </w:pPr>
      <w:bookmarkStart w:id="3" w:name="_Toc242668403"/>
      <w:r>
        <w:t>3. Interaction chemistry links recruitment and activation</w:t>
      </w:r>
      <w:bookmarkEnd w:id="3"/>
    </w:p>
    <w:p w14:paraId="045CB9F4" w14:textId="723AD8AE" w:rsidR="00F85348" w:rsidRDefault="00861BFA">
      <w:r>
        <w:t>Acidic-residue substitutions in OCT4 activation domains reduced incorporation into MED1 droplets and reduced activity in a GAL4 reporter comparison. This connects interaction chemistry to both partitioning and transcriptional activation. It is a meaningful mechanistic result, but the substitutions can also affect ordinary coactivator contacts. The two effects should be considered jointly rather than treating a shared mutation phenotype as proof that only phase separation changed.</w:t>
      </w:r>
      <w:hyperlink r:id="rId28" w:history="1">
        <w:r>
          <w:rPr>
            <w:color w:val="087B78"/>
            <w:sz w:val="18"/>
            <w:szCs w:val="18"/>
          </w:rPr>
          <w:t xml:space="preserve"> [4]</w:t>
        </w:r>
      </w:hyperlink>
    </w:p>
    <w:p w14:paraId="74566BC7" w14:textId="0EBAF409" w:rsidR="00F85348" w:rsidRDefault="00861BFA">
      <w:r>
        <w:t>Chong and colleagues observed dynamic and selective low-complexity-domain hubs at synthetic and endogenous genomic loci. Their interactions stabilized factor binding, recruited Pol II and supported transcription under conditions without detectable phase separation. This provides a positive functional model for transient local interactions even when bulk demixing is not detected. It shows why the contribution of a disordered domain cannot be inferred solely from its ability to form an in-vitro droplet.</w:t>
      </w:r>
      <w:hyperlink r:id="rId29" w:history="1">
        <w:r>
          <w:rPr>
            <w:color w:val="087B78"/>
            <w:sz w:val="18"/>
            <w:szCs w:val="18"/>
          </w:rPr>
          <w:t xml:space="preserve"> [6]</w:t>
        </w:r>
      </w:hyperlink>
    </w:p>
    <w:p w14:paraId="32719C97" w14:textId="201B05B8" w:rsidR="00F85348" w:rsidRDefault="00861BFA">
      <w:r>
        <w:t>These studies together focus attention on molecular valency and partner recognition. Transient interaction networks can concentrate relevant factors, while a separate phase can provide another means of compartmentalization. Which regime occurs depends on the actual components and concentrations. The functional target is therefore a defined interaction network connected to gene activation, with its material state tested rather than assigned by the presence of an IDR.</w:t>
      </w:r>
      <w:hyperlink r:id="rId30" w:history="1">
        <w:r>
          <w:rPr>
            <w:color w:val="087B78"/>
            <w:sz w:val="18"/>
            <w:szCs w:val="18"/>
          </w:rPr>
          <w:t xml:space="preserve"> [4]</w:t>
        </w:r>
      </w:hyperlink>
      <w:hyperlink r:id="rId31" w:history="1">
        <w:r>
          <w:rPr>
            <w:color w:val="087B78"/>
            <w:sz w:val="18"/>
            <w:szCs w:val="18"/>
          </w:rPr>
          <w:t xml:space="preserve"> [6]</w:t>
        </w:r>
      </w:hyperlink>
      <w:hyperlink r:id="rId32" w:history="1">
        <w:r>
          <w:rPr>
            <w:color w:val="087B78"/>
            <w:sz w:val="18"/>
            <w:szCs w:val="18"/>
          </w:rPr>
          <w:t xml:space="preserve"> [5]</w:t>
        </w:r>
      </w:hyperlink>
    </w:p>
    <w:p w14:paraId="4B912AE4" w14:textId="77777777" w:rsidR="00F85348" w:rsidRDefault="00861BFA">
      <w:pPr>
        <w:pStyle w:val="Heading1"/>
      </w:pPr>
      <w:bookmarkStart w:id="4" w:name="_Toc242668404"/>
      <w:r>
        <w:lastRenderedPageBreak/>
        <w:t>4. Live assemblies add time and chromatin association</w:t>
      </w:r>
      <w:bookmarkEnd w:id="4"/>
    </w:p>
    <w:p w14:paraId="1B274519" w14:textId="59287261" w:rsidR="00F85348" w:rsidRDefault="00861BFA">
      <w:r>
        <w:t>Cho and colleagues used live-cell super-resolution and light-sheet imaging to study Mediator and Pol II in embryonic stem cells. They observed small transient clusters and larger stable clusters, with stable assemblies showing colocalization, chromatin association and sensitivity to transcriptional inhibitors. These observations establish dynamic cellular organization and place it in a transcription-dependent context. They are more informative than a fixed punctum because changes in time and intervention re</w:t>
      </w:r>
      <w:r>
        <w:t>sponse can be examined.</w:t>
      </w:r>
      <w:hyperlink r:id="rId33" w:history="1">
        <w:r>
          <w:rPr>
            <w:color w:val="087B78"/>
            <w:sz w:val="18"/>
            <w:szCs w:val="18"/>
          </w:rPr>
          <w:t xml:space="preserve"> [3]</w:t>
        </w:r>
      </w:hyperlink>
    </w:p>
    <w:p w14:paraId="4C928282" w14:textId="4A2E8EC3" w:rsidR="00F85348" w:rsidRDefault="00861BFA">
      <w:r>
        <w:t>The lifetime of an assembly and the exchange of its constituent molecules are different properties. A persistent cluster can contain exchanging proteins, and disappearance after transcriptional inhibition can reflect changed recruitment or activity. The live-cluster observations support a dynamic assembly interpretation, while phase separation is one physical proposal requiring further discrimination. Measuring chromatin association and transcriptional output alongside dynamics helps distinguish the assembl</w:t>
      </w:r>
      <w:r>
        <w:t>y’s organization from its downstream functional relationship.</w:t>
      </w:r>
      <w:hyperlink r:id="rId34" w:history="1">
        <w:r>
          <w:rPr>
            <w:color w:val="087B78"/>
            <w:sz w:val="18"/>
            <w:szCs w:val="18"/>
          </w:rPr>
          <w:t xml:space="preserve"> [3]</w:t>
        </w:r>
      </w:hyperlink>
      <w:hyperlink r:id="rId35" w:history="1">
        <w:r>
          <w:rPr>
            <w:color w:val="087B78"/>
            <w:sz w:val="18"/>
            <w:szCs w:val="18"/>
          </w:rPr>
          <w:t xml:space="preserve"> [12]</w:t>
        </w:r>
      </w:hyperlink>
    </w:p>
    <w:p w14:paraId="2BA5986F" w14:textId="0BF93A81" w:rsidR="00F85348" w:rsidRDefault="00861BFA">
      <w:r>
        <w:t>A useful comparison also retains cellular scale. The larger Mediator/Pol-II assemblies in stem cells are not interchangeable with every ordinary gene-associated Pol-II cluster in a developing embryo. The populations differ in composition and biological context. Current experiments reveal diversity rather than a contradiction that can be resolved by choosing one universal cluster lifetime or one common physical label.</w:t>
      </w:r>
      <w:hyperlink r:id="rId36" w:history="1">
        <w:r>
          <w:rPr>
            <w:color w:val="087B78"/>
            <w:sz w:val="18"/>
            <w:szCs w:val="18"/>
          </w:rPr>
          <w:t xml:space="preserve"> [3]</w:t>
        </w:r>
      </w:hyperlink>
      <w:hyperlink r:id="rId37" w:history="1">
        <w:r>
          <w:rPr>
            <w:color w:val="087B78"/>
            <w:sz w:val="18"/>
            <w:szCs w:val="18"/>
          </w:rPr>
          <w:t xml:space="preserve"> [12]</w:t>
        </w:r>
      </w:hyperlink>
    </w:p>
    <w:p w14:paraId="0AD5A0AF" w14:textId="77777777" w:rsidR="00F85348" w:rsidRDefault="00861BFA">
      <w:pPr>
        <w:pStyle w:val="Heading1"/>
      </w:pPr>
      <w:bookmarkStart w:id="5" w:name="_Toc242668405"/>
      <w:r>
        <w:t>5. CTD phosphorylation changes assembly preference</w:t>
      </w:r>
      <w:bookmarkEnd w:id="5"/>
    </w:p>
    <w:p w14:paraId="4082228E" w14:textId="64254500" w:rsidR="00F85348" w:rsidRDefault="00861BFA">
      <w:r>
        <w:t>Guo and colleagues tested how phosphorylation of the Pol-II C-terminal domain affected incorporation into different condensates. Hypophosphorylated CTD entered Mediator-associated assemblies, and regulatory-kinase phosphorylation reduced that incorporation. Hyperphosphorylated CTD preferentially entered splicing-factor assemblies in the examined comparisons. This supports chemical regulation of partner preference and motivates a transition model between initiation- and processing-associated environments.</w:t>
      </w:r>
      <w:hyperlink r:id="rId38" w:history="1">
        <w:r>
          <w:rPr>
            <w:color w:val="087B78"/>
            <w:sz w:val="18"/>
            <w:szCs w:val="18"/>
          </w:rPr>
          <w:t xml:space="preserve"> [8]</w:t>
        </w:r>
      </w:hyperlink>
    </w:p>
    <w:p w14:paraId="5B747847" w14:textId="77EE8404" w:rsidR="00F85348" w:rsidRDefault="00861BFA">
      <w:r>
        <w:t>The 2024 CTD study directly tested reversible phosphorylation-driven phase changes with purified components. Kinase-dependent phosphorylation dissolved unphosphorylated CTD droplets, while phosphatase activity promoted their return. Reaction-component controls and inactive phosphatase comparisons supported the dependence on the chemical change. Partner binding could further support distinct phospho-CTD assemblies, showing that phosphorylation and the interaction mixture jointly determine the observed organi</w:t>
      </w:r>
      <w:r>
        <w:t>zation.</w:t>
      </w:r>
      <w:hyperlink r:id="rId39" w:history="1">
        <w:r>
          <w:rPr>
            <w:color w:val="087B78"/>
            <w:sz w:val="18"/>
            <w:szCs w:val="18"/>
          </w:rPr>
          <w:t xml:space="preserve"> [9]</w:t>
        </w:r>
      </w:hyperlink>
    </w:p>
    <w:p w14:paraId="1E371BB4" w14:textId="4E4F5A53" w:rsidR="00F85348" w:rsidRDefault="00861BFA">
      <w:r>
        <w:t>That study also compared cellular CTD variants and found differences in promoter binding and RNA processing, including alternative-splicing outcomes. This links defined assembly-related chemistry to cell function, but CTD variants can affect several interactions simultaneously. The current implication is that CTD sequence, length and modification are regulatory variables with measurable consequences. A claim that every consequence is caused only by phase behavior requires more selective comparisons.</w:t>
      </w:r>
      <w:hyperlink r:id="rId40" w:history="1">
        <w:r>
          <w:rPr>
            <w:color w:val="087B78"/>
            <w:sz w:val="18"/>
            <w:szCs w:val="18"/>
          </w:rPr>
          <w:t xml:space="preserve"> [9]</w:t>
        </w:r>
      </w:hyperlink>
      <w:hyperlink r:id="rId41" w:history="1">
        <w:r>
          <w:rPr>
            <w:color w:val="087B78"/>
            <w:sz w:val="18"/>
            <w:szCs w:val="18"/>
          </w:rPr>
          <w:t xml:space="preserve"> [8]</w:t>
        </w:r>
      </w:hyperlink>
    </w:p>
    <w:p w14:paraId="432E8F0C" w14:textId="77777777" w:rsidR="00F85348" w:rsidRDefault="00861BFA">
      <w:pPr>
        <w:pStyle w:val="Heading1"/>
      </w:pPr>
      <w:bookmarkStart w:id="6" w:name="_Toc242668406"/>
      <w:r>
        <w:lastRenderedPageBreak/>
        <w:t>6. RNA can provide feedback on assembly</w:t>
      </w:r>
      <w:bookmarkEnd w:id="6"/>
    </w:p>
    <w:p w14:paraId="6C32A436" w14:textId="6CAD28CC" w:rsidR="00F85348" w:rsidRDefault="00861BFA">
      <w:r>
        <w:t>Henninger and colleagues reported that nascent RNA during early transcription stimulated assembly, whereas the later RNA increase during elongation stimulated dissolution in their system. This supports a qualitative feedback model in which a product of transcription changes the environment in which transcription occurs. It is not simply a claim that RNA always increases condensation: the reported behavior changes with the transcriptional and concentration regime.</w:t>
      </w:r>
      <w:hyperlink r:id="rId42" w:history="1">
        <w:r>
          <w:rPr>
            <w:color w:val="087B78"/>
            <w:sz w:val="18"/>
            <w:szCs w:val="18"/>
          </w:rPr>
          <w:t xml:space="preserve"> [10]</w:t>
        </w:r>
      </w:hyperlink>
    </w:p>
    <w:p w14:paraId="6DD29830" w14:textId="00CA3E6A" w:rsidR="00F85348" w:rsidRDefault="00861BFA">
      <w:r>
        <w:t>A feedback interpretation should retain the distinction between a biochemical capacity and a universal explanation of bursting. The inspected primary abstract supports opposing RNA-associated effects but does not establish one quantitative RNA threshold for every gene or a complete timing rule across cells. RNA sequence, binding partners and local production are natural variables for subsequent tests. The result is most useful as a source-motivated regulatory mechanism with those variables left experimental</w:t>
      </w:r>
      <w:r>
        <w:t>ly open.</w:t>
      </w:r>
      <w:hyperlink r:id="rId43" w:history="1">
        <w:r>
          <w:rPr>
            <w:color w:val="087B78"/>
            <w:sz w:val="18"/>
            <w:szCs w:val="18"/>
          </w:rPr>
          <w:t xml:space="preserve"> [10]</w:t>
        </w:r>
      </w:hyperlink>
      <w:hyperlink r:id="rId44" w:history="1">
        <w:r>
          <w:rPr>
            <w:color w:val="087B78"/>
            <w:sz w:val="18"/>
            <w:szCs w:val="18"/>
          </w:rPr>
          <w:t xml:space="preserve"> [8]</w:t>
        </w:r>
      </w:hyperlink>
    </w:p>
    <w:p w14:paraId="43254AEB" w14:textId="61E36B74" w:rsidR="00F85348" w:rsidRDefault="00861BFA">
      <w:r>
        <w:t>The newer elongation-linked NDF–FACT assembly illustrates why RNA feedback cannot be imposed indiscriminately on every transcriptional complex. Its organization is associated with polymerase progression through nucleosomes and histone retention, while other clusters represent engaged polymerases at genes. The actual component mixture and functional stage determine which feedback measurements are relevant. A comparative synthesis can accommodate these different assemblies without forcing them into one lifecy</w:t>
      </w:r>
      <w:r>
        <w:t>cle.</w:t>
      </w:r>
      <w:hyperlink r:id="rId45" w:history="1">
        <w:r>
          <w:rPr>
            <w:color w:val="087B78"/>
            <w:sz w:val="18"/>
            <w:szCs w:val="18"/>
          </w:rPr>
          <w:t xml:space="preserve"> [11]</w:t>
        </w:r>
      </w:hyperlink>
      <w:hyperlink r:id="rId46" w:history="1">
        <w:r>
          <w:rPr>
            <w:color w:val="087B78"/>
            <w:sz w:val="18"/>
            <w:szCs w:val="18"/>
          </w:rPr>
          <w:t xml:space="preserve"> [12]</w:t>
        </w:r>
      </w:hyperlink>
      <w:hyperlink r:id="rId47" w:history="1">
        <w:r>
          <w:rPr>
            <w:color w:val="087B78"/>
            <w:sz w:val="18"/>
            <w:szCs w:val="18"/>
          </w:rPr>
          <w:t xml:space="preserve"> [10]</w:t>
        </w:r>
      </w:hyperlink>
    </w:p>
    <w:p w14:paraId="08B7FF5A" w14:textId="77777777" w:rsidR="00F85348" w:rsidRDefault="00861BFA">
      <w:pPr>
        <w:pStyle w:val="Heading1"/>
      </w:pPr>
      <w:bookmarkStart w:id="7" w:name="_Toc242668407"/>
      <w:r>
        <w:t>7. NDF–FACT provides a current mechanism-specific functional test</w:t>
      </w:r>
      <w:bookmarkEnd w:id="7"/>
    </w:p>
    <w:p w14:paraId="15CBDB57" w14:textId="0DA8255E" w:rsidR="00F85348" w:rsidRDefault="00861BFA">
      <w:r>
        <w:t>Li, Burgos-Bravo and colleagues identified an NDF–FACT interaction and showed that the proteins cooperatively enhanced Pol-II transcription through nucleosomal substrates. Biochemical and single-molecule experiments connected their combined assembly to nucleosome-barrier traversal while retaining histone material on DNA. In the defined mixture, neither component behaved as an equivalent independent condensate. This supplies a specific heterotypic reaction environment, rather than a general assertion that an</w:t>
      </w:r>
      <w:r>
        <w:t>y transcriptional focus increases catalytic efficiency.</w:t>
      </w:r>
      <w:hyperlink r:id="rId48" w:history="1">
        <w:r>
          <w:rPr>
            <w:color w:val="087B78"/>
            <w:sz w:val="18"/>
            <w:szCs w:val="18"/>
          </w:rPr>
          <w:t xml:space="preserve"> [11]</w:t>
        </w:r>
      </w:hyperlink>
    </w:p>
    <w:p w14:paraId="48AA628F" w14:textId="685EB784" w:rsidR="00F85348" w:rsidRDefault="00861BFA">
      <w:r>
        <w:t>The study then used NDF K161A to separate tested molecular functions more directly. The mutant retained interaction with FACT and the assayed catalytic activity but showed reduced phase capacity and lost the synergistic transcription enhancement. This is stronger discrimination than simple protein depletion or a mutation known to abolish all partner binding. It ties a defined assembly property to biochemical function while preserving explicitly tested alternatives.</w:t>
      </w:r>
      <w:hyperlink r:id="rId49" w:history="1">
        <w:r>
          <w:rPr>
            <w:color w:val="087B78"/>
            <w:sz w:val="18"/>
            <w:szCs w:val="18"/>
          </w:rPr>
          <w:t xml:space="preserve"> [11]</w:t>
        </w:r>
      </w:hyperlink>
    </w:p>
    <w:p w14:paraId="4B93EC81" w14:textId="377E1CBF" w:rsidR="00F85348" w:rsidRDefault="00861BFA">
      <w:r>
        <w:t xml:space="preserve">In human stem-cell comparisons, the K161A state reduced nascent transcription and elongation measures, weakened FACT chromatin occupancy and was associated with nucleosome loss at active loci. These separate readouts connect the altered assembly to recruitment and chromatin maintenance as well as RNA production. The main Results support the NDF–FACT mechanism in </w:t>
      </w:r>
      <w:r>
        <w:lastRenderedPageBreak/>
        <w:t>that context, while the complete supplementary validation and raw single-molecule records were not independently reanalyzed here.</w:t>
      </w:r>
      <w:hyperlink r:id="rId50" w:history="1">
        <w:r>
          <w:rPr>
            <w:color w:val="087B78"/>
            <w:sz w:val="18"/>
            <w:szCs w:val="18"/>
          </w:rPr>
          <w:t xml:space="preserve"> [11]</w:t>
        </w:r>
      </w:hyperlink>
    </w:p>
    <w:p w14:paraId="04E4E191" w14:textId="64780D82" w:rsidR="00F85348" w:rsidRDefault="00861BFA">
      <w:r>
        <w:t>The study’s importance lies in the specification of the assembly and function. It concerns a defined elongation partnership and does not establish that all Pol-II clusters are phase separated. The cellular mutant and the purified assays narrow the mechanism considerably, but generalization still requires testing other states and partners. This positive result can coexist with models of ordinary gene-associated clusters formed by engaged-polymerase accumulation.</w:t>
      </w:r>
      <w:hyperlink r:id="rId51" w:history="1">
        <w:r>
          <w:rPr>
            <w:color w:val="087B78"/>
            <w:sz w:val="18"/>
            <w:szCs w:val="18"/>
          </w:rPr>
          <w:t xml:space="preserve"> [11]</w:t>
        </w:r>
      </w:hyperlink>
      <w:hyperlink r:id="rId52" w:history="1">
        <w:r>
          <w:rPr>
            <w:color w:val="087B78"/>
            <w:sz w:val="18"/>
            <w:szCs w:val="18"/>
          </w:rPr>
          <w:t xml:space="preserve"> [12]</w:t>
        </w:r>
      </w:hyperlink>
    </w:p>
    <w:p w14:paraId="5BAE1CD7" w14:textId="77777777" w:rsidR="00F85348" w:rsidRDefault="00861BFA">
      <w:pPr>
        <w:pStyle w:val="Heading1"/>
      </w:pPr>
      <w:bookmarkStart w:id="8" w:name="_Toc242668408"/>
      <w:r>
        <w:t>8. DNA binding and engaged polymerases can create clusters</w:t>
      </w:r>
      <w:bookmarkEnd w:id="8"/>
    </w:p>
    <w:p w14:paraId="4195418B" w14:textId="7D9D01ED" w:rsidR="00F85348" w:rsidRDefault="00861BFA">
      <w:r>
        <w:t>McSwiggen and colleagues examined Pol-II enrichment in herpesviral replication compartments. Accessible viral DNA and repeated nonspecific visits provided a compartmentalization mechanism distinct from phase separation, with diffusion across boundaries remaining important to the interpretation. This viral system is a valuable counterexample because it demonstrates enrichment without requiring bulk demixing. It is not a replacement explanation for every host coactivator assembly, but it expands the set of me</w:t>
      </w:r>
      <w:r>
        <w:t>chanisms that a diagnostic experiment must discriminate.</w:t>
      </w:r>
      <w:hyperlink r:id="rId53" w:history="1">
        <w:r>
          <w:rPr>
            <w:color w:val="087B78"/>
            <w:sz w:val="18"/>
            <w:szCs w:val="18"/>
          </w:rPr>
          <w:t xml:space="preserve"> [7]</w:t>
        </w:r>
      </w:hyperlink>
    </w:p>
    <w:p w14:paraId="16003862" w14:textId="7595B846" w:rsidR="00F85348" w:rsidRDefault="00861BFA">
      <w:r>
        <w:t>Mukherjee and colleagues used single-molecule tracking, lattice light-sheet imaging, transcriptional reporters and simulations during fly zygotic genome activation. Cluster formation depended on transcription initiation, and individual clusters remained associated with active genes during transcription. Their data and modeling explained the ordinary clusters as local accumulations of engaged polymerases. This is a current direct comparison of assembly kinetics and gene output, rather than a decision based o</w:t>
      </w:r>
      <w:r>
        <w:t>nly on a cluster’s morphology.</w:t>
      </w:r>
      <w:hyperlink r:id="rId54" w:history="1">
        <w:r>
          <w:rPr>
            <w:color w:val="087B78"/>
            <w:sz w:val="18"/>
            <w:szCs w:val="18"/>
          </w:rPr>
          <w:t xml:space="preserve"> [12]</w:t>
        </w:r>
      </w:hyperlink>
    </w:p>
    <w:p w14:paraId="217FB4A3" w14:textId="583A0960" w:rsidR="00F85348" w:rsidRDefault="00861BFA">
      <w:r>
        <w:t>The developmental transition also changed the balance of initiating and elongating polymerases. The study therefore treats cluster composition as dynamic with the transcriptional program. Its ordinary clusters should be distinguished from specialized histone-locus-body assemblies and from larger coactivator-rich clusters in other cells. The result argues against assigning phase separation to every Pol-II focus, while leaving the separately tested NDF–FACT elongation mechanism intact.</w:t>
      </w:r>
      <w:hyperlink r:id="rId55" w:history="1">
        <w:r>
          <w:rPr>
            <w:color w:val="087B78"/>
            <w:sz w:val="18"/>
            <w:szCs w:val="18"/>
          </w:rPr>
          <w:t xml:space="preserve"> [12]</w:t>
        </w:r>
      </w:hyperlink>
      <w:hyperlink r:id="rId56" w:history="1">
        <w:r>
          <w:rPr>
            <w:color w:val="087B78"/>
            <w:sz w:val="18"/>
            <w:szCs w:val="18"/>
          </w:rPr>
          <w:t xml:space="preserve"> [3]</w:t>
        </w:r>
      </w:hyperlink>
      <w:hyperlink r:id="rId57" w:history="1">
        <w:r>
          <w:rPr>
            <w:color w:val="087B78"/>
            <w:sz w:val="18"/>
            <w:szCs w:val="18"/>
          </w:rPr>
          <w:t xml:space="preserve"> [11]</w:t>
        </w:r>
      </w:hyperlink>
    </w:p>
    <w:p w14:paraId="3B418B0F" w14:textId="77777777" w:rsidR="00F85348" w:rsidRDefault="00861BFA">
      <w:pPr>
        <w:pStyle w:val="Heading1"/>
      </w:pPr>
      <w:bookmarkStart w:id="9" w:name="_Toc242668409"/>
      <w:r>
        <w:t>9. How to test an assembly mechanism</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85348" w14:paraId="173C5C92"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5C80A0FA" w14:textId="77777777" w:rsidR="00F85348" w:rsidRDefault="00861BFA">
            <w:pPr>
              <w:spacing w:after="50" w:line="255" w:lineRule="auto"/>
            </w:pPr>
            <w:r>
              <w:rPr>
                <w:b/>
                <w:bCs/>
                <w:color w:val="173B4C"/>
                <w:sz w:val="19"/>
                <w:szCs w:val="19"/>
              </w:rPr>
              <w:t>Evidence</w:t>
            </w:r>
          </w:p>
        </w:tc>
        <w:tc>
          <w:tcPr>
            <w:tcW w:w="3120" w:type="dxa"/>
            <w:shd w:val="clear" w:color="auto" w:fill="EAF3F3"/>
            <w:tcMar>
              <w:top w:w="105" w:type="dxa"/>
              <w:left w:w="125" w:type="dxa"/>
              <w:bottom w:w="105" w:type="dxa"/>
              <w:right w:w="125" w:type="dxa"/>
            </w:tcMar>
          </w:tcPr>
          <w:p w14:paraId="4DAC918D" w14:textId="77777777" w:rsidR="00F85348" w:rsidRDefault="00861BFA">
            <w:pPr>
              <w:spacing w:after="50" w:line="255" w:lineRule="auto"/>
            </w:pPr>
            <w:r>
              <w:rPr>
                <w:b/>
                <w:bCs/>
                <w:color w:val="173B4C"/>
                <w:sz w:val="19"/>
                <w:szCs w:val="19"/>
              </w:rPr>
              <w:t>What it contributes</w:t>
            </w:r>
          </w:p>
        </w:tc>
        <w:tc>
          <w:tcPr>
            <w:tcW w:w="3120" w:type="dxa"/>
            <w:shd w:val="clear" w:color="auto" w:fill="EAF3F3"/>
            <w:tcMar>
              <w:top w:w="105" w:type="dxa"/>
              <w:left w:w="125" w:type="dxa"/>
              <w:bottom w:w="105" w:type="dxa"/>
              <w:right w:w="125" w:type="dxa"/>
            </w:tcMar>
          </w:tcPr>
          <w:p w14:paraId="7058BC4A" w14:textId="77777777" w:rsidR="00F85348" w:rsidRDefault="00861BFA">
            <w:pPr>
              <w:spacing w:after="50" w:line="255" w:lineRule="auto"/>
            </w:pPr>
            <w:r>
              <w:rPr>
                <w:b/>
                <w:bCs/>
                <w:color w:val="173B4C"/>
                <w:sz w:val="19"/>
                <w:szCs w:val="19"/>
              </w:rPr>
              <w:t>What it does not settle alone</w:t>
            </w:r>
          </w:p>
        </w:tc>
      </w:tr>
      <w:tr w:rsidR="00F85348" w14:paraId="2195F38D" w14:textId="77777777">
        <w:tblPrEx>
          <w:tblCellMar>
            <w:top w:w="0" w:type="dxa"/>
            <w:bottom w:w="0" w:type="dxa"/>
          </w:tblCellMar>
        </w:tblPrEx>
        <w:trPr>
          <w:cantSplit/>
        </w:trPr>
        <w:tc>
          <w:tcPr>
            <w:tcW w:w="3120" w:type="dxa"/>
            <w:tcMar>
              <w:top w:w="105" w:type="dxa"/>
              <w:left w:w="125" w:type="dxa"/>
              <w:bottom w:w="105" w:type="dxa"/>
              <w:right w:w="125" w:type="dxa"/>
            </w:tcMar>
          </w:tcPr>
          <w:p w14:paraId="01B7FFEB" w14:textId="77777777" w:rsidR="00F85348" w:rsidRDefault="00861BFA">
            <w:pPr>
              <w:spacing w:after="50" w:line="255" w:lineRule="auto"/>
            </w:pPr>
            <w:r>
              <w:rPr>
                <w:sz w:val="19"/>
                <w:szCs w:val="19"/>
              </w:rPr>
              <w:t>Purified droplet and partition assays</w:t>
            </w:r>
          </w:p>
        </w:tc>
        <w:tc>
          <w:tcPr>
            <w:tcW w:w="3120" w:type="dxa"/>
            <w:tcMar>
              <w:top w:w="105" w:type="dxa"/>
              <w:left w:w="125" w:type="dxa"/>
              <w:bottom w:w="105" w:type="dxa"/>
              <w:right w:w="125" w:type="dxa"/>
            </w:tcMar>
          </w:tcPr>
          <w:p w14:paraId="0AE19AAA" w14:textId="77777777" w:rsidR="00F85348" w:rsidRDefault="00861BFA">
            <w:pPr>
              <w:spacing w:after="50" w:line="255" w:lineRule="auto"/>
            </w:pPr>
            <w:r>
              <w:rPr>
                <w:sz w:val="19"/>
                <w:szCs w:val="19"/>
              </w:rPr>
              <w:t>Physical capacity and component compatibility in a defined mixture.</w:t>
            </w:r>
          </w:p>
        </w:tc>
        <w:tc>
          <w:tcPr>
            <w:tcW w:w="3120" w:type="dxa"/>
            <w:tcMar>
              <w:top w:w="105" w:type="dxa"/>
              <w:left w:w="125" w:type="dxa"/>
              <w:bottom w:w="105" w:type="dxa"/>
              <w:right w:w="125" w:type="dxa"/>
            </w:tcMar>
          </w:tcPr>
          <w:p w14:paraId="0BF71965" w14:textId="6E42EDAA" w:rsidR="00F85348" w:rsidRDefault="00861BFA">
            <w:pPr>
              <w:spacing w:after="50" w:line="255" w:lineRule="auto"/>
            </w:pPr>
            <w:r>
              <w:rPr>
                <w:sz w:val="19"/>
                <w:szCs w:val="19"/>
              </w:rPr>
              <w:t>Native concentration, cellular necessity and all effects of full complexes.</w:t>
            </w:r>
            <w:hyperlink r:id="rId58" w:history="1">
              <w:r>
                <w:rPr>
                  <w:color w:val="087B78"/>
                  <w:sz w:val="18"/>
                  <w:szCs w:val="18"/>
                </w:rPr>
                <w:t xml:space="preserve"> [5]</w:t>
              </w:r>
            </w:hyperlink>
            <w:hyperlink r:id="rId59" w:history="1">
              <w:r>
                <w:rPr>
                  <w:color w:val="087B78"/>
                  <w:sz w:val="18"/>
                  <w:szCs w:val="18"/>
                </w:rPr>
                <w:t xml:space="preserve"> [4]</w:t>
              </w:r>
            </w:hyperlink>
          </w:p>
        </w:tc>
      </w:tr>
      <w:tr w:rsidR="00F85348" w14:paraId="738A8571" w14:textId="77777777">
        <w:tblPrEx>
          <w:tblCellMar>
            <w:top w:w="0" w:type="dxa"/>
            <w:bottom w:w="0" w:type="dxa"/>
          </w:tblCellMar>
        </w:tblPrEx>
        <w:trPr>
          <w:cantSplit/>
        </w:trPr>
        <w:tc>
          <w:tcPr>
            <w:tcW w:w="3120" w:type="dxa"/>
            <w:tcMar>
              <w:top w:w="105" w:type="dxa"/>
              <w:left w:w="125" w:type="dxa"/>
              <w:bottom w:w="105" w:type="dxa"/>
              <w:right w:w="125" w:type="dxa"/>
            </w:tcMar>
          </w:tcPr>
          <w:p w14:paraId="10AD37D4" w14:textId="77777777" w:rsidR="00F85348" w:rsidRDefault="00861BFA">
            <w:pPr>
              <w:spacing w:after="50" w:line="255" w:lineRule="auto"/>
            </w:pPr>
            <w:r>
              <w:rPr>
                <w:sz w:val="19"/>
                <w:szCs w:val="19"/>
              </w:rPr>
              <w:t>Live dynamics and chromatin proximity</w:t>
            </w:r>
          </w:p>
        </w:tc>
        <w:tc>
          <w:tcPr>
            <w:tcW w:w="3120" w:type="dxa"/>
            <w:tcMar>
              <w:top w:w="105" w:type="dxa"/>
              <w:left w:w="125" w:type="dxa"/>
              <w:bottom w:w="105" w:type="dxa"/>
              <w:right w:w="125" w:type="dxa"/>
            </w:tcMar>
          </w:tcPr>
          <w:p w14:paraId="60437729" w14:textId="77777777" w:rsidR="00F85348" w:rsidRDefault="00861BFA">
            <w:pPr>
              <w:spacing w:after="50" w:line="255" w:lineRule="auto"/>
            </w:pPr>
            <w:r>
              <w:rPr>
                <w:sz w:val="19"/>
                <w:szCs w:val="19"/>
              </w:rPr>
              <w:t>Assembly lifetimes, exchange and association with genomic regions.</w:t>
            </w:r>
          </w:p>
        </w:tc>
        <w:tc>
          <w:tcPr>
            <w:tcW w:w="3120" w:type="dxa"/>
            <w:tcMar>
              <w:top w:w="105" w:type="dxa"/>
              <w:left w:w="125" w:type="dxa"/>
              <w:bottom w:w="105" w:type="dxa"/>
              <w:right w:w="125" w:type="dxa"/>
            </w:tcMar>
          </w:tcPr>
          <w:p w14:paraId="173F541C" w14:textId="4BD44C83" w:rsidR="00F85348" w:rsidRDefault="00861BFA">
            <w:pPr>
              <w:spacing w:after="50" w:line="255" w:lineRule="auto"/>
            </w:pPr>
            <w:r>
              <w:rPr>
                <w:sz w:val="19"/>
                <w:szCs w:val="19"/>
              </w:rPr>
              <w:t>A unique phase mechanism or the stage causing the enrichment.</w:t>
            </w:r>
            <w:hyperlink r:id="rId60" w:history="1">
              <w:r>
                <w:rPr>
                  <w:color w:val="087B78"/>
                  <w:sz w:val="18"/>
                  <w:szCs w:val="18"/>
                </w:rPr>
                <w:t xml:space="preserve"> [3]</w:t>
              </w:r>
            </w:hyperlink>
            <w:hyperlink r:id="rId61" w:history="1">
              <w:r>
                <w:rPr>
                  <w:color w:val="087B78"/>
                  <w:sz w:val="18"/>
                  <w:szCs w:val="18"/>
                </w:rPr>
                <w:t xml:space="preserve"> [12]</w:t>
              </w:r>
            </w:hyperlink>
          </w:p>
        </w:tc>
      </w:tr>
      <w:tr w:rsidR="00F85348" w14:paraId="45F4E102" w14:textId="77777777">
        <w:tblPrEx>
          <w:tblCellMar>
            <w:top w:w="0" w:type="dxa"/>
            <w:bottom w:w="0" w:type="dxa"/>
          </w:tblCellMar>
        </w:tblPrEx>
        <w:trPr>
          <w:cantSplit/>
        </w:trPr>
        <w:tc>
          <w:tcPr>
            <w:tcW w:w="3120" w:type="dxa"/>
            <w:tcMar>
              <w:top w:w="105" w:type="dxa"/>
              <w:left w:w="125" w:type="dxa"/>
              <w:bottom w:w="105" w:type="dxa"/>
              <w:right w:w="125" w:type="dxa"/>
            </w:tcMar>
          </w:tcPr>
          <w:p w14:paraId="242E4700" w14:textId="77777777" w:rsidR="00F85348" w:rsidRDefault="00861BFA">
            <w:pPr>
              <w:spacing w:after="50" w:line="255" w:lineRule="auto"/>
            </w:pPr>
            <w:r>
              <w:rPr>
                <w:sz w:val="19"/>
                <w:szCs w:val="19"/>
              </w:rPr>
              <w:lastRenderedPageBreak/>
              <w:t>Interaction-preserving mutant with functional assays</w:t>
            </w:r>
          </w:p>
        </w:tc>
        <w:tc>
          <w:tcPr>
            <w:tcW w:w="3120" w:type="dxa"/>
            <w:tcMar>
              <w:top w:w="105" w:type="dxa"/>
              <w:left w:w="125" w:type="dxa"/>
              <w:bottom w:w="105" w:type="dxa"/>
              <w:right w:w="125" w:type="dxa"/>
            </w:tcMar>
          </w:tcPr>
          <w:p w14:paraId="1E6683B9" w14:textId="77777777" w:rsidR="00F85348" w:rsidRDefault="00861BFA">
            <w:pPr>
              <w:spacing w:after="50" w:line="255" w:lineRule="auto"/>
            </w:pPr>
            <w:r>
              <w:rPr>
                <w:sz w:val="19"/>
                <w:szCs w:val="19"/>
              </w:rPr>
              <w:t>A more selective link between assembly capacity and reaction output.</w:t>
            </w:r>
          </w:p>
        </w:tc>
        <w:tc>
          <w:tcPr>
            <w:tcW w:w="3120" w:type="dxa"/>
            <w:tcMar>
              <w:top w:w="105" w:type="dxa"/>
              <w:left w:w="125" w:type="dxa"/>
              <w:bottom w:w="105" w:type="dxa"/>
              <w:right w:w="125" w:type="dxa"/>
            </w:tcMar>
          </w:tcPr>
          <w:p w14:paraId="5DD816F0" w14:textId="410ED31C" w:rsidR="00F85348" w:rsidRDefault="00861BFA">
            <w:pPr>
              <w:spacing w:after="50" w:line="255" w:lineRule="auto"/>
            </w:pPr>
            <w:r>
              <w:rPr>
                <w:sz w:val="19"/>
                <w:szCs w:val="19"/>
              </w:rPr>
              <w:t>Universal application across transcriptional complexes and cell states.</w:t>
            </w:r>
            <w:hyperlink r:id="rId62" w:history="1">
              <w:r>
                <w:rPr>
                  <w:color w:val="087B78"/>
                  <w:sz w:val="18"/>
                  <w:szCs w:val="18"/>
                </w:rPr>
                <w:t xml:space="preserve"> [11]</w:t>
              </w:r>
            </w:hyperlink>
          </w:p>
        </w:tc>
      </w:tr>
      <w:tr w:rsidR="00F85348" w14:paraId="7FA70CF8" w14:textId="77777777">
        <w:tblPrEx>
          <w:tblCellMar>
            <w:top w:w="0" w:type="dxa"/>
            <w:bottom w:w="0" w:type="dxa"/>
          </w:tblCellMar>
        </w:tblPrEx>
        <w:trPr>
          <w:cantSplit/>
        </w:trPr>
        <w:tc>
          <w:tcPr>
            <w:tcW w:w="3120" w:type="dxa"/>
            <w:tcMar>
              <w:top w:w="105" w:type="dxa"/>
              <w:left w:w="125" w:type="dxa"/>
              <w:bottom w:w="105" w:type="dxa"/>
              <w:right w:w="125" w:type="dxa"/>
            </w:tcMar>
          </w:tcPr>
          <w:p w14:paraId="5E68F22D" w14:textId="77777777" w:rsidR="00F85348" w:rsidRDefault="00861BFA">
            <w:pPr>
              <w:spacing w:after="50" w:line="255" w:lineRule="auto"/>
            </w:pPr>
            <w:r>
              <w:rPr>
                <w:sz w:val="19"/>
                <w:szCs w:val="19"/>
              </w:rPr>
              <w:t>DNA-binding and kinetic alternatives</w:t>
            </w:r>
          </w:p>
        </w:tc>
        <w:tc>
          <w:tcPr>
            <w:tcW w:w="3120" w:type="dxa"/>
            <w:tcMar>
              <w:top w:w="105" w:type="dxa"/>
              <w:left w:w="125" w:type="dxa"/>
              <w:bottom w:w="105" w:type="dxa"/>
              <w:right w:w="125" w:type="dxa"/>
            </w:tcMar>
          </w:tcPr>
          <w:p w14:paraId="7B1F8A20" w14:textId="77777777" w:rsidR="00F85348" w:rsidRDefault="00861BFA">
            <w:pPr>
              <w:spacing w:after="50" w:line="255" w:lineRule="auto"/>
            </w:pPr>
            <w:r>
              <w:rPr>
                <w:sz w:val="19"/>
                <w:szCs w:val="19"/>
              </w:rPr>
              <w:t>Mechanisms that can generate concentration without bulk demixing.</w:t>
            </w:r>
          </w:p>
        </w:tc>
        <w:tc>
          <w:tcPr>
            <w:tcW w:w="3120" w:type="dxa"/>
            <w:tcMar>
              <w:top w:w="105" w:type="dxa"/>
              <w:left w:w="125" w:type="dxa"/>
              <w:bottom w:w="105" w:type="dxa"/>
              <w:right w:w="125" w:type="dxa"/>
            </w:tcMar>
          </w:tcPr>
          <w:p w14:paraId="0402EF68" w14:textId="6EB16499" w:rsidR="00F85348" w:rsidRDefault="00861BFA">
            <w:pPr>
              <w:spacing w:after="50" w:line="255" w:lineRule="auto"/>
            </w:pPr>
            <w:r>
              <w:rPr>
                <w:sz w:val="19"/>
                <w:szCs w:val="19"/>
              </w:rPr>
              <w:t>The mechanism of an unrelated coactivator-rich assembly.</w:t>
            </w:r>
            <w:hyperlink r:id="rId63" w:history="1">
              <w:r>
                <w:rPr>
                  <w:color w:val="087B78"/>
                  <w:sz w:val="18"/>
                  <w:szCs w:val="18"/>
                </w:rPr>
                <w:t xml:space="preserve"> [7]</w:t>
              </w:r>
            </w:hyperlink>
            <w:hyperlink r:id="rId64" w:history="1">
              <w:r>
                <w:rPr>
                  <w:color w:val="087B78"/>
                  <w:sz w:val="18"/>
                  <w:szCs w:val="18"/>
                </w:rPr>
                <w:t xml:space="preserve"> [6]</w:t>
              </w:r>
            </w:hyperlink>
            <w:hyperlink r:id="rId65" w:history="1">
              <w:r>
                <w:rPr>
                  <w:color w:val="087B78"/>
                  <w:sz w:val="18"/>
                  <w:szCs w:val="18"/>
                </w:rPr>
                <w:t xml:space="preserve"> [12]</w:t>
              </w:r>
            </w:hyperlink>
          </w:p>
        </w:tc>
      </w:tr>
      <w:tr w:rsidR="00F85348" w14:paraId="01C2233E" w14:textId="77777777">
        <w:tblPrEx>
          <w:tblCellMar>
            <w:top w:w="0" w:type="dxa"/>
            <w:bottom w:w="0" w:type="dxa"/>
          </w:tblCellMar>
        </w:tblPrEx>
        <w:trPr>
          <w:cantSplit/>
        </w:trPr>
        <w:tc>
          <w:tcPr>
            <w:tcW w:w="3120" w:type="dxa"/>
            <w:tcMar>
              <w:top w:w="105" w:type="dxa"/>
              <w:left w:w="125" w:type="dxa"/>
              <w:bottom w:w="105" w:type="dxa"/>
              <w:right w:w="125" w:type="dxa"/>
            </w:tcMar>
          </w:tcPr>
          <w:p w14:paraId="46A97C08" w14:textId="77777777" w:rsidR="00F85348" w:rsidRDefault="00861BFA">
            <w:pPr>
              <w:spacing w:after="50" w:line="255" w:lineRule="auto"/>
            </w:pPr>
            <w:r>
              <w:rPr>
                <w:sz w:val="19"/>
                <w:szCs w:val="19"/>
              </w:rPr>
              <w:t>Chemical perturbation</w:t>
            </w:r>
          </w:p>
        </w:tc>
        <w:tc>
          <w:tcPr>
            <w:tcW w:w="3120" w:type="dxa"/>
            <w:tcMar>
              <w:top w:w="105" w:type="dxa"/>
              <w:left w:w="125" w:type="dxa"/>
              <w:bottom w:w="105" w:type="dxa"/>
              <w:right w:w="125" w:type="dxa"/>
            </w:tcMar>
          </w:tcPr>
          <w:p w14:paraId="6F081525" w14:textId="77777777" w:rsidR="00F85348" w:rsidRDefault="00861BFA">
            <w:pPr>
              <w:spacing w:after="50" w:line="255" w:lineRule="auto"/>
            </w:pPr>
            <w:r>
              <w:rPr>
                <w:sz w:val="19"/>
                <w:szCs w:val="19"/>
              </w:rPr>
              <w:t>Dependence on interactions affected by the compound.</w:t>
            </w:r>
          </w:p>
        </w:tc>
        <w:tc>
          <w:tcPr>
            <w:tcW w:w="3120" w:type="dxa"/>
            <w:tcMar>
              <w:top w:w="105" w:type="dxa"/>
              <w:left w:w="125" w:type="dxa"/>
              <w:bottom w:w="105" w:type="dxa"/>
              <w:right w:w="125" w:type="dxa"/>
            </w:tcMar>
          </w:tcPr>
          <w:p w14:paraId="24202F45" w14:textId="43F0222D" w:rsidR="00F85348" w:rsidRDefault="00861BFA">
            <w:pPr>
              <w:spacing w:after="50" w:line="255" w:lineRule="auto"/>
            </w:pPr>
            <w:r>
              <w:rPr>
                <w:sz w:val="19"/>
                <w:szCs w:val="19"/>
              </w:rPr>
              <w:t>Phase selectivity when chromatin motion or recruitment is also altered.</w:t>
            </w:r>
            <w:hyperlink r:id="rId66" w:history="1">
              <w:r>
                <w:rPr>
                  <w:color w:val="087B78"/>
                  <w:sz w:val="18"/>
                  <w:szCs w:val="18"/>
                </w:rPr>
                <w:t xml:space="preserve"> [1]</w:t>
              </w:r>
            </w:hyperlink>
            <w:hyperlink r:id="rId67" w:history="1">
              <w:r>
                <w:rPr>
                  <w:color w:val="087B78"/>
                  <w:sz w:val="18"/>
                  <w:szCs w:val="18"/>
                </w:rPr>
                <w:t xml:space="preserve"> [5]</w:t>
              </w:r>
            </w:hyperlink>
          </w:p>
        </w:tc>
      </w:tr>
    </w:tbl>
    <w:p w14:paraId="0FCEA558" w14:textId="77777777" w:rsidR="00F85348" w:rsidRDefault="00F85348">
      <w:pPr>
        <w:spacing w:after="170"/>
      </w:pPr>
    </w:p>
    <w:p w14:paraId="05A9CDB5" w14:textId="4A586775" w:rsidR="00F85348" w:rsidRDefault="00861BFA">
      <w:r>
        <w:t>The hexanediol chromatin study shows why solvent sensitivity needs controls: the compound rapidly immobilized and condensed chromatin in living human cells. A transcriptional focus can respond to such an intervention because its substrate, recruitment or physical interactions change together. A convincing mechanism-specific comparison therefore combines a controlled perturbation with independent measurements of ordinary molecular function, assembly and transcriptional output.</w:t>
      </w:r>
      <w:hyperlink r:id="rId68" w:history="1">
        <w:r>
          <w:rPr>
            <w:color w:val="087B78"/>
            <w:sz w:val="18"/>
            <w:szCs w:val="18"/>
          </w:rPr>
          <w:t xml:space="preserve"> [1]</w:t>
        </w:r>
      </w:hyperlink>
      <w:hyperlink r:id="rId69" w:history="1">
        <w:r>
          <w:rPr>
            <w:color w:val="087B78"/>
            <w:sz w:val="18"/>
            <w:szCs w:val="18"/>
          </w:rPr>
          <w:t xml:space="preserve"> [11]</w:t>
        </w:r>
      </w:hyperlink>
    </w:p>
    <w:p w14:paraId="5E454DBA" w14:textId="77777777" w:rsidR="00F85348" w:rsidRDefault="00861BFA">
      <w:pPr>
        <w:pStyle w:val="Heading1"/>
      </w:pPr>
      <w:bookmarkStart w:id="10" w:name="_Toc242668410"/>
      <w:r>
        <w:t>10. Current synthesis and priorities</w:t>
      </w:r>
      <w:bookmarkEnd w:id="10"/>
    </w:p>
    <w:p w14:paraId="23C3C285" w14:textId="08110485" w:rsidR="00F85348" w:rsidRDefault="00861BFA">
      <w:r>
        <w:t>Transcriptional organization includes multiple interaction regimes. Coactivator droplets, dynamic factor hubs, phosphorylation-regulated partner environments, RNA feedback and elongation-linked NDF–FACT assemblies each contribute measured possibilities. Ordinary gene-associated polymerase clusters can arise through engaged-molecule accumulation. The current evidence supports a family of mechanisms whose allocation depends on the assembly and functional stage, rather than one obligatory liquid compartment fo</w:t>
      </w:r>
      <w:r>
        <w:t>r all transcription.</w:t>
      </w:r>
      <w:hyperlink r:id="rId70" w:history="1">
        <w:r>
          <w:rPr>
            <w:color w:val="087B78"/>
            <w:sz w:val="18"/>
            <w:szCs w:val="18"/>
          </w:rPr>
          <w:t xml:space="preserve"> [5]</w:t>
        </w:r>
      </w:hyperlink>
      <w:hyperlink r:id="rId71" w:history="1">
        <w:r>
          <w:rPr>
            <w:color w:val="087B78"/>
            <w:sz w:val="18"/>
            <w:szCs w:val="18"/>
          </w:rPr>
          <w:t xml:space="preserve"> [6]</w:t>
        </w:r>
      </w:hyperlink>
      <w:hyperlink r:id="rId72" w:history="1">
        <w:r>
          <w:rPr>
            <w:color w:val="087B78"/>
            <w:sz w:val="18"/>
            <w:szCs w:val="18"/>
          </w:rPr>
          <w:t xml:space="preserve"> [8]</w:t>
        </w:r>
      </w:hyperlink>
      <w:hyperlink r:id="rId73" w:history="1">
        <w:r>
          <w:rPr>
            <w:color w:val="087B78"/>
            <w:sz w:val="18"/>
            <w:szCs w:val="18"/>
          </w:rPr>
          <w:t xml:space="preserve"> [10]</w:t>
        </w:r>
      </w:hyperlink>
      <w:hyperlink r:id="rId74" w:history="1">
        <w:r>
          <w:rPr>
            <w:color w:val="087B78"/>
            <w:sz w:val="18"/>
            <w:szCs w:val="18"/>
          </w:rPr>
          <w:t xml:space="preserve"> [11]</w:t>
        </w:r>
      </w:hyperlink>
      <w:hyperlink r:id="rId75" w:history="1">
        <w:r>
          <w:rPr>
            <w:color w:val="087B78"/>
            <w:sz w:val="18"/>
            <w:szCs w:val="18"/>
          </w:rPr>
          <w:t xml:space="preserve"> [12]</w:t>
        </w:r>
      </w:hyperlink>
    </w:p>
    <w:p w14:paraId="280A3C03" w14:textId="7314C81B" w:rsidR="00F85348" w:rsidRDefault="00861BFA">
      <w:r>
        <w:t>The strongest next experiments will measure the same locus, assembly and transcriptional stage while separating ordinary recruitment from the proposed physical network. The NDF K161A comparison provides an example of such discrimination, while the alternative-mechanism studies define essential controls. This approach can test where phase behavior is functionally necessary, where local binding is sufficient and how chemical regulation changes the balance, with each conclusion tied to the experiment that supp</w:t>
      </w:r>
      <w:r>
        <w:t>orts it.</w:t>
      </w:r>
      <w:hyperlink r:id="rId76" w:history="1">
        <w:r>
          <w:rPr>
            <w:color w:val="087B78"/>
            <w:sz w:val="18"/>
            <w:szCs w:val="18"/>
          </w:rPr>
          <w:t xml:space="preserve"> [11]</w:t>
        </w:r>
      </w:hyperlink>
      <w:hyperlink r:id="rId77" w:history="1">
        <w:r>
          <w:rPr>
            <w:color w:val="087B78"/>
            <w:sz w:val="18"/>
            <w:szCs w:val="18"/>
          </w:rPr>
          <w:t xml:space="preserve"> [7]</w:t>
        </w:r>
      </w:hyperlink>
      <w:hyperlink r:id="rId78" w:history="1">
        <w:r>
          <w:rPr>
            <w:color w:val="087B78"/>
            <w:sz w:val="18"/>
            <w:szCs w:val="18"/>
          </w:rPr>
          <w:t xml:space="preserve"> [9]</w:t>
        </w:r>
      </w:hyperlink>
      <w:hyperlink r:id="rId79" w:history="1">
        <w:r>
          <w:rPr>
            <w:color w:val="087B78"/>
            <w:sz w:val="18"/>
            <w:szCs w:val="18"/>
          </w:rPr>
          <w:t xml:space="preserve"> [12]</w:t>
        </w:r>
      </w:hyperlink>
    </w:p>
    <w:p w14:paraId="2BAD14CF" w14:textId="77777777" w:rsidR="00F85348" w:rsidRDefault="00861BFA">
      <w:pPr>
        <w:pStyle w:val="Heading1"/>
      </w:pPr>
      <w:bookmarkStart w:id="11" w:name="_Toc242668411"/>
      <w:r>
        <w:t>References</w:t>
      </w:r>
      <w:bookmarkEnd w:id="11"/>
    </w:p>
    <w:p w14:paraId="2A041B3F" w14:textId="61AC7818" w:rsidR="00F85348" w:rsidRDefault="00861BFA">
      <w:pPr>
        <w:keepLines/>
        <w:spacing w:after="90" w:line="245" w:lineRule="auto"/>
      </w:pPr>
      <w:r>
        <w:rPr>
          <w:b/>
          <w:bCs/>
          <w:sz w:val="20"/>
          <w:szCs w:val="20"/>
        </w:rPr>
        <w:t xml:space="preserve">[1] Itoh Y, Iida S, Tamura S, et al. (2021). </w:t>
      </w:r>
      <w:r>
        <w:rPr>
          <w:sz w:val="20"/>
          <w:szCs w:val="20"/>
        </w:rPr>
        <w:t xml:space="preserve">1,6-hexanediol rapidly immobilizes and condenses chromatin in living human cells. Life Science Alliance 4:e202001005. </w:t>
      </w:r>
      <w:hyperlink r:id="rId80" w:history="1">
        <w:r>
          <w:rPr>
            <w:color w:val="087B78"/>
            <w:sz w:val="20"/>
            <w:szCs w:val="20"/>
            <w:u w:val="single"/>
          </w:rPr>
          <w:t>10.26508/lsa.202001005</w:t>
        </w:r>
      </w:hyperlink>
    </w:p>
    <w:p w14:paraId="7A9615C0" w14:textId="72E9697E" w:rsidR="00F85348" w:rsidRDefault="00861BFA">
      <w:pPr>
        <w:keepLines/>
        <w:spacing w:after="90" w:line="245" w:lineRule="auto"/>
      </w:pPr>
      <w:r>
        <w:rPr>
          <w:b/>
          <w:bCs/>
          <w:sz w:val="20"/>
          <w:szCs w:val="20"/>
        </w:rPr>
        <w:t xml:space="preserve">[2] Banani SF, Lee HO, Hyman AA, Rosen MK (2017). </w:t>
      </w:r>
      <w:r>
        <w:rPr>
          <w:sz w:val="20"/>
          <w:szCs w:val="20"/>
        </w:rPr>
        <w:t xml:space="preserve">Biomolecular condensates: organizers of cellular biochemistry. Nature Reviews Molecular Cell Biology 18:285–298. </w:t>
      </w:r>
      <w:hyperlink r:id="rId81" w:history="1">
        <w:r>
          <w:rPr>
            <w:color w:val="087B78"/>
            <w:sz w:val="20"/>
            <w:szCs w:val="20"/>
            <w:u w:val="single"/>
          </w:rPr>
          <w:t>10.1038/nrm.2017.7</w:t>
        </w:r>
      </w:hyperlink>
    </w:p>
    <w:p w14:paraId="6ACD6D18" w14:textId="10522079" w:rsidR="00F85348" w:rsidRDefault="00861BFA">
      <w:pPr>
        <w:keepLines/>
        <w:spacing w:after="90" w:line="245" w:lineRule="auto"/>
      </w:pPr>
      <w:r>
        <w:rPr>
          <w:b/>
          <w:bCs/>
          <w:sz w:val="20"/>
          <w:szCs w:val="20"/>
        </w:rPr>
        <w:lastRenderedPageBreak/>
        <w:t xml:space="preserve">[3] Cho WK, Spille JH, Hecht M, et al. (2018). </w:t>
      </w:r>
      <w:r>
        <w:rPr>
          <w:sz w:val="20"/>
          <w:szCs w:val="20"/>
        </w:rPr>
        <w:t xml:space="preserve">Mediator and RNA polymerase II clusters associate in transcription-dependent condensates. Science 361:412–415. </w:t>
      </w:r>
      <w:hyperlink r:id="rId82" w:history="1">
        <w:r>
          <w:rPr>
            <w:color w:val="087B78"/>
            <w:sz w:val="20"/>
            <w:szCs w:val="20"/>
            <w:u w:val="single"/>
          </w:rPr>
          <w:t>10.1126/science.aar4199</w:t>
        </w:r>
      </w:hyperlink>
    </w:p>
    <w:p w14:paraId="65DF25C8" w14:textId="5AE7768C" w:rsidR="00F85348" w:rsidRDefault="00861BFA">
      <w:pPr>
        <w:keepLines/>
        <w:spacing w:after="90" w:line="245" w:lineRule="auto"/>
      </w:pPr>
      <w:r>
        <w:rPr>
          <w:b/>
          <w:bCs/>
          <w:sz w:val="20"/>
          <w:szCs w:val="20"/>
        </w:rPr>
        <w:t xml:space="preserve">[4] Boija A, Klein IA, Sabari BR, et al. (2018). </w:t>
      </w:r>
      <w:r>
        <w:rPr>
          <w:sz w:val="20"/>
          <w:szCs w:val="20"/>
        </w:rPr>
        <w:t xml:space="preserve">Transcription Factors Activate Genes through the Phase-Separation Capacity of Their Activation Domains. Cell 175:1842–1855.e16. </w:t>
      </w:r>
      <w:hyperlink r:id="rId83" w:history="1">
        <w:r>
          <w:rPr>
            <w:color w:val="087B78"/>
            <w:sz w:val="20"/>
            <w:szCs w:val="20"/>
            <w:u w:val="single"/>
          </w:rPr>
          <w:t>10.1016/j.cell.2018.10.042</w:t>
        </w:r>
      </w:hyperlink>
    </w:p>
    <w:p w14:paraId="3CB9516F" w14:textId="495B7C56" w:rsidR="00F85348" w:rsidRDefault="00861BFA">
      <w:pPr>
        <w:keepLines/>
        <w:spacing w:after="90" w:line="245" w:lineRule="auto"/>
      </w:pPr>
      <w:r>
        <w:rPr>
          <w:b/>
          <w:bCs/>
          <w:sz w:val="20"/>
          <w:szCs w:val="20"/>
        </w:rPr>
        <w:t xml:space="preserve">[5] Sabari BR, Dall’Agnese A, Boija A, et al. (2018). </w:t>
      </w:r>
      <w:r>
        <w:rPr>
          <w:sz w:val="20"/>
          <w:szCs w:val="20"/>
        </w:rPr>
        <w:t xml:space="preserve">Coactivator condensation at super-enhancers links phase separation and gene control. Science 361:eaar3958. </w:t>
      </w:r>
      <w:hyperlink r:id="rId84" w:history="1">
        <w:r>
          <w:rPr>
            <w:color w:val="087B78"/>
            <w:sz w:val="20"/>
            <w:szCs w:val="20"/>
            <w:u w:val="single"/>
          </w:rPr>
          <w:t>10.1126/science.aar3958</w:t>
        </w:r>
      </w:hyperlink>
    </w:p>
    <w:p w14:paraId="2C75D8C1" w14:textId="6B510DE3" w:rsidR="00F85348" w:rsidRDefault="00861BFA">
      <w:pPr>
        <w:keepLines/>
        <w:spacing w:after="90" w:line="245" w:lineRule="auto"/>
      </w:pPr>
      <w:r>
        <w:rPr>
          <w:b/>
          <w:bCs/>
          <w:sz w:val="20"/>
          <w:szCs w:val="20"/>
        </w:rPr>
        <w:t xml:space="preserve">[6] Chong S, Dugast-Darzacq C, Liu Z, et al. (2018). </w:t>
      </w:r>
      <w:r>
        <w:rPr>
          <w:sz w:val="20"/>
          <w:szCs w:val="20"/>
        </w:rPr>
        <w:t xml:space="preserve">Imaging dynamic and selective low-complexity domain interactions that control gene transcription. Science 361:eaar2555. </w:t>
      </w:r>
      <w:hyperlink r:id="rId85" w:history="1">
        <w:r>
          <w:rPr>
            <w:color w:val="087B78"/>
            <w:sz w:val="20"/>
            <w:szCs w:val="20"/>
            <w:u w:val="single"/>
          </w:rPr>
          <w:t>10.1126/science.aar2555</w:t>
        </w:r>
      </w:hyperlink>
    </w:p>
    <w:p w14:paraId="40093E41" w14:textId="3FBEF582" w:rsidR="00F85348" w:rsidRDefault="00861BFA">
      <w:pPr>
        <w:keepLines/>
        <w:spacing w:after="90" w:line="245" w:lineRule="auto"/>
      </w:pPr>
      <w:r>
        <w:rPr>
          <w:b/>
          <w:bCs/>
          <w:sz w:val="20"/>
          <w:szCs w:val="20"/>
        </w:rPr>
        <w:t xml:space="preserve">[7] McSwiggen DT, Hansen AS, Teves SS, et al. (2019). </w:t>
      </w:r>
      <w:r>
        <w:rPr>
          <w:sz w:val="20"/>
          <w:szCs w:val="20"/>
        </w:rPr>
        <w:t xml:space="preserve">Evidence for DNA-mediated nuclear compartmentalization distinct from phase separation. eLife 8:e47098. </w:t>
      </w:r>
      <w:hyperlink r:id="rId86" w:history="1">
        <w:r>
          <w:rPr>
            <w:color w:val="087B78"/>
            <w:sz w:val="20"/>
            <w:szCs w:val="20"/>
            <w:u w:val="single"/>
          </w:rPr>
          <w:t>10.7554/eLife.47098</w:t>
        </w:r>
      </w:hyperlink>
    </w:p>
    <w:p w14:paraId="3DA60ACC" w14:textId="16F36810" w:rsidR="00F85348" w:rsidRDefault="00861BFA">
      <w:pPr>
        <w:keepLines/>
        <w:spacing w:after="90" w:line="245" w:lineRule="auto"/>
      </w:pPr>
      <w:r>
        <w:rPr>
          <w:b/>
          <w:bCs/>
          <w:sz w:val="20"/>
          <w:szCs w:val="20"/>
        </w:rPr>
        <w:t xml:space="preserve">[8] Guo YE, Manteiga JC, Henninger JE, et al. (2019). </w:t>
      </w:r>
      <w:r>
        <w:rPr>
          <w:sz w:val="20"/>
          <w:szCs w:val="20"/>
        </w:rPr>
        <w:t xml:space="preserve">Pol II phosphorylation regulates a switch between transcriptional and splicing condensates. Nature 572:543–548. </w:t>
      </w:r>
      <w:hyperlink r:id="rId87" w:history="1">
        <w:r>
          <w:rPr>
            <w:color w:val="087B78"/>
            <w:sz w:val="20"/>
            <w:szCs w:val="20"/>
            <w:u w:val="single"/>
          </w:rPr>
          <w:t>10.1038/s41586-019-1464-0</w:t>
        </w:r>
      </w:hyperlink>
    </w:p>
    <w:p w14:paraId="25F8FD04" w14:textId="015C20F6" w:rsidR="00F85348" w:rsidRDefault="00861BFA">
      <w:pPr>
        <w:keepLines/>
        <w:spacing w:after="90" w:line="245" w:lineRule="auto"/>
      </w:pPr>
      <w:r>
        <w:rPr>
          <w:b/>
          <w:bCs/>
          <w:sz w:val="20"/>
          <w:szCs w:val="20"/>
        </w:rPr>
        <w:t xml:space="preserve">[9] Zhang Q, Kim W, Panina SB, Mayfield JE, Portz B, Zhang YJ (2024). </w:t>
      </w:r>
      <w:r>
        <w:rPr>
          <w:sz w:val="20"/>
          <w:szCs w:val="20"/>
        </w:rPr>
        <w:t xml:space="preserve">Variation of C-terminal domain governs RNA polymerase II genomic locations and alternative splicing in eukaryotic transcription. Nature Communications 15:7985. </w:t>
      </w:r>
      <w:hyperlink r:id="rId88" w:history="1">
        <w:r>
          <w:rPr>
            <w:color w:val="087B78"/>
            <w:sz w:val="20"/>
            <w:szCs w:val="20"/>
            <w:u w:val="single"/>
          </w:rPr>
          <w:t>10.1038/s41467-024-52391-6</w:t>
        </w:r>
      </w:hyperlink>
    </w:p>
    <w:p w14:paraId="5C0F522D" w14:textId="4A251B6E" w:rsidR="00F85348" w:rsidRDefault="00861BFA">
      <w:pPr>
        <w:keepLines/>
        <w:spacing w:after="90" w:line="245" w:lineRule="auto"/>
      </w:pPr>
      <w:r>
        <w:rPr>
          <w:b/>
          <w:bCs/>
          <w:sz w:val="20"/>
          <w:szCs w:val="20"/>
        </w:rPr>
        <w:t xml:space="preserve">[10] Henninger JE, Oksuz O, Shrinivas K, et al. (2021). </w:t>
      </w:r>
      <w:r>
        <w:rPr>
          <w:sz w:val="20"/>
          <w:szCs w:val="20"/>
        </w:rPr>
        <w:t xml:space="preserve">RNA-Mediated Feedback Control of Transcriptional Condensates. Cell 184:207–225.e24; online 16 December 2020. </w:t>
      </w:r>
      <w:hyperlink r:id="rId89" w:history="1">
        <w:r>
          <w:rPr>
            <w:color w:val="087B78"/>
            <w:sz w:val="20"/>
            <w:szCs w:val="20"/>
            <w:u w:val="single"/>
          </w:rPr>
          <w:t>10.1016/j.cell.2020.11.030</w:t>
        </w:r>
      </w:hyperlink>
    </w:p>
    <w:p w14:paraId="52D06C60" w14:textId="103DA140" w:rsidR="00F85348" w:rsidRDefault="00861BFA">
      <w:pPr>
        <w:keepLines/>
        <w:spacing w:after="90" w:line="245" w:lineRule="auto"/>
      </w:pPr>
      <w:r>
        <w:rPr>
          <w:b/>
          <w:bCs/>
          <w:sz w:val="20"/>
          <w:szCs w:val="20"/>
        </w:rPr>
        <w:t xml:space="preserve">[11] Li Z, Burgos-Bravo F, Xu K, et al. (2025). </w:t>
      </w:r>
      <w:r>
        <w:rPr>
          <w:sz w:val="20"/>
          <w:szCs w:val="20"/>
        </w:rPr>
        <w:t xml:space="preserve">Phase-separated NDF−FACT condensates facilitate transcription elongation on chromatin. Nature Cell Biology 27:1938–1951. </w:t>
      </w:r>
      <w:hyperlink r:id="rId90" w:history="1">
        <w:r>
          <w:rPr>
            <w:color w:val="087B78"/>
            <w:sz w:val="20"/>
            <w:szCs w:val="20"/>
            <w:u w:val="single"/>
          </w:rPr>
          <w:t>10.1038/s41556-025-01778-8</w:t>
        </w:r>
      </w:hyperlink>
    </w:p>
    <w:p w14:paraId="20DA8B86" w14:textId="23BF96BD" w:rsidR="00F85348" w:rsidRDefault="00861BFA">
      <w:pPr>
        <w:keepLines/>
        <w:spacing w:after="90" w:line="245" w:lineRule="auto"/>
      </w:pPr>
      <w:r>
        <w:rPr>
          <w:b/>
          <w:bCs/>
          <w:sz w:val="20"/>
          <w:szCs w:val="20"/>
        </w:rPr>
        <w:t xml:space="preserve">[12] Mukherjee A, Kapoor M, Shankta K, et al. (2026). </w:t>
      </w:r>
      <w:r>
        <w:rPr>
          <w:sz w:val="20"/>
          <w:szCs w:val="20"/>
        </w:rPr>
        <w:t xml:space="preserve">A single cluster of RNA Polymerase II molecules is stably associated with active genes. Nature Communications 17:2580. </w:t>
      </w:r>
      <w:hyperlink r:id="rId91" w:history="1">
        <w:r>
          <w:rPr>
            <w:color w:val="087B78"/>
            <w:sz w:val="20"/>
            <w:szCs w:val="20"/>
            <w:u w:val="single"/>
          </w:rPr>
          <w:t>10.1038/s41467-026-70775-8</w:t>
        </w:r>
      </w:hyperlink>
    </w:p>
    <w:p w14:paraId="7B2755B0" w14:textId="77777777" w:rsidR="00F85348" w:rsidRDefault="00861BFA">
      <w:pPr>
        <w:pStyle w:val="Heading1"/>
      </w:pPr>
      <w:bookmarkStart w:id="12" w:name="_Toc242668412"/>
      <w:r>
        <w:t>Evidence scope</w:t>
      </w:r>
      <w:bookmarkEnd w:id="12"/>
    </w:p>
    <w:p w14:paraId="2F0F421D" w14:textId="77777777" w:rsidR="00F85348" w:rsidRDefault="00861BFA">
      <w:pPr>
        <w:keepLines/>
        <w:spacing w:after="160" w:line="270" w:lineRule="auto"/>
      </w:pPr>
      <w:r>
        <w:t>This narrative integrates foundational and recent primary studies available by 12 October 2026. Source access ranges from original abstracts to selected Results, figure captions and Methods, as specified for each reference. It is a scholarly synthesis of the measured systems; it does not independently reproduce their experiments, analyze their raw data or establish exhaustive literature coverage.</w:t>
      </w:r>
    </w:p>
    <w:sectPr w:rsidR="00F85348">
      <w:headerReference w:type="default" r:id="rId92"/>
      <w:footerReference w:type="default" r:id="rId93"/>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8FF2D" w14:textId="77777777" w:rsidR="00861BFA" w:rsidRDefault="00861BFA">
      <w:pPr>
        <w:spacing w:after="0" w:line="240" w:lineRule="auto"/>
      </w:pPr>
      <w:r>
        <w:separator/>
      </w:r>
    </w:p>
  </w:endnote>
  <w:endnote w:type="continuationSeparator" w:id="0">
    <w:p w14:paraId="1CE2F3AA" w14:textId="77777777" w:rsidR="00861BFA" w:rsidRDefault="00861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DFF6" w14:textId="77777777" w:rsidR="00F85348" w:rsidRDefault="00861BFA">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AE0339">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AE0339">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37E92" w14:textId="77777777" w:rsidR="00861BFA" w:rsidRDefault="00861BFA">
      <w:pPr>
        <w:spacing w:after="0" w:line="240" w:lineRule="auto"/>
      </w:pPr>
      <w:r>
        <w:separator/>
      </w:r>
    </w:p>
  </w:footnote>
  <w:footnote w:type="continuationSeparator" w:id="0">
    <w:p w14:paraId="45BFEC84" w14:textId="77777777" w:rsidR="00861BFA" w:rsidRDefault="00861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CDAF" w14:textId="77777777" w:rsidR="00F85348" w:rsidRDefault="00861BFA">
    <w:pPr>
      <w:pBdr>
        <w:bottom w:val="single" w:sz="4" w:space="0" w:color="B8D1D0"/>
      </w:pBdr>
    </w:pPr>
    <w:r>
      <w:rPr>
        <w:color w:val="527077"/>
        <w:sz w:val="17"/>
        <w:szCs w:val="17"/>
      </w:rPr>
      <w:t>Transcriptional condensates and hubs: recruitment, reaction environme…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0E98"/>
    <w:multiLevelType w:val="hybridMultilevel"/>
    <w:tmpl w:val="42A42338"/>
    <w:lvl w:ilvl="0" w:tplc="92F2CC54">
      <w:start w:val="1"/>
      <w:numFmt w:val="bullet"/>
      <w:lvlText w:val="•"/>
      <w:lvlJc w:val="left"/>
      <w:pPr>
        <w:ind w:left="340" w:hanging="170"/>
      </w:pPr>
    </w:lvl>
    <w:lvl w:ilvl="1" w:tplc="2B14254E">
      <w:numFmt w:val="decimal"/>
      <w:lvlText w:val=""/>
      <w:lvlJc w:val="left"/>
    </w:lvl>
    <w:lvl w:ilvl="2" w:tplc="ADBC7D60">
      <w:numFmt w:val="decimal"/>
      <w:lvlText w:val=""/>
      <w:lvlJc w:val="left"/>
    </w:lvl>
    <w:lvl w:ilvl="3" w:tplc="47BC8E4C">
      <w:numFmt w:val="decimal"/>
      <w:lvlText w:val=""/>
      <w:lvlJc w:val="left"/>
    </w:lvl>
    <w:lvl w:ilvl="4" w:tplc="74704CBE">
      <w:numFmt w:val="decimal"/>
      <w:lvlText w:val=""/>
      <w:lvlJc w:val="left"/>
    </w:lvl>
    <w:lvl w:ilvl="5" w:tplc="81D89AC4">
      <w:numFmt w:val="decimal"/>
      <w:lvlText w:val=""/>
      <w:lvlJc w:val="left"/>
    </w:lvl>
    <w:lvl w:ilvl="6" w:tplc="E2960E92">
      <w:numFmt w:val="decimal"/>
      <w:lvlText w:val=""/>
      <w:lvlJc w:val="left"/>
    </w:lvl>
    <w:lvl w:ilvl="7" w:tplc="614294DE">
      <w:numFmt w:val="decimal"/>
      <w:lvlText w:val=""/>
      <w:lvlJc w:val="left"/>
    </w:lvl>
    <w:lvl w:ilvl="8" w:tplc="809412AA">
      <w:numFmt w:val="decimal"/>
      <w:lvlText w:val=""/>
      <w:lvlJc w:val="left"/>
    </w:lvl>
  </w:abstractNum>
  <w:abstractNum w:abstractNumId="1" w15:restartNumberingAfterBreak="0">
    <w:nsid w:val="19835DC9"/>
    <w:multiLevelType w:val="hybridMultilevel"/>
    <w:tmpl w:val="E10067DA"/>
    <w:lvl w:ilvl="0" w:tplc="82706870">
      <w:start w:val="1"/>
      <w:numFmt w:val="bullet"/>
      <w:lvlText w:val="●"/>
      <w:lvlJc w:val="left"/>
      <w:pPr>
        <w:ind w:left="720" w:hanging="360"/>
      </w:pPr>
    </w:lvl>
    <w:lvl w:ilvl="1" w:tplc="31AE6218">
      <w:start w:val="1"/>
      <w:numFmt w:val="bullet"/>
      <w:lvlText w:val="○"/>
      <w:lvlJc w:val="left"/>
      <w:pPr>
        <w:ind w:left="1440" w:hanging="360"/>
      </w:pPr>
    </w:lvl>
    <w:lvl w:ilvl="2" w:tplc="96188B54">
      <w:start w:val="1"/>
      <w:numFmt w:val="bullet"/>
      <w:lvlText w:val="■"/>
      <w:lvlJc w:val="left"/>
      <w:pPr>
        <w:ind w:left="2160" w:hanging="360"/>
      </w:pPr>
    </w:lvl>
    <w:lvl w:ilvl="3" w:tplc="76DEAB52">
      <w:start w:val="1"/>
      <w:numFmt w:val="bullet"/>
      <w:lvlText w:val="●"/>
      <w:lvlJc w:val="left"/>
      <w:pPr>
        <w:ind w:left="2880" w:hanging="360"/>
      </w:pPr>
    </w:lvl>
    <w:lvl w:ilvl="4" w:tplc="E392D30E">
      <w:start w:val="1"/>
      <w:numFmt w:val="bullet"/>
      <w:lvlText w:val="○"/>
      <w:lvlJc w:val="left"/>
      <w:pPr>
        <w:ind w:left="3600" w:hanging="360"/>
      </w:pPr>
    </w:lvl>
    <w:lvl w:ilvl="5" w:tplc="367472B2">
      <w:start w:val="1"/>
      <w:numFmt w:val="bullet"/>
      <w:lvlText w:val="■"/>
      <w:lvlJc w:val="left"/>
      <w:pPr>
        <w:ind w:left="4320" w:hanging="360"/>
      </w:pPr>
    </w:lvl>
    <w:lvl w:ilvl="6" w:tplc="83A6E70C">
      <w:start w:val="1"/>
      <w:numFmt w:val="bullet"/>
      <w:lvlText w:val="●"/>
      <w:lvlJc w:val="left"/>
      <w:pPr>
        <w:ind w:left="5040" w:hanging="360"/>
      </w:pPr>
    </w:lvl>
    <w:lvl w:ilvl="7" w:tplc="5CA0C9C4">
      <w:start w:val="1"/>
      <w:numFmt w:val="bullet"/>
      <w:lvlText w:val="●"/>
      <w:lvlJc w:val="left"/>
      <w:pPr>
        <w:ind w:left="5760" w:hanging="360"/>
      </w:pPr>
    </w:lvl>
    <w:lvl w:ilvl="8" w:tplc="05CE2884">
      <w:start w:val="1"/>
      <w:numFmt w:val="bullet"/>
      <w:lvlText w:val="●"/>
      <w:lvlJc w:val="left"/>
      <w:pPr>
        <w:ind w:left="6480" w:hanging="360"/>
      </w:pPr>
    </w:lvl>
  </w:abstractNum>
  <w:num w:numId="1" w16cid:durableId="16050684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348"/>
    <w:rsid w:val="00293804"/>
    <w:rsid w:val="00861BFA"/>
    <w:rsid w:val="00AE0339"/>
    <w:rsid w:val="00F85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BFF7C"/>
  <w15:docId w15:val="{90C027DC-F5A1-4F6A-A621-457B4628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AE033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16/j.cell.2018.10.042" TargetMode="External"/><Relationship Id="rId21" Type="http://schemas.openxmlformats.org/officeDocument/2006/relationships/hyperlink" Target="https://doi.org/10.7554/eLife.47098" TargetMode="External"/><Relationship Id="rId42" Type="http://schemas.openxmlformats.org/officeDocument/2006/relationships/hyperlink" Target="https://doi.org/10.1016/j.cell.2020.11.030" TargetMode="External"/><Relationship Id="rId47" Type="http://schemas.openxmlformats.org/officeDocument/2006/relationships/hyperlink" Target="https://doi.org/10.1016/j.cell.2020.11.030" TargetMode="External"/><Relationship Id="rId63" Type="http://schemas.openxmlformats.org/officeDocument/2006/relationships/hyperlink" Target="https://doi.org/10.7554/eLife.47098" TargetMode="External"/><Relationship Id="rId68" Type="http://schemas.openxmlformats.org/officeDocument/2006/relationships/hyperlink" Target="https://doi.org/10.26508/lsa.202001005" TargetMode="External"/><Relationship Id="rId84" Type="http://schemas.openxmlformats.org/officeDocument/2006/relationships/hyperlink" Target="https://doi.org/10.1126/science.aar3958" TargetMode="External"/><Relationship Id="rId89" Type="http://schemas.openxmlformats.org/officeDocument/2006/relationships/hyperlink" Target="https://doi.org/10.1016/j.cell.2020.11.030" TargetMode="External"/><Relationship Id="rId16" Type="http://schemas.openxmlformats.org/officeDocument/2006/relationships/hyperlink" Target="https://doi.org/10.1126/science.aar4199" TargetMode="External"/><Relationship Id="rId11" Type="http://schemas.openxmlformats.org/officeDocument/2006/relationships/hyperlink" Target="https://doi.org/10.1038/s41467-026-70775-8" TargetMode="External"/><Relationship Id="rId32" Type="http://schemas.openxmlformats.org/officeDocument/2006/relationships/hyperlink" Target="https://doi.org/10.1126/science.aar3958" TargetMode="External"/><Relationship Id="rId37" Type="http://schemas.openxmlformats.org/officeDocument/2006/relationships/hyperlink" Target="https://doi.org/10.1038/s41467-026-70775-8" TargetMode="External"/><Relationship Id="rId53" Type="http://schemas.openxmlformats.org/officeDocument/2006/relationships/hyperlink" Target="https://doi.org/10.7554/eLife.47098" TargetMode="External"/><Relationship Id="rId58" Type="http://schemas.openxmlformats.org/officeDocument/2006/relationships/hyperlink" Target="https://doi.org/10.1126/science.aar3958" TargetMode="External"/><Relationship Id="rId74" Type="http://schemas.openxmlformats.org/officeDocument/2006/relationships/hyperlink" Target="https://doi.org/10.1038/s41556-025-01778-8" TargetMode="External"/><Relationship Id="rId79" Type="http://schemas.openxmlformats.org/officeDocument/2006/relationships/hyperlink" Target="https://doi.org/10.1038/s41467-026-70775-8" TargetMode="External"/><Relationship Id="rId5" Type="http://schemas.openxmlformats.org/officeDocument/2006/relationships/footnotes" Target="footnotes.xml"/><Relationship Id="rId90" Type="http://schemas.openxmlformats.org/officeDocument/2006/relationships/hyperlink" Target="https://doi.org/10.1038/s41556-025-01778-8" TargetMode="External"/><Relationship Id="rId95" Type="http://schemas.openxmlformats.org/officeDocument/2006/relationships/theme" Target="theme/theme1.xml"/><Relationship Id="rId22" Type="http://schemas.openxmlformats.org/officeDocument/2006/relationships/hyperlink" Target="https://doi.org/10.1038/s41467-026-70775-8" TargetMode="External"/><Relationship Id="rId27" Type="http://schemas.openxmlformats.org/officeDocument/2006/relationships/hyperlink" Target="https://doi.org/10.1016/j.cell.2018.10.042" TargetMode="External"/><Relationship Id="rId43" Type="http://schemas.openxmlformats.org/officeDocument/2006/relationships/hyperlink" Target="https://doi.org/10.1016/j.cell.2020.11.030" TargetMode="External"/><Relationship Id="rId48" Type="http://schemas.openxmlformats.org/officeDocument/2006/relationships/hyperlink" Target="https://doi.org/10.1038/s41556-025-01778-8" TargetMode="External"/><Relationship Id="rId64" Type="http://schemas.openxmlformats.org/officeDocument/2006/relationships/hyperlink" Target="https://doi.org/10.1126/science.aar2555" TargetMode="External"/><Relationship Id="rId69" Type="http://schemas.openxmlformats.org/officeDocument/2006/relationships/hyperlink" Target="https://doi.org/10.1038/s41556-025-01778-8" TargetMode="External"/><Relationship Id="rId8" Type="http://schemas.openxmlformats.org/officeDocument/2006/relationships/hyperlink" Target="https://doi.org/10.1126/science.aar4199" TargetMode="External"/><Relationship Id="rId51" Type="http://schemas.openxmlformats.org/officeDocument/2006/relationships/hyperlink" Target="https://doi.org/10.1038/s41556-025-01778-8" TargetMode="External"/><Relationship Id="rId72" Type="http://schemas.openxmlformats.org/officeDocument/2006/relationships/hyperlink" Target="https://doi.org/10.1038/s41586-019-1464-0" TargetMode="External"/><Relationship Id="rId80" Type="http://schemas.openxmlformats.org/officeDocument/2006/relationships/hyperlink" Target="https://doi.org/10.26508/lsa.202001005" TargetMode="External"/><Relationship Id="rId85" Type="http://schemas.openxmlformats.org/officeDocument/2006/relationships/hyperlink" Target="https://doi.org/10.1126/science.aar2555" TargetMode="External"/><Relationship Id="rId9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38/s41556-025-01778-8" TargetMode="External"/><Relationship Id="rId17" Type="http://schemas.openxmlformats.org/officeDocument/2006/relationships/hyperlink" Target="https://doi.org/10.1126/science.aar2555" TargetMode="External"/><Relationship Id="rId25" Type="http://schemas.openxmlformats.org/officeDocument/2006/relationships/hyperlink" Target="https://doi.org/10.1126/science.aar3958" TargetMode="External"/><Relationship Id="rId33" Type="http://schemas.openxmlformats.org/officeDocument/2006/relationships/hyperlink" Target="https://doi.org/10.1126/science.aar4199" TargetMode="External"/><Relationship Id="rId38" Type="http://schemas.openxmlformats.org/officeDocument/2006/relationships/hyperlink" Target="https://doi.org/10.1038/s41586-019-1464-0" TargetMode="External"/><Relationship Id="rId46" Type="http://schemas.openxmlformats.org/officeDocument/2006/relationships/hyperlink" Target="https://doi.org/10.1038/s41467-026-70775-8" TargetMode="External"/><Relationship Id="rId59" Type="http://schemas.openxmlformats.org/officeDocument/2006/relationships/hyperlink" Target="https://doi.org/10.1016/j.cell.2018.10.042" TargetMode="External"/><Relationship Id="rId67" Type="http://schemas.openxmlformats.org/officeDocument/2006/relationships/hyperlink" Target="https://doi.org/10.1126/science.aar3958" TargetMode="External"/><Relationship Id="rId20" Type="http://schemas.openxmlformats.org/officeDocument/2006/relationships/hyperlink" Target="https://doi.org/10.1126/science.aar2555" TargetMode="External"/><Relationship Id="rId41" Type="http://schemas.openxmlformats.org/officeDocument/2006/relationships/hyperlink" Target="https://doi.org/10.1038/s41586-019-1464-0" TargetMode="External"/><Relationship Id="rId54" Type="http://schemas.openxmlformats.org/officeDocument/2006/relationships/hyperlink" Target="https://doi.org/10.1038/s41467-026-70775-8" TargetMode="External"/><Relationship Id="rId62" Type="http://schemas.openxmlformats.org/officeDocument/2006/relationships/hyperlink" Target="https://doi.org/10.1038/s41556-025-01778-8" TargetMode="External"/><Relationship Id="rId70" Type="http://schemas.openxmlformats.org/officeDocument/2006/relationships/hyperlink" Target="https://doi.org/10.1126/science.aar3958" TargetMode="External"/><Relationship Id="rId75" Type="http://schemas.openxmlformats.org/officeDocument/2006/relationships/hyperlink" Target="https://doi.org/10.1038/s41467-026-70775-8" TargetMode="External"/><Relationship Id="rId83" Type="http://schemas.openxmlformats.org/officeDocument/2006/relationships/hyperlink" Target="https://doi.org/10.1016/j.cell.2018.10.042" TargetMode="External"/><Relationship Id="rId88" Type="http://schemas.openxmlformats.org/officeDocument/2006/relationships/hyperlink" Target="https://doi.org/10.1038/s41467-024-52391-6" TargetMode="External"/><Relationship Id="rId91" Type="http://schemas.openxmlformats.org/officeDocument/2006/relationships/hyperlink" Target="https://doi.org/10.1038/s41467-026-70775-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nrm.2017.7" TargetMode="External"/><Relationship Id="rId23" Type="http://schemas.openxmlformats.org/officeDocument/2006/relationships/hyperlink" Target="https://doi.org/10.1038/s41586-019-1464-0" TargetMode="External"/><Relationship Id="rId28" Type="http://schemas.openxmlformats.org/officeDocument/2006/relationships/hyperlink" Target="https://doi.org/10.1016/j.cell.2018.10.042" TargetMode="External"/><Relationship Id="rId36" Type="http://schemas.openxmlformats.org/officeDocument/2006/relationships/hyperlink" Target="https://doi.org/10.1126/science.aar4199" TargetMode="External"/><Relationship Id="rId49" Type="http://schemas.openxmlformats.org/officeDocument/2006/relationships/hyperlink" Target="https://doi.org/10.1038/s41556-025-01778-8" TargetMode="External"/><Relationship Id="rId57" Type="http://schemas.openxmlformats.org/officeDocument/2006/relationships/hyperlink" Target="https://doi.org/10.1038/s41556-025-01778-8" TargetMode="External"/><Relationship Id="rId10" Type="http://schemas.openxmlformats.org/officeDocument/2006/relationships/hyperlink" Target="https://doi.org/10.1038/s41586-019-1464-0" TargetMode="External"/><Relationship Id="rId31" Type="http://schemas.openxmlformats.org/officeDocument/2006/relationships/hyperlink" Target="https://doi.org/10.1126/science.aar2555" TargetMode="External"/><Relationship Id="rId44" Type="http://schemas.openxmlformats.org/officeDocument/2006/relationships/hyperlink" Target="https://doi.org/10.1038/s41586-019-1464-0" TargetMode="External"/><Relationship Id="rId52" Type="http://schemas.openxmlformats.org/officeDocument/2006/relationships/hyperlink" Target="https://doi.org/10.1038/s41467-026-70775-8" TargetMode="External"/><Relationship Id="rId60" Type="http://schemas.openxmlformats.org/officeDocument/2006/relationships/hyperlink" Target="https://doi.org/10.1126/science.aar4199" TargetMode="External"/><Relationship Id="rId65" Type="http://schemas.openxmlformats.org/officeDocument/2006/relationships/hyperlink" Target="https://doi.org/10.1038/s41467-026-70775-8" TargetMode="External"/><Relationship Id="rId73" Type="http://schemas.openxmlformats.org/officeDocument/2006/relationships/hyperlink" Target="https://doi.org/10.1016/j.cell.2020.11.030" TargetMode="External"/><Relationship Id="rId78" Type="http://schemas.openxmlformats.org/officeDocument/2006/relationships/hyperlink" Target="https://doi.org/10.1038/s41467-024-52391-6" TargetMode="External"/><Relationship Id="rId81" Type="http://schemas.openxmlformats.org/officeDocument/2006/relationships/hyperlink" Target="https://doi.org/10.1038/nrm.2017.7" TargetMode="External"/><Relationship Id="rId86" Type="http://schemas.openxmlformats.org/officeDocument/2006/relationships/hyperlink" Target="https://doi.org/10.7554/eLife.47098"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26/science.aar2555" TargetMode="External"/><Relationship Id="rId13" Type="http://schemas.openxmlformats.org/officeDocument/2006/relationships/hyperlink" Target="https://doi.org/10.1038/s41467-026-70775-8" TargetMode="External"/><Relationship Id="rId18" Type="http://schemas.openxmlformats.org/officeDocument/2006/relationships/hyperlink" Target="https://doi.org/10.1038/s41467-026-70775-8" TargetMode="External"/><Relationship Id="rId39" Type="http://schemas.openxmlformats.org/officeDocument/2006/relationships/hyperlink" Target="https://doi.org/10.1038/s41467-024-52391-6" TargetMode="External"/><Relationship Id="rId34" Type="http://schemas.openxmlformats.org/officeDocument/2006/relationships/hyperlink" Target="https://doi.org/10.1126/science.aar4199" TargetMode="External"/><Relationship Id="rId50" Type="http://schemas.openxmlformats.org/officeDocument/2006/relationships/hyperlink" Target="https://doi.org/10.1038/s41556-025-01778-8" TargetMode="External"/><Relationship Id="rId55" Type="http://schemas.openxmlformats.org/officeDocument/2006/relationships/hyperlink" Target="https://doi.org/10.1038/s41467-026-70775-8" TargetMode="External"/><Relationship Id="rId76" Type="http://schemas.openxmlformats.org/officeDocument/2006/relationships/hyperlink" Target="https://doi.org/10.1038/s41556-025-01778-8" TargetMode="External"/><Relationship Id="rId7" Type="http://schemas.openxmlformats.org/officeDocument/2006/relationships/hyperlink" Target="https://doi.org/10.1126/science.aar3958" TargetMode="External"/><Relationship Id="rId71" Type="http://schemas.openxmlformats.org/officeDocument/2006/relationships/hyperlink" Target="https://doi.org/10.1126/science.aar2555" TargetMode="External"/><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https://doi.org/10.1126/science.aar2555" TargetMode="External"/><Relationship Id="rId24" Type="http://schemas.openxmlformats.org/officeDocument/2006/relationships/hyperlink" Target="https://doi.org/10.1038/s41556-025-01778-8" TargetMode="External"/><Relationship Id="rId40" Type="http://schemas.openxmlformats.org/officeDocument/2006/relationships/hyperlink" Target="https://doi.org/10.1038/s41467-024-52391-6" TargetMode="External"/><Relationship Id="rId45" Type="http://schemas.openxmlformats.org/officeDocument/2006/relationships/hyperlink" Target="https://doi.org/10.1038/s41556-025-01778-8" TargetMode="External"/><Relationship Id="rId66" Type="http://schemas.openxmlformats.org/officeDocument/2006/relationships/hyperlink" Target="https://doi.org/10.26508/lsa.202001005" TargetMode="External"/><Relationship Id="rId87" Type="http://schemas.openxmlformats.org/officeDocument/2006/relationships/hyperlink" Target="https://doi.org/10.1038/s41586-019-1464-0" TargetMode="External"/><Relationship Id="rId61" Type="http://schemas.openxmlformats.org/officeDocument/2006/relationships/hyperlink" Target="https://doi.org/10.1038/s41467-026-70775-8" TargetMode="External"/><Relationship Id="rId82" Type="http://schemas.openxmlformats.org/officeDocument/2006/relationships/hyperlink" Target="https://doi.org/10.1126/science.aar4199" TargetMode="External"/><Relationship Id="rId19" Type="http://schemas.openxmlformats.org/officeDocument/2006/relationships/hyperlink" Target="https://doi.org/10.1126/science.aar3958" TargetMode="External"/><Relationship Id="rId14" Type="http://schemas.openxmlformats.org/officeDocument/2006/relationships/hyperlink" Target="https://doi.org/10.1038/s41467-024-52391-6" TargetMode="External"/><Relationship Id="rId30" Type="http://schemas.openxmlformats.org/officeDocument/2006/relationships/hyperlink" Target="https://doi.org/10.1016/j.cell.2018.10.042" TargetMode="External"/><Relationship Id="rId35" Type="http://schemas.openxmlformats.org/officeDocument/2006/relationships/hyperlink" Target="https://doi.org/10.1038/s41467-026-70775-8" TargetMode="External"/><Relationship Id="rId56" Type="http://schemas.openxmlformats.org/officeDocument/2006/relationships/hyperlink" Target="https://doi.org/10.1126/science.aar4199" TargetMode="External"/><Relationship Id="rId77" Type="http://schemas.openxmlformats.org/officeDocument/2006/relationships/hyperlink" Target="https://doi.org/10.7554/eLife.47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2710</Words>
  <Characters>17835</Characters>
  <Application>Microsoft Office Word</Application>
  <DocSecurity>0</DocSecurity>
  <Lines>281</Lines>
  <Paragraphs>91</Paragraphs>
  <ScaleCrop>false</ScaleCrop>
  <Company/>
  <LinksUpToDate>false</LinksUpToDate>
  <CharactersWithSpaces>20438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Transcriptional condensates and hubs: recruitment, reaction environments and alternative mechanisms</dc:title>
  <dc:subject>Current primary evidence for coactivator assemblies, RNA and phosphorylation regulation, elongation-linked condensates and gene-associated polymerase clusters.</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