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Significance and Innovation: The Lamin A-KAT8-HDAC2 Axis in Cellular Homeostasis and Aging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The Unresolved Challenge of Cellular Aging: Hutchinson-Gilford Progeria Syndrome as a Mechanistic Blueprint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Societal and Scientific Imperative of Understanding Aging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Aging is the single greatest risk factor for the major chronic diseases that afflict the global population, including cardiovascular disease, cancer, neurodegeneration, and metabolic disorders. The progressive decline in physiological integrity and function that defines the aging process creates an immense societal and economic burden. Consequently, a primary goal of modern biomedical research is to elucidate the fundamental molecular mechanisms that drive aging, not merely to extend lifespan, but to prolong </w:t>
      </w:r>
      <w:r w:rsidDel="00000000" w:rsidR="00000000" w:rsidRPr="00000000">
        <w:rPr>
          <w:i w:val="1"/>
          <w:rtl w:val="0"/>
        </w:rPr>
        <w:t xml:space="preserve">healthspan</w:t>
      </w:r>
      <w:r w:rsidDel="00000000" w:rsidR="00000000" w:rsidRPr="00000000">
        <w:rPr>
          <w:rtl w:val="0"/>
        </w:rPr>
        <w:t xml:space="preserve">—the period of life spent free from chronic disease and disability. Achieving this goal requires moving beyond treating individual age-related pathologies and instead targeting the core biological processes of aging itself. To this end, the development and study of high-fidelity models that recapitulate features of human aging are indispensable.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Hutchinson-Gilford Progeria Syndrome (HGPS) as a High-Fidelity Model of Accelerated Aging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Hutchinson-Gilford Progeria Syndrome (HGPS) is a rare, fatal genetic disorder that presents as a dramatically accelerated form of aging. The disease is most commonly caused by a sporadic </w:t>
      </w:r>
      <w:r w:rsidDel="00000000" w:rsidR="00000000" w:rsidRPr="00000000">
        <w:rPr>
          <w:i w:val="1"/>
          <w:rtl w:val="0"/>
        </w:rPr>
        <w:t xml:space="preserve">de novo</w:t>
      </w:r>
      <w:r w:rsidDel="00000000" w:rsidR="00000000" w:rsidRPr="00000000">
        <w:rPr>
          <w:rtl w:val="0"/>
        </w:rPr>
        <w:t xml:space="preserve"> point mutation in the </w:t>
      </w:r>
      <w:r w:rsidDel="00000000" w:rsidR="00000000" w:rsidRPr="00000000">
        <w:rPr>
          <w:i w:val="1"/>
          <w:rtl w:val="0"/>
        </w:rPr>
        <w:t xml:space="preserve">LMNA</w:t>
      </w:r>
      <w:r w:rsidDel="00000000" w:rsidR="00000000" w:rsidRPr="00000000">
        <w:rPr>
          <w:rtl w:val="0"/>
        </w:rPr>
        <w:t xml:space="preserve"> gene (c.1824C&gt;T), which encodes the nuclear lamina proteins Lamin A and Lamin C. This mutation activates a cryptic splice site, leading to the production of a truncated and toxic form of prelamin A known as progerin. Unlike wild-type prelamin A, which undergoes farnesylation and subsequent cleavage to become mature Lamin A, progerin retains a permanent farnesyl group. This modification tethers progerin to the inner nuclear membrane, where its accumulation disrupts the architecture and function of the nuclear lamina, a protein meshwork critical for maintaining nuclear shape, organizing chromatin, and regulating gene expression.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clinical manifestations of HGPS strikingly mirror those of physiological aging, albeit on a compressed timescale. Patients exhibit features such as alopecia, scleroderma-like skin changes, lipodystrophy, and severe osteoporosis. Critically, mortality in HGPS, typically occurring in the early teenage years, is almost universally due to cardiovascular complications, including severe atherosclerosis leading to myocardial infarction or stroke—the same pathologies that are the leading cause of death in the general elderly population. This clinical convergence points to shared underlying mechanisms. Indeed, the relevance of HGPS extends far beyond this rare disease, as low levels of sporadic progerin expression have been detected in cells from normally aging individuals, particularly within the vasculature. This finding positions progerin not merely as a disease-specific toxin but as an "accelerant" of a conserved, fundamental aging pathway that operates, albeit more slowly, in the general population. The molecular pathologies are also shared: vascular smooth muscle cells (VSMCs) from elderly human donors exhibit nuclear dysmorphology, increased DNA damage, premature senescence, and a reduction in global histone H4 lysine 16 acetylation (H4K16ac)—all hallmarks of HGPS cells. This convergence strongly suggests that elucidating the molecular cascade initiated by progerin in HGPS will provide profound insights into the normative aging process.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Insufficiency of the Mechanical Stress Paradigm and Identification of a Critical Knowledge Gap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prevailing paradigm for progerin toxicity has centered on a mechanical stress model. In this view, the accumulation of progerin compromises the structural integrity of the nuclear lamina, rendering the nucleus fragile and unable to properly respond to mechanical forces. This mechanical instability is thought to lead directly to increased DNA damage, genomic instability, and ultimately, cellular senescence. While this model successfully explains certain phenotypes, such as the characteristic nuclear blebbing and heightened sensitivity to mechanical stress, it is insufficient to account for the full spectrum of HGPS pathology.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Specifically, the mechanical stress model fails to provide a direct and parsimonious explanation for the profound and systemic </w:t>
      </w:r>
      <w:r w:rsidDel="00000000" w:rsidR="00000000" w:rsidRPr="00000000">
        <w:rPr>
          <w:i w:val="1"/>
          <w:rtl w:val="0"/>
        </w:rPr>
        <w:t xml:space="preserve">metabolic collapse</w:t>
      </w:r>
      <w:r w:rsidDel="00000000" w:rsidR="00000000" w:rsidRPr="00000000">
        <w:rPr>
          <w:rtl w:val="0"/>
        </w:rPr>
        <w:t xml:space="preserve"> that is a defining feature of both HGPS and, to a lesser extent, normal aging. The severe lipodystrophy (loss of adipose tissue), mitochondrial dysfunction, and impaired autophagy seen in HGPS are not readily explained by a primary defect in nuclear mechanics. This disconnect suggests that a crucial signaling pathway, one that directly links the state of the nuclear lamina to the regulation of cellular metabolism, has been overlooked. The field's focus on the nucleus as a structural entity has obscured its role as a central command center for metabolic programming. This represents a significant knowledge gap, and closing it requires a new conceptual framework that can unify the structural, genomic, and metabolic defects under a single, coherent mechanism.</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 Unifying Epigenetic Paradigm: The Lamin A-KAT8-HDAC2 Regulatory Axis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Nuclear Lamina as an Epigenetic Signaling Hub</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proposal puts forth a novel hypothesis that reframes the consequences of lamina dysfunction, moving beyond a purely mechanical stress paradigm to one centered on a primary epigenetic catastrophe. It is posited that the nuclear lamina is not a passive structural element but an active signaling platform that orchestrates epigenetic states. The central hypothesis is that wild-type Lamin A functions as a molecular scaffold, physically interacting with and maintaining a critical homeostatic balance between the histone acetyltransferase KAT8 (also known as MOF) and its specific enzymatic antagonist, histone deacetylase 2 (HDAC2). This balance is essential for regulating the dynamics of H4K16ac, a key epigenetic mark associated with open chromatin, transcriptional activation, and DNA damage repair.</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Proposed Mechanism of Axis Disruption in HGPS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mechanism posits that the expression of progerin in HGPS, or the age-related decline in lamina integrity, disrupts this scaffolding function. This disruption specifically targets KAT8 for degradation via the ubiquitin-proteasome system. This model redefines the "toxicity" of progerin from a passive structural defect to an active, targeted enzymatic sabotage. Progerin is not simply compromising nuclear structure; it appears to be actively co-opting a core cellular degradation pathway to eliminate a master regulator of chromatin and metabolism.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Compelling preliminary evidence supports this proposed causal hierarchy. In HGPS cells, KAT8 protein levels are dramatically reduced, leading to a global loss of H4K16ac. Critically, treatment of these cells with the proteasome inhibitor MG132 rescues KAT8 protein levels and, consequently, restores global H4K16ac. This experiment establishes a clear sequence of events: progerin expression leads to KAT8 degradation, which in turn causes the loss of the epigenetic mark. The loss of KAT8, the primary "writer" of H4K16ac, unleashes the unopposed activity of its dedicated "eraser," HDAC2. This results in a catastrophic epigenetic imbalance, driving H4K16ac levels below a critical threshold required for cellular homeostasis and initiating the downstream cascades of genomic instability and metabolic collapse.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Foundational Evidence and Proof-of-Concept for the Proposed Axis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Delineating the Key Enzymatic Players with High Specificity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 of the proposed axis rests on the precise identification of the key enzymatic regulators of H4K16ac. Preliminary studies have rigorously mapped these players. An unbiased siRNA screen targeting all 11 classical histone deacetylases in HeLa cells unambiguously identified HDAC2 as the dominant "eraser" of H4K16ac. Depletion of HDAC2 resulted in a dramatic, ~90% increase in nuclear H4K16ac levels. In contrast, depletion of SIRT1, a sirtuin previously implicated in H4K16ac regulation, yielded a much more modest ~30% increase. This finding challenges older models and establishes HDAC2 as a uniquely potent and specific regulator in this context.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Concurrently, it was confirmed that KAT8/MOF is the primary histone acetyltransferase (HAT) responsible for writing this mark under basal conditions. Depletion of KAT8 led to a significant 60% reduction in H4K16ac, whereas depletion of another prominent HAT, KAT5/Tip60, had no discernible effect. The high degree of specificity in this KAT8-HDAC2 relationship is a crucial finding with significant translational implications. It suggests that a therapeutic strategy centered on a highly selective HDAC2 inhibitor, rather than a non-specific pan-HDAC inhibitor, could correct the primary epigenetic lesion while minimizing off-target effects and potential toxicity. This precision-medicine approach substantially de-risks the therapeutic strategy and makes it highly attractive for future clinical development.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Pharmacological Validation: Reversing Progeroid Phenotypes through Targeted HDAC2 Inhibition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compelling proof-of-concept for this hypothesis comes from pharmacological rescue experiments. If the unopposed activity of HDAC2 is a key driver of the progeroid phenotype, then its selective inhibition should ameliorate cellular defects. Preliminary data demonstrate this with striking clarity. Treatment of patient-derived HGPS VSMCs with selective HDAC2 inhibitors reversed multiple, distinct hallmarks of the disease.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Restoration of Nuclear Integrity:</w:t>
      </w:r>
      <w:r w:rsidDel="00000000" w:rsidR="00000000" w:rsidRPr="00000000">
        <w:rPr>
          <w:rtl w:val="0"/>
        </w:rPr>
        <w:t xml:space="preserve"> A defining feature of HGPS cells is their misshapen, blebbed nuclei. Treatment with the selective HDAC2/3 inhibitor MI192 (300 nM) resulted in a significant and quantifiable improvement in nuclear morphology. The nuclear form factor, a measure of circularity, increased to 0.69, while eccentricity decreased to 0.48 and solidity increased to 0.65, indicating a return towards a normal, healthy nuclear shape.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Rescue of Proliferative Capacity:</w:t>
      </w:r>
      <w:r w:rsidDel="00000000" w:rsidR="00000000" w:rsidRPr="00000000">
        <w:rPr>
          <w:rtl w:val="0"/>
        </w:rPr>
        <w:t xml:space="preserve"> HGPS cells undergo premature replicative senescence. Longitudinal growth analysis revealed that while vehicle-treated HGPS VSMCs ceased to proliferate, treatment with MI192 sustained robust cell division, with a 2.5-fold higher expansion rate at passage 14. This was corroborated by staining for the proliferation marker Ki67. By passage 14, only 21% of control cells were Ki67-positive, whereas treatment with MI192 or another selective inhibitor, BRD4884, maintained proliferation in ~58% and ~65% of cells, respectively.</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Attenuation of Cellular Senescence:</w:t>
      </w:r>
      <w:r w:rsidDel="00000000" w:rsidR="00000000" w:rsidRPr="00000000">
        <w:rPr>
          <w:rtl w:val="0"/>
        </w:rPr>
        <w:t xml:space="preserve"> Consistent with the rescue of proliferation, HDAC2 inhibition dramatically reduced the incidence of cellular senescence. At passage 14, 62.8% of control HGPS cells stained positive for senescence-associated β-galactosidase (SA-β-Gal), a canonical marker of senescence. Treatment with the HDAC2 inhibitor BRD4884 reduced this figure to just 21.2%.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fact that a single molecular intervention—the targeted inhibition of HDAC2—can simultaneously rescue three distinct and complex cellular phenotypes (nuclear architecture, cell cycle progression, and senescence) provides powerful evidence that the Lamin A-KAT8-HDAC2 axis is not merely one pathway among many, but is a master upstream regulatory node. The diverse pathologies of HGPS appear not to be separate problems requiring separate solutions, but are downstream consequences of this single, primary epigenetic imbalance.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Rescue of HGPS Cellular Phenotypes by Selective HDAC2 Inhibition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Cellular Phenotype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HGPS Control (Vehicle)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HGPS + MI192 (300 nM)</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Improvement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Nuclear Integrity</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Form Factor</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~0.55 (estimated baseline)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0.69</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Significant increase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Proliferative Capacity</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Ki67-Positive Cells (P14)</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~2.7-fold increase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Cellular Senescence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SA-β-Gal Positive Cells (P14)</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62.8%</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 (with BRD4884)</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 reduction</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Downstream Consequences, Unanswered Questions, and Future Directions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Dual Catastrophes of H4K16ac Loss: Genomic Instability and Metabolic Collapse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disruption of the Lamin A-KAT8-HDAC2 axis and the resultant loss of H4K16ac initiate parallel and synergistic destructive cascades that culminate in the aged phenotype. First, the loss of H4K16ac, a mark known to facilitate chromatin decompaction, compromises the fidelity of the DNA damage response. The recruitment of key repair factors, such as 53BP1, to sites of DNA breaks is sensitive to the local chromatin state, and loss of H4K16ac impairs this process, leading to the accumulation of unrepaired DNA damage, a potent driver of cellular senescence.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Second, and central to the innovation of this model, the loss of KAT8 directly explains the metabolic collapse that was unaccounted for by the mechanical stress paradigm. KAT8 is an essential regulator of core metabolic programs. It is required for proper mitochondrial gene expression and function, and its loss leads to severe bioenergetic deficits. Furthermore, KAT8 is a critical transcriptional activator of autophagy genes via the FOXO signaling pathway; its depletion impairs the cell's ability to recycle damaged organelles and protein aggregates, including progerin itself. Finally, the severe lipodystrophy seen in HGPS patients is directly linked to KAT8 function. Studies in mice have shown that adipocyte-specific knockout of </w:t>
      </w:r>
      <w:r w:rsidDel="00000000" w:rsidR="00000000" w:rsidRPr="00000000">
        <w:rPr>
          <w:i w:val="1"/>
          <w:rtl w:val="0"/>
        </w:rPr>
        <w:t xml:space="preserve">Kat8</w:t>
      </w:r>
      <w:r w:rsidDel="00000000" w:rsidR="00000000" w:rsidRPr="00000000">
        <w:rPr>
          <w:rtl w:val="0"/>
        </w:rPr>
        <w:t xml:space="preserve"> is sufficient to phenocopy this failure of fat development, providing strong causal evidence for this link.</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Critical Paradox and A New Research Frontier: The Role of the Axis in Redox Homeostasis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evidence supporting the proposed axis is strong, biological systems are complex, and a sophisticated understanding requires acknowledging and investigating apparent paradoxes. Preliminary data have revealed one such complexity in the realm of redox homeostasis. In progeria VSMCs, the expression of Glutathione Peroxidase 4 (GPX4), a critical enzyme that detoxifies lipid peroxides and prevents ferroptotic cell death, is downregulated. Unexpectedly, while HDAC2 knockdown rescues senescence, it also leads to a further downregulation of GPX4 and an increase in lipid peroxidation. This finding, rather than weakening the central hypothesis, reveals a deeper layer of regulatory complexity. It suggests that the axis may have divergent, context-dependent roles in governing senescence and redox balance. This paradox highlights a new and exciting research frontier, demanding an investigation into how the same epigenetic axis can produce distinct, and sometimes opposing, outcomes in different functional domains.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Delineation of Critical Knowledge Gaps to be Addressed by the Proposed Research</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formulation of this novel epigenetic axis and the compelling preliminary data supporting it bring several critical, unanswered questions into sharp focus. Addressing these knowledge gaps is essential for fully elucidating the pathway and for translating these findings into effective therapies for HGPS and age-related diseases. The proposed research is designed to directly address the following:</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Mechanism of Regulation:</w:t>
      </w:r>
      <w:r w:rsidDel="00000000" w:rsidR="00000000" w:rsidRPr="00000000">
        <w:rPr>
          <w:rtl w:val="0"/>
        </w:rPr>
        <w:t xml:space="preserve"> What is the precise molecular mechanism by which wild-type Lamin A interacts with and protects KAT8 from proteasomal degradation? How does the Lamin A-HDAC2 interaction modulate HDAC2 activity or localization? Elucidating these protein-protein interactions and their functional consequences is a primary goal.</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Resolving the Redox Paradox:</w:t>
      </w:r>
      <w:r w:rsidDel="00000000" w:rsidR="00000000" w:rsidRPr="00000000">
        <w:rPr>
          <w:rtl w:val="0"/>
        </w:rPr>
        <w:t xml:space="preserve"> What is the mechanism linking HDAC2 activity and H4K16ac levels to the regulation of GPX4 and lipid peroxidation? Is this a direct effect on the </w:t>
      </w:r>
      <w:r w:rsidDel="00000000" w:rsidR="00000000" w:rsidRPr="00000000">
        <w:rPr>
          <w:i w:val="1"/>
          <w:rtl w:val="0"/>
        </w:rPr>
        <w:t xml:space="preserve">GPX4</w:t>
      </w:r>
      <w:r w:rsidDel="00000000" w:rsidR="00000000" w:rsidRPr="00000000">
        <w:rPr>
          <w:rtl w:val="0"/>
        </w:rPr>
        <w:t xml:space="preserve"> promoter, or is it mediated indirectly through broader changes in metabolic pathways or the NRF2 antioxidant response?</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Disentangling Causal Drivers of Senescence:</w:t>
      </w:r>
      <w:r w:rsidDel="00000000" w:rsidR="00000000" w:rsidRPr="00000000">
        <w:rPr>
          <w:rtl w:val="0"/>
        </w:rPr>
        <w:t xml:space="preserve"> What are the relative contributions of accumulated DNA damage versus metabolic stress (e.g., mitochondrial dysfunction, redox imbalance) in driving the terminal senescence phenotype in HGPS cells? Can these pathways be experimentally uncoupled to determine which is the primary driver downstream of H4K16ac loss?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systematically addressing these fundamental questions, the proposed research will provide a comprehensive, mechanistic understanding of a novel regulatory axis that lies at the intersection of nuclear integrity, epigenetic regulation, and metabolic homeostasis, with profound implications for both rare progeroid syndromes and the common process of human aging.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