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f0e8abcc04ff7af51af05a82de70ee31ce27ab5"/>
    <w:p>
      <w:pPr>
        <w:pStyle w:val="Heading1"/>
      </w:pPr>
      <w:r>
        <w:t xml:space="preserve">Nuclear Plasticity through Stimulus-Induced Sol–Gel Transitions in Chromatin and Nucleoplasm</w:t>
      </w:r>
    </w:p>
    <w:bookmarkStart w:id="25" w:name="background-and-scientific-premise"/>
    <w:p>
      <w:pPr>
        <w:pStyle w:val="Heading2"/>
      </w:pPr>
      <w:r>
        <w:t xml:space="preserve">Background and Scientific Premise</w:t>
      </w:r>
    </w:p>
    <w:p>
      <w:pPr>
        <w:pStyle w:val="FirstParagraph"/>
      </w:pPr>
      <w:r>
        <w:t xml:space="preserve">The interphase nucleus is a</w:t>
      </w:r>
      <w:r>
        <w:t xml:space="preserve"> </w:t>
      </w:r>
      <w:r>
        <w:rPr>
          <w:b/>
          <w:bCs/>
        </w:rPr>
        <w:t xml:space="preserve">highly organized yet dynamic environment</w:t>
      </w:r>
      <w:r>
        <w:t xml:space="preserve">, composed of distinct local microenvironments that modulate macromolecular movement</w:t>
      </w:r>
      <w:hyperlink r:id="rId21">
        <w:r>
          <w:rPr>
            <w:rStyle w:val="Hyperlink"/>
          </w:rPr>
          <w:t xml:space="preserve">[1]</w:t>
        </w:r>
      </w:hyperlink>
      <w:r>
        <w:t xml:space="preserve">. One critical process influenced by nuclear organization is</w:t>
      </w:r>
      <w:r>
        <w:t xml:space="preserve"> </w:t>
      </w:r>
      <w:r>
        <w:rPr>
          <w:b/>
          <w:bCs/>
        </w:rPr>
        <w:t xml:space="preserve">intranuclear mRNA transport</w:t>
      </w:r>
      <w:r>
        <w:t xml:space="preserve">. While many mRNAs are efficiently exported to the cytoplasm, a subset is retained in the nucleus, altering gene expression programs</w:t>
      </w:r>
      <w:hyperlink r:id="rId21">
        <w:r>
          <w:rPr>
            <w:rStyle w:val="Hyperlink"/>
          </w:rPr>
          <w:t xml:space="preserve">[2]</w:t>
        </w:r>
      </w:hyperlink>
      <w:r>
        <w:t xml:space="preserve">. Notably,</w:t>
      </w:r>
      <w:r>
        <w:t xml:space="preserve"> </w:t>
      </w:r>
      <w:r>
        <w:rPr>
          <w:b/>
          <w:bCs/>
        </w:rPr>
        <w:t xml:space="preserve">increased intranuclear mRNA retention is a hallmark of aging and several neurodegenerative conditions, including Alzheimer’s disease (AD)</w:t>
      </w:r>
      <w:hyperlink r:id="rId21">
        <w:r>
          <w:rPr>
            <w:rStyle w:val="Hyperlink"/>
          </w:rPr>
          <w:t xml:space="preserve">[3]</w:t>
        </w:r>
      </w:hyperlink>
      <w:r>
        <w:t xml:space="preserve">. For example, neurons in aging brains and AD models accumulate undelivered transcripts, suggesting a breakdown in nuclear export efficiency. This</w:t>
      </w:r>
      <w:r>
        <w:t xml:space="preserve"> </w:t>
      </w:r>
      <w:r>
        <w:rPr>
          <w:i/>
          <w:iCs/>
        </w:rPr>
        <w:t xml:space="preserve">nuclear retention phenotype</w:t>
      </w:r>
      <w:r>
        <w:t xml:space="preserve"> </w:t>
      </w:r>
      <w:r>
        <w:t xml:space="preserve">is also seen in certain myopathies (e.g. myotonic dystrophy) where mutant transcripts form nuclear foci</w:t>
      </w:r>
      <w:hyperlink r:id="rId21">
        <w:r>
          <w:rPr>
            <w:rStyle w:val="Hyperlink"/>
          </w:rPr>
          <w:t xml:space="preserve">[3]</w:t>
        </w:r>
      </w:hyperlink>
      <w:r>
        <w:t xml:space="preserve">. These observations underscore a fundamental gap in knowledge:</w:t>
      </w:r>
      <w:r>
        <w:t xml:space="preserve"> </w:t>
      </w:r>
      <w:r>
        <w:rPr>
          <w:b/>
          <w:bCs/>
        </w:rPr>
        <w:t xml:space="preserve">what nuclear properties dictate whether an mRNP successfully reaches a nuclear pore for export or becomes detained inside the nucleus?</w:t>
      </w:r>
    </w:p>
    <w:p>
      <w:pPr>
        <w:pStyle w:val="BodyText"/>
      </w:pPr>
      <w:r>
        <w:t xml:space="preserve">Early studies attributed nuclear RNA mobility largely to passive diffusion constrained by chromatin density</w:t>
      </w:r>
      <w:hyperlink r:id="rId21">
        <w:r>
          <w:rPr>
            <w:rStyle w:val="Hyperlink"/>
          </w:rPr>
          <w:t xml:space="preserve">[4]</w:t>
        </w:r>
      </w:hyperlink>
      <w:hyperlink r:id="rId21">
        <w:r>
          <w:rPr>
            <w:rStyle w:val="Hyperlink"/>
          </w:rPr>
          <w:t xml:space="preserve">[5]</w:t>
        </w:r>
      </w:hyperlink>
      <w:r>
        <w:t xml:space="preserve">. Small transcripts (&lt;3 kb) were thought to diffuse freely through interchromatin spaces, whereas larger mRNAs (&gt;5–10 kb) exhibited slower, hindered diffusion and frequent immobilization</w:t>
      </w:r>
      <w:hyperlink r:id="rId21">
        <w:r>
          <w:rPr>
            <w:rStyle w:val="Hyperlink"/>
          </w:rPr>
          <w:t xml:space="preserve">[4]</w:t>
        </w:r>
      </w:hyperlink>
      <w:hyperlink r:id="rId21">
        <w:r>
          <w:rPr>
            <w:rStyle w:val="Hyperlink"/>
          </w:rPr>
          <w:t xml:space="preserve">[6]</w:t>
        </w:r>
      </w:hyperlink>
      <w:r>
        <w:t xml:space="preserve">. This size-dependent mobility difference led to the concept that the</w:t>
      </w:r>
      <w:r>
        <w:t xml:space="preserve"> </w:t>
      </w:r>
      <w:r>
        <w:rPr>
          <w:b/>
          <w:bCs/>
        </w:rPr>
        <w:t xml:space="preserve">nucleoplasm behaves as a</w:t>
      </w:r>
      <w:r>
        <w:rPr>
          <w:b/>
          <w:bCs/>
        </w:rPr>
        <w:t xml:space="preserve"> </w:t>
      </w:r>
      <w:r>
        <w:rPr>
          <w:b/>
          <w:bCs/>
          <w:i/>
          <w:iCs/>
        </w:rPr>
        <w:t xml:space="preserve">porous gel</w:t>
      </w:r>
      <w:r>
        <w:t xml:space="preserve"> </w:t>
      </w:r>
      <w:r>
        <w:t xml:space="preserve">that can</w:t>
      </w:r>
      <w:r>
        <w:t xml:space="preserve"> </w:t>
      </w:r>
      <w:r>
        <w:rPr>
          <w:b/>
          <w:bCs/>
        </w:rPr>
        <w:t xml:space="preserve">transiently cage large RNPs</w:t>
      </w:r>
      <w:r>
        <w:t xml:space="preserve"> </w:t>
      </w:r>
      <w:r>
        <w:t xml:space="preserve">while allowing smaller complexes to pass</w:t>
      </w:r>
      <w:hyperlink r:id="rId21">
        <w:r>
          <w:rPr>
            <w:rStyle w:val="Hyperlink"/>
          </w:rPr>
          <w:t xml:space="preserve">[7]</w:t>
        </w:r>
      </w:hyperlink>
      <w:hyperlink r:id="rId21">
        <w:r>
          <w:rPr>
            <w:rStyle w:val="Hyperlink"/>
          </w:rPr>
          <w:t xml:space="preserve">[8]</w:t>
        </w:r>
      </w:hyperlink>
      <w:r>
        <w:t xml:space="preserve">. Consistently, exceptionally large RNPs (e.g. Balbiani ring mRNAs ~50 nm) show alternating phases of confined “caged” motion and rapid movement, implying a</w:t>
      </w:r>
      <w:r>
        <w:t xml:space="preserve"> </w:t>
      </w:r>
      <w:r>
        <w:rPr>
          <w:b/>
          <w:bCs/>
        </w:rPr>
        <w:t xml:space="preserve">size-selective physical barrier</w:t>
      </w:r>
      <w:r>
        <w:t xml:space="preserve"> </w:t>
      </w:r>
      <w:r>
        <w:t xml:space="preserve">network in the nucleus</w:t>
      </w:r>
      <w:hyperlink r:id="rId21">
        <w:r>
          <w:rPr>
            <w:rStyle w:val="Hyperlink"/>
          </w:rPr>
          <w:t xml:space="preserve">[9]</w:t>
        </w:r>
      </w:hyperlink>
      <w:hyperlink r:id="rId21">
        <w:r>
          <w:rPr>
            <w:rStyle w:val="Hyperlink"/>
          </w:rPr>
          <w:t xml:space="preserve">[8]</w:t>
        </w:r>
      </w:hyperlink>
      <w:r>
        <w:t xml:space="preserve">. However, recent findings suggest that nuclear RNA transport is not governed by chromatin steric hindrance alone, but involves</w:t>
      </w:r>
      <w:r>
        <w:t xml:space="preserve"> </w:t>
      </w:r>
      <w:r>
        <w:rPr>
          <w:b/>
          <w:bCs/>
        </w:rPr>
        <w:t xml:space="preserve">multifaceted, dynamic interactions</w:t>
      </w:r>
      <w:r>
        <w:t xml:space="preserve">. For instance, even in chromatin-poor regions, large mRNPs can be transiently trapped by</w:t>
      </w:r>
      <w:r>
        <w:t xml:space="preserve"> </w:t>
      </w:r>
      <w:r>
        <w:rPr>
          <w:b/>
          <w:bCs/>
        </w:rPr>
        <w:t xml:space="preserve">RNA–protein clusters</w:t>
      </w:r>
      <w:r>
        <w:t xml:space="preserve">, hinting that</w:t>
      </w:r>
      <w:r>
        <w:t xml:space="preserve"> </w:t>
      </w:r>
      <w:r>
        <w:rPr>
          <w:b/>
          <w:bCs/>
        </w:rPr>
        <w:t xml:space="preserve">biochemical interactions and phase-separated nuclear bodies (like nuclear speckles) contribute to intranuclear mobility</w:t>
      </w:r>
      <w:hyperlink r:id="rId21">
        <w:r>
          <w:rPr>
            <w:rStyle w:val="Hyperlink"/>
          </w:rPr>
          <w:t xml:space="preserve">[10]</w:t>
        </w:r>
      </w:hyperlink>
      <w:hyperlink r:id="rId21">
        <w:r>
          <w:rPr>
            <w:rStyle w:val="Hyperlink"/>
          </w:rPr>
          <w:t xml:space="preserve">[5]</w:t>
        </w:r>
      </w:hyperlink>
      <w:r>
        <w:t xml:space="preserve">. Thus, a picture is emerging of the nucleoplasm as an</w:t>
      </w:r>
      <w:r>
        <w:t xml:space="preserve"> </w:t>
      </w:r>
      <w:r>
        <w:rPr>
          <w:b/>
          <w:bCs/>
        </w:rPr>
        <w:t xml:space="preserve">actively regulated, viscoelastic medium</w:t>
      </w:r>
      <w:r>
        <w:t xml:space="preserve"> </w:t>
      </w:r>
      <w:r>
        <w:t xml:space="preserve">rather than a static chromatin mesh.</w:t>
      </w:r>
    </w:p>
    <w:p>
      <w:pPr>
        <w:pStyle w:val="BodyText"/>
      </w:pPr>
      <w:r>
        <w:t xml:space="preserve">Importantly, the</w:t>
      </w:r>
      <w:r>
        <w:t xml:space="preserve"> </w:t>
      </w:r>
      <w:r>
        <w:rPr>
          <w:b/>
          <w:bCs/>
        </w:rPr>
        <w:t xml:space="preserve">nuclear architecture and its biophysical properties differ markedly between cell types</w:t>
      </w:r>
      <w:r>
        <w:t xml:space="preserve">, likely reflecting adaptation to specific gene expression needs.</w:t>
      </w:r>
      <w:r>
        <w:t xml:space="preserve"> </w:t>
      </w:r>
      <w:r>
        <w:rPr>
          <w:b/>
          <w:bCs/>
        </w:rPr>
        <w:t xml:space="preserve">Heterochromatin content and nucleoplasmic “porosity” are cell-type-specific features</w:t>
      </w:r>
      <w:r>
        <w:t xml:space="preserve"> </w:t>
      </w:r>
      <w:r>
        <w:t xml:space="preserve">of the dynamic nucleus. For example, muscle cell nuclei typically feature abundant visible chromatin condensates dispersed throughout the nucleoplasm, whereas neuronal nuclei have relatively sparse compact chromatin foci</w:t>
      </w:r>
      <w:hyperlink r:id="rId21">
        <w:r>
          <w:rPr>
            <w:rStyle w:val="Hyperlink"/>
          </w:rPr>
          <w:t xml:space="preserve">[11]</w:t>
        </w:r>
      </w:hyperlink>
      <w:r>
        <w:t xml:space="preserve">. These represent two distinct baseline nuclear environments for RNA transport:</w:t>
      </w:r>
      <w:r>
        <w:t xml:space="preserve"> </w:t>
      </w:r>
      <w:r>
        <w:rPr>
          <w:b/>
          <w:bCs/>
        </w:rPr>
        <w:t xml:space="preserve">a more gel-like, heterochromatin-enriched nucleus in muscle versus a more sol-like, diffusible nucleoplasm in neurons</w:t>
      </w:r>
      <w:r>
        <w:t xml:space="preserve">. We propose that these differences are functionally significant – neurons, which require rapid, plastic transcriptional responses for processes like learning, maintain an</w:t>
      </w:r>
      <w:r>
        <w:t xml:space="preserve"> </w:t>
      </w:r>
      <w:r>
        <w:rPr>
          <w:b/>
          <w:bCs/>
        </w:rPr>
        <w:t xml:space="preserve">open, pliable nuclear state</w:t>
      </w:r>
      <w:r>
        <w:t xml:space="preserve"> </w:t>
      </w:r>
      <w:r>
        <w:t xml:space="preserve">with widely dispersed euchromatin, whereas muscle cells, geared toward stable structural function, have</w:t>
      </w:r>
      <w:r>
        <w:t xml:space="preserve"> </w:t>
      </w:r>
      <w:r>
        <w:rPr>
          <w:b/>
          <w:bCs/>
        </w:rPr>
        <w:t xml:space="preserve">stiffer nuclei</w:t>
      </w:r>
      <w:r>
        <w:t xml:space="preserve"> </w:t>
      </w:r>
      <w:r>
        <w:t xml:space="preserve">with extensive heterochromatin. Indeed, our preliminary data demonstrate that nuclear rheology and RNA mobility correlate with chromatin state: in U2OS cells (cancer cells with open chromatin and low viscoelastic moduli, G' ≈ 0.62 Pa), 40 nm nanoparticles diffused relatively fast (~0.06–0.07 µm²/s), whereas in C2C12 muscle cells (abundant heterochromatin, higher stiffness, G' ≈ 1.25 Pa) the same particles were nearly an order of magnitude slower (~0.006 µm²/s) and more confined</w:t>
      </w:r>
      <w:hyperlink r:id="rId21">
        <w:r>
          <w:rPr>
            <w:rStyle w:val="Hyperlink"/>
          </w:rPr>
          <w:t xml:space="preserve">[12]</w:t>
        </w:r>
      </w:hyperlink>
      <w:hyperlink r:id="rId21">
        <w:r>
          <w:rPr>
            <w:rStyle w:val="Hyperlink"/>
          </w:rPr>
          <w:t xml:space="preserve">[13]</w:t>
        </w:r>
      </w:hyperlink>
      <w:r>
        <w:t xml:space="preserve">. Thus,</w:t>
      </w:r>
      <w:r>
        <w:t xml:space="preserve"> </w:t>
      </w:r>
      <w:r>
        <w:rPr>
          <w:b/>
          <w:bCs/>
        </w:rPr>
        <w:t xml:space="preserve">chromatin condensation and nucleoplasmic viscosity act in concert to impose physical constraints on RNA movement</w:t>
      </w:r>
      <w:r>
        <w:t xml:space="preserve">.</w:t>
      </w:r>
    </w:p>
    <w:p>
      <w:pPr>
        <w:pStyle w:val="BodyText"/>
      </w:pPr>
      <w:r>
        <w:t xml:space="preserve">Crucially, emerging evidence indicates that nuclear architecture is not static even within a given cell type, but can be</w:t>
      </w:r>
      <w:r>
        <w:t xml:space="preserve"> </w:t>
      </w:r>
      <w:r>
        <w:rPr>
          <w:b/>
          <w:bCs/>
        </w:rPr>
        <w:t xml:space="preserve">remodeled by physiological stimuli</w:t>
      </w:r>
      <w:r>
        <w:t xml:space="preserve">. Neuronal activity provides a paradigm for such</w:t>
      </w:r>
      <w:r>
        <w:t xml:space="preserve"> </w:t>
      </w:r>
      <w:r>
        <w:rPr>
          <w:b/>
          <w:bCs/>
        </w:rPr>
        <w:t xml:space="preserve">nuclear plasticity</w:t>
      </w:r>
      <w:r>
        <w:t xml:space="preserve">. During periods of intense synaptic stimulation,</w:t>
      </w:r>
      <w:r>
        <w:t xml:space="preserve"> </w:t>
      </w:r>
      <w:r>
        <w:rPr>
          <w:b/>
          <w:bCs/>
        </w:rPr>
        <w:t xml:space="preserve">calcium influx into the nucleus</w:t>
      </w:r>
      <w:r>
        <w:t xml:space="preserve"> </w:t>
      </w:r>
      <w:r>
        <w:t xml:space="preserve">(through nuclear pore channels or perinuclear stores) acts as a signal that triggers widespread chromatin and nuclear changes</w:t>
      </w:r>
      <w:hyperlink r:id="rId22">
        <w:r>
          <w:rPr>
            <w:rStyle w:val="Hyperlink"/>
          </w:rPr>
          <w:t xml:space="preserve">[14]</w:t>
        </w:r>
      </w:hyperlink>
      <w:hyperlink r:id="rId22">
        <w:r>
          <w:rPr>
            <w:rStyle w:val="Hyperlink"/>
          </w:rPr>
          <w:t xml:space="preserve">[15]</w:t>
        </w:r>
      </w:hyperlink>
      <w:r>
        <w:t xml:space="preserve">. This concept, known as the</w:t>
      </w:r>
      <w:r>
        <w:t xml:space="preserve"> </w:t>
      </w:r>
      <w:r>
        <w:rPr>
          <w:i/>
          <w:iCs/>
        </w:rPr>
        <w:t xml:space="preserve">nuclear calcium hypothesis</w:t>
      </w:r>
      <w:r>
        <w:t xml:space="preserve">, posits that synapse-to-nucleus Ca²⁺ transients translate neuronal stimulation into activation of gene expression programs required for long-lasting adaptations such as</w:t>
      </w:r>
      <w:r>
        <w:t xml:space="preserve"> </w:t>
      </w:r>
      <w:r>
        <w:rPr>
          <w:b/>
          <w:bCs/>
        </w:rPr>
        <w:t xml:space="preserve">memory formation</w:t>
      </w:r>
      <w:hyperlink r:id="rId22">
        <w:r>
          <w:rPr>
            <w:rStyle w:val="Hyperlink"/>
          </w:rPr>
          <w:t xml:space="preserve">[14]</w:t>
        </w:r>
      </w:hyperlink>
      <w:r>
        <w:t xml:space="preserve">. The molecular mechanisms linking nuclear Ca²⁺ to gene activation are now being elucidated:</w:t>
      </w:r>
      <w:r>
        <w:t xml:space="preserve"> </w:t>
      </w:r>
      <w:r>
        <w:rPr>
          <w:b/>
          <w:bCs/>
        </w:rPr>
        <w:t xml:space="preserve">nuclear calcium activates CaMKIIV and related kinases that phosphorylate and inhibit HDAC (histone deacetylase) enzymes, while stimulating histone acetyltransferases (e.g. CBP/p300)</w:t>
      </w:r>
      <w:hyperlink r:id="rId22">
        <w:r>
          <w:rPr>
            <w:rStyle w:val="Hyperlink"/>
          </w:rPr>
          <w:t xml:space="preserve">[16]</w:t>
        </w:r>
      </w:hyperlink>
      <w:r>
        <w:t xml:space="preserve">. The result is</w:t>
      </w:r>
      <w:r>
        <w:t xml:space="preserve"> </w:t>
      </w:r>
      <w:r>
        <w:rPr>
          <w:b/>
          <w:bCs/>
        </w:rPr>
        <w:t xml:space="preserve">histone hyperacetylation, chromatin decondensation, and an enhanced transcriptional rate</w:t>
      </w:r>
      <w:r>
        <w:t xml:space="preserve"> </w:t>
      </w:r>
      <w:r>
        <w:t xml:space="preserve">on activity-regulated genes</w:t>
      </w:r>
      <w:hyperlink r:id="rId22">
        <w:r>
          <w:rPr>
            <w:rStyle w:val="Hyperlink"/>
          </w:rPr>
          <w:t xml:space="preserve">[17]</w:t>
        </w:r>
      </w:hyperlink>
      <w:r>
        <w:t xml:space="preserve">. In essence,</w:t>
      </w:r>
      <w:r>
        <w:t xml:space="preserve"> </w:t>
      </w:r>
      <w:r>
        <w:rPr>
          <w:b/>
          <w:bCs/>
        </w:rPr>
        <w:t xml:space="preserve">elevated nuclear Ca²⁺ flips the nucleus into a more “sol-like” state</w:t>
      </w:r>
      <w:r>
        <w:t xml:space="preserve"> </w:t>
      </w:r>
      <w:r>
        <w:t xml:space="preserve">– loosening chromatin and possibly dissolving or reorganizing RNA-protein condensates – to promote rapid gene expression. Concordantly,</w:t>
      </w:r>
      <w:r>
        <w:t xml:space="preserve"> </w:t>
      </w:r>
      <w:r>
        <w:rPr>
          <w:b/>
          <w:bCs/>
        </w:rPr>
        <w:t xml:space="preserve">histone acetylation is now recognized as fundamental for synaptic plasticity and memory</w:t>
      </w:r>
      <w:r>
        <w:t xml:space="preserve">: increasing histone acetylation via HDAC inhibitors facilitates learning and memory in wild-type mice and even restores memory in neurodegenerative models</w:t>
      </w:r>
      <w:hyperlink r:id="rId23">
        <w:r>
          <w:rPr>
            <w:rStyle w:val="Hyperlink"/>
          </w:rPr>
          <w:t xml:space="preserve">[18]</w:t>
        </w:r>
      </w:hyperlink>
      <w:hyperlink r:id="rId23">
        <w:r>
          <w:rPr>
            <w:rStyle w:val="Hyperlink"/>
          </w:rPr>
          <w:t xml:space="preserve">[19]</w:t>
        </w:r>
      </w:hyperlink>
      <w:r>
        <w:t xml:space="preserve">. Conversely,</w:t>
      </w:r>
      <w:r>
        <w:t xml:space="preserve"> </w:t>
      </w:r>
      <w:r>
        <w:rPr>
          <w:b/>
          <w:bCs/>
        </w:rPr>
        <w:t xml:space="preserve">excessive HDAC2 (histone deacetylase 2) activity is observed in aging and AD brains, leading to chromatin over-compaction and gene repression, which correlate with cognitive decline</w:t>
      </w:r>
      <w:hyperlink r:id="rId23">
        <w:r>
          <w:rPr>
            <w:rStyle w:val="Hyperlink"/>
          </w:rPr>
          <w:t xml:space="preserve">[20]</w:t>
        </w:r>
      </w:hyperlink>
      <w:hyperlink r:id="rId23">
        <w:r>
          <w:rPr>
            <w:rStyle w:val="Hyperlink"/>
          </w:rPr>
          <w:t xml:space="preserve">[21]</w:t>
        </w:r>
      </w:hyperlink>
      <w:r>
        <w:t xml:space="preserve">. Restoring the balance of acetylation (e.g. by HDAC2 inhibition) reinstates learning ability in AD models</w:t>
      </w:r>
      <w:hyperlink r:id="rId23">
        <w:r>
          <w:rPr>
            <w:rStyle w:val="Hyperlink"/>
          </w:rPr>
          <w:t xml:space="preserve">[22]</w:t>
        </w:r>
      </w:hyperlink>
      <w:hyperlink r:id="rId23">
        <w:r>
          <w:rPr>
            <w:rStyle w:val="Hyperlink"/>
          </w:rPr>
          <w:t xml:space="preserve">[23]</w:t>
        </w:r>
      </w:hyperlink>
      <w:r>
        <w:t xml:space="preserve">, underscoring that</w:t>
      </w:r>
      <w:r>
        <w:t xml:space="preserve"> </w:t>
      </w:r>
      <w:r>
        <w:rPr>
          <w:b/>
          <w:bCs/>
        </w:rPr>
        <w:t xml:space="preserve">epigenetic “stiffening” of the nucleus is detrimental to memory</w:t>
      </w:r>
      <w:r>
        <w:t xml:space="preserve">.</w:t>
      </w:r>
    </w:p>
    <w:p>
      <w:pPr>
        <w:pStyle w:val="BodyText"/>
      </w:pPr>
      <w:r>
        <w:t xml:space="preserve">Another layer of nuclear plasticity involves</w:t>
      </w:r>
      <w:r>
        <w:t xml:space="preserve"> </w:t>
      </w:r>
      <w:r>
        <w:rPr>
          <w:b/>
          <w:bCs/>
        </w:rPr>
        <w:t xml:space="preserve">RNA-rich condensates and liquid-phase transitions</w:t>
      </w:r>
      <w:r>
        <w:t xml:space="preserve"> </w:t>
      </w:r>
      <w:r>
        <w:t xml:space="preserve">in the nucleoplasm.</w:t>
      </w:r>
      <w:r>
        <w:t xml:space="preserve"> </w:t>
      </w:r>
      <w:r>
        <w:rPr>
          <w:b/>
          <w:bCs/>
        </w:rPr>
        <w:t xml:space="preserve">Nuclear speckles</w:t>
      </w:r>
      <w:r>
        <w:t xml:space="preserve">, for instance, are large (1–2 µm) phase-separated domains enriched in pre-mRNA processing factors and certain long nuclear RNAs. They have a dual role: facilitating efficient splicing and</w:t>
      </w:r>
      <w:r>
        <w:t xml:space="preserve"> </w:t>
      </w:r>
      <w:r>
        <w:rPr>
          <w:b/>
          <w:bCs/>
        </w:rPr>
        <w:t xml:space="preserve">serving as storage reservoirs for mRNAs</w:t>
      </w:r>
      <w:r>
        <w:t xml:space="preserve">. Partially spliced, intron-retaining mRNAs can accumulate at speckles (often termed “detained” mRNAs) instead of being immediately exported</w:t>
      </w:r>
      <w:hyperlink r:id="rId24">
        <w:r>
          <w:rPr>
            <w:rStyle w:val="Hyperlink"/>
          </w:rPr>
          <w:t xml:space="preserve">[24]</w:t>
        </w:r>
      </w:hyperlink>
      <w:r>
        <w:t xml:space="preserve">. Under the appropriate stimulus or developmental cue, these mRNAs are rapidly released and completed, allowing swift cytoplasmic translation in response to the stimulus</w:t>
      </w:r>
      <w:hyperlink r:id="rId24">
        <w:r>
          <w:rPr>
            <w:rStyle w:val="Hyperlink"/>
          </w:rPr>
          <w:t xml:space="preserve">[25]</w:t>
        </w:r>
      </w:hyperlink>
      <w:hyperlink r:id="rId24">
        <w:r>
          <w:rPr>
            <w:rStyle w:val="Hyperlink"/>
          </w:rPr>
          <w:t xml:space="preserve">[26]</w:t>
        </w:r>
      </w:hyperlink>
      <w:r>
        <w:t xml:space="preserve">. This regulated release has been shown to be critical in contexts like muscle cell differentiation and neuronal activation, effectively enabling a</w:t>
      </w:r>
      <w:r>
        <w:t xml:space="preserve"> </w:t>
      </w:r>
      <w:r>
        <w:rPr>
          <w:b/>
          <w:bCs/>
        </w:rPr>
        <w:t xml:space="preserve">fast post-transcriptional response by toggling the nuclear retention state</w:t>
      </w:r>
      <w:hyperlink r:id="rId24">
        <w:r>
          <w:rPr>
            <w:rStyle w:val="Hyperlink"/>
          </w:rPr>
          <w:t xml:space="preserve">[27]</w:t>
        </w:r>
      </w:hyperlink>
      <w:hyperlink r:id="rId24">
        <w:r>
          <w:rPr>
            <w:rStyle w:val="Hyperlink"/>
          </w:rPr>
          <w:t xml:space="preserve">[26]</w:t>
        </w:r>
      </w:hyperlink>
      <w:r>
        <w:t xml:space="preserve">. Such findings suggest that the</w:t>
      </w:r>
      <w:r>
        <w:t xml:space="preserve"> </w:t>
      </w:r>
      <w:r>
        <w:rPr>
          <w:b/>
          <w:bCs/>
        </w:rPr>
        <w:t xml:space="preserve">nucleoplasmic RNP network can undergo</w:t>
      </w:r>
      <w:r>
        <w:t xml:space="preserve"> </w:t>
      </w:r>
      <w:r>
        <w:t xml:space="preserve">gel–sol phase transitions</w:t>
      </w:r>
      <w:r>
        <w:t xml:space="preserve"> </w:t>
      </w:r>
      <w:r>
        <w:rPr>
          <w:b/>
          <w:bCs/>
        </w:rPr>
        <w:t xml:space="preserve">– for example, a speckle or RNP cluster “gel” dissolving to liberate mRNAs – in an activity-dependent manner. Indeed,</w:t>
      </w:r>
      <w:r>
        <w:t xml:space="preserve"> </w:t>
      </w:r>
      <w:r>
        <w:t xml:space="preserve">phase separation and polymer-polymer phase transitions from liquid to gel states are plausible regulatory mechanisms</w:t>
      </w:r>
      <w:r>
        <w:t xml:space="preserve"> </w:t>
      </w:r>
      <w:r>
        <w:rPr>
          <w:b/>
          <w:bCs/>
        </w:rPr>
        <w:t xml:space="preserve">for nuclear RNA handling</w:t>
      </w:r>
      <w:hyperlink r:id="rId24">
        <w:r>
          <w:rPr>
            <w:rStyle w:val="Hyperlink"/>
            <w:b/>
            <w:bCs/>
          </w:rPr>
          <w:t xml:space="preserve">[28]</w:t>
        </w:r>
      </w:hyperlink>
      <w:r>
        <w:rPr>
          <w:b/>
          <w:bCs/>
        </w:rPr>
        <w:t xml:space="preserve">. Together with chromatin compaction changes, these transitions constitute an integrated form of</w:t>
      </w:r>
      <w:r>
        <w:t xml:space="preserve"> </w:t>
      </w:r>
      <w:r>
        <w:t xml:space="preserve">nuclear biophysical plasticity**.</w:t>
      </w:r>
    </w:p>
    <w:p>
      <w:pPr>
        <w:pStyle w:val="BodyText"/>
      </w:pPr>
      <w:r>
        <w:t xml:space="preserve">We therefore conceptualize the interphase nucleus as a</w:t>
      </w:r>
      <w:r>
        <w:t xml:space="preserve"> </w:t>
      </w:r>
      <w:r>
        <w:rPr>
          <w:b/>
          <w:bCs/>
        </w:rPr>
        <w:t xml:space="preserve">dynamic, responsive organelle</w:t>
      </w:r>
      <w:r>
        <w:t xml:space="preserve">: in a stimulated neuron,</w:t>
      </w:r>
      <w:r>
        <w:t xml:space="preserve"> </w:t>
      </w:r>
      <w:r>
        <w:rPr>
          <w:b/>
          <w:bCs/>
        </w:rPr>
        <w:t xml:space="preserve">euchromatin expands and RNA-protein networks fluidize (sol state)</w:t>
      </w:r>
      <w:r>
        <w:t xml:space="preserve"> </w:t>
      </w:r>
      <w:r>
        <w:t xml:space="preserve">to promote high mobility of mRNPs, robust gene transcription, and efficient mRNA export; in a quiescent or stressed cell,</w:t>
      </w:r>
      <w:r>
        <w:t xml:space="preserve"> </w:t>
      </w:r>
      <w:r>
        <w:rPr>
          <w:b/>
          <w:bCs/>
        </w:rPr>
        <w:t xml:space="preserve">heterochromatin condenses and RNP complexes gelate</w:t>
      </w:r>
      <w:r>
        <w:t xml:space="preserve">,</w:t>
      </w:r>
      <w:r>
        <w:t xml:space="preserve"> </w:t>
      </w:r>
      <w:r>
        <w:rPr>
          <w:b/>
          <w:bCs/>
        </w:rPr>
        <w:t xml:space="preserve">caging RNAs and reducing nuclear traffic</w:t>
      </w:r>
      <w:r>
        <w:t xml:space="preserve">. Failure to appropriately switch between these states can have pathological consequences. In</w:t>
      </w:r>
      <w:r>
        <w:t xml:space="preserve"> </w:t>
      </w:r>
      <w:r>
        <w:rPr>
          <w:b/>
          <w:bCs/>
        </w:rPr>
        <w:t xml:space="preserve">neurodegenerative diseases like AD</w:t>
      </w:r>
      <w:r>
        <w:t xml:space="preserve">, we hypothesize that neurons become</w:t>
      </w:r>
      <w:r>
        <w:t xml:space="preserve"> </w:t>
      </w:r>
      <w:r>
        <w:rPr>
          <w:i/>
          <w:iCs/>
        </w:rPr>
        <w:t xml:space="preserve">trapped in a chronically gel-like nuclear state</w:t>
      </w:r>
      <w:r>
        <w:t xml:space="preserve"> </w:t>
      </w:r>
      <w:r>
        <w:t xml:space="preserve">– marked by aberrant heterochromatin accumulation, decreased acetylation, and persistent RNA granule sequestration – thereby impairing adaptive gene expression. Notably, increased nuclear RNA retention and reduced export have been documented in AD patient neurons</w:t>
      </w:r>
      <w:hyperlink r:id="rId21">
        <w:r>
          <w:rPr>
            <w:rStyle w:val="Hyperlink"/>
          </w:rPr>
          <w:t xml:space="preserve">[3]</w:t>
        </w:r>
      </w:hyperlink>
      <w:r>
        <w:t xml:space="preserve">. This may reflect an inability to engage the normal activity-dependent nuclear remodeling that young, healthy neurons use to support learning and memory.</w:t>
      </w:r>
      <w:r>
        <w:t xml:space="preserve"> </w:t>
      </w:r>
      <w:r>
        <w:rPr>
          <w:b/>
          <w:bCs/>
        </w:rPr>
        <w:t xml:space="preserve">In summary, chromatin condensation/decondensation and nucleoplasmic porosity represent dynamically tunable features of nuclear organization</w:t>
      </w:r>
      <w:r>
        <w:t xml:space="preserve">, which vary across cell types and in response to stimuli. Understanding how these</w:t>
      </w:r>
      <w:r>
        <w:t xml:space="preserve"> </w:t>
      </w:r>
      <w:r>
        <w:rPr>
          <w:b/>
          <w:bCs/>
        </w:rPr>
        <w:t xml:space="preserve">stimulus-induced sol–gel transitions in the nucleus modulate RNA mobility and gene expression</w:t>
      </w:r>
      <w:r>
        <w:t xml:space="preserve"> </w:t>
      </w:r>
      <w:r>
        <w:t xml:space="preserve">is crucial for unraveling fundamental mechanisms of memory, and for identifying what goes wrong in aging and neurodegeneration.</w:t>
      </w:r>
    </w:p>
    <w:bookmarkEnd w:id="25"/>
    <w:bookmarkStart w:id="26" w:name="central-hypothesis"/>
    <w:p>
      <w:pPr>
        <w:pStyle w:val="Heading2"/>
      </w:pPr>
      <w:r>
        <w:t xml:space="preserve">Central Hypothesis</w:t>
      </w:r>
    </w:p>
    <w:p>
      <w:pPr>
        <w:pStyle w:val="FirstParagraph"/>
      </w:pPr>
      <w:r>
        <w:rPr>
          <w:b/>
          <w:bCs/>
        </w:rPr>
        <w:t xml:space="preserve">We hypothesize that stimulus-induced sol–gel transitions in both chromatin and the RNA-rich nucleoplasm modulate nuclear RNA mobility, gene expression, and mRNA transport efficiency.</w:t>
      </w:r>
      <w:r>
        <w:t xml:space="preserve"> </w:t>
      </w:r>
      <w:r>
        <w:t xml:space="preserve">In this model,</w:t>
      </w:r>
      <w:r>
        <w:t xml:space="preserve"> </w:t>
      </w:r>
      <w:r>
        <w:rPr>
          <w:b/>
          <w:bCs/>
        </w:rPr>
        <w:t xml:space="preserve">nuclear “fluidity” is a regulated state</w:t>
      </w:r>
      <w:r>
        <w:t xml:space="preserve">: Neuronal stimulation (e.g. synaptic activity triggering nuclear Ca²⁺ influx) and associated histone acetylation cause</w:t>
      </w:r>
      <w:r>
        <w:t xml:space="preserve"> </w:t>
      </w:r>
      <w:r>
        <w:rPr>
          <w:b/>
          <w:bCs/>
        </w:rPr>
        <w:t xml:space="preserve">chromatin to decondense (solation of chromatin fibers)</w:t>
      </w:r>
      <w:r>
        <w:t xml:space="preserve"> </w:t>
      </w:r>
      <w:r>
        <w:t xml:space="preserve">and</w:t>
      </w:r>
      <w:r>
        <w:t xml:space="preserve"> </w:t>
      </w:r>
      <w:r>
        <w:rPr>
          <w:b/>
          <w:bCs/>
        </w:rPr>
        <w:t xml:space="preserve">disperse RNA–protein condensates</w:t>
      </w:r>
      <w:r>
        <w:t xml:space="preserve">, increasing nuclear pore accessibility and mRNP mobility. This</w:t>
      </w:r>
      <w:r>
        <w:t xml:space="preserve"> </w:t>
      </w:r>
      <w:r>
        <w:rPr>
          <w:b/>
          <w:bCs/>
        </w:rPr>
        <w:t xml:space="preserve">nuclear plasticity</w:t>
      </w:r>
      <w:r>
        <w:t xml:space="preserve">, we propose, is</w:t>
      </w:r>
      <w:r>
        <w:t xml:space="preserve"> </w:t>
      </w:r>
      <w:r>
        <w:rPr>
          <w:i/>
          <w:iCs/>
        </w:rPr>
        <w:t xml:space="preserve">essential for memory formation</w:t>
      </w:r>
      <w:r>
        <w:t xml:space="preserve">, as it permits the timely export of plasticity-related mRNAs and the activation of gene programs required for long-term synaptic changes. Conversely,</w:t>
      </w:r>
      <w:r>
        <w:t xml:space="preserve"> </w:t>
      </w:r>
      <w:r>
        <w:rPr>
          <w:b/>
          <w:bCs/>
        </w:rPr>
        <w:t xml:space="preserve">during aging and in Alzheimer’s disease, dysregulation of these pathways (e.g. blunted nuclear Ca²⁺ signaling and epigenetic hypo-acetylation) locks the nucleus in a more gel-like, viscoelastic state</w:t>
      </w:r>
      <w:r>
        <w:t xml:space="preserve">, with</w:t>
      </w:r>
      <w:r>
        <w:t xml:space="preserve"> </w:t>
      </w:r>
      <w:r>
        <w:rPr>
          <w:b/>
          <w:bCs/>
        </w:rPr>
        <w:t xml:space="preserve">excess heterochromatin and persistent RNA clustering</w:t>
      </w:r>
      <w:r>
        <w:t xml:space="preserve">. In such a state, large mRNPs remain caged in the nucleoplasm or at nuclear bodies, leading to reduced mRNA export and a loss of gene expression responsiveness. This hypothesis builds on our preliminary evidence of size-dependent RNA caging, but introduces the novel idea that</w:t>
      </w:r>
      <w:r>
        <w:t xml:space="preserve"> </w:t>
      </w:r>
      <w:r>
        <w:rPr>
          <w:b/>
          <w:bCs/>
        </w:rPr>
        <w:t xml:space="preserve">cells actively tune their nuclear biophysical properties in an</w:t>
      </w:r>
      <w:r>
        <w:rPr>
          <w:b/>
          <w:bCs/>
        </w:rPr>
        <w:t xml:space="preserve"> </w:t>
      </w:r>
      <w:r>
        <w:rPr>
          <w:b/>
          <w:bCs/>
          <w:i/>
          <w:iCs/>
        </w:rPr>
        <w:t xml:space="preserve">activity-dependent</w:t>
      </w:r>
      <w:r>
        <w:rPr>
          <w:b/>
          <w:bCs/>
        </w:rPr>
        <w:t xml:space="preserve"> </w:t>
      </w:r>
      <w:r>
        <w:rPr>
          <w:b/>
          <w:bCs/>
        </w:rPr>
        <w:t xml:space="preserve">manner</w:t>
      </w:r>
      <w:r>
        <w:t xml:space="preserve"> </w:t>
      </w:r>
      <w:r>
        <w:t xml:space="preserve">– and that loss of this tuning underlies cognitive aging and neurodegeneration.</w:t>
      </w:r>
    </w:p>
    <w:p>
      <w:pPr>
        <w:pStyle w:val="BodyText"/>
      </w:pPr>
      <w:r>
        <w:rPr>
          <w:b/>
          <w:bCs/>
        </w:rPr>
        <w:t xml:space="preserve">Key Predictions:</w:t>
      </w:r>
      <w:r>
        <w:t xml:space="preserve"> </w:t>
      </w:r>
      <w:r>
        <w:t xml:space="preserve">(1)</w:t>
      </w:r>
      <w:r>
        <w:t xml:space="preserve"> </w:t>
      </w:r>
      <w:r>
        <w:rPr>
          <w:b/>
          <w:bCs/>
        </w:rPr>
        <w:t xml:space="preserve">Stimuli that elevate nuclear Ca²⁺ and histone acetylation will acutely increase nuclear RNA mobility and export.</w:t>
      </w:r>
      <w:r>
        <w:t xml:space="preserve"> </w:t>
      </w:r>
      <w:r>
        <w:t xml:space="preserve">(For example, depolarization of neurons or chemical LTP induction should reduce intranuclear RNA trapping and release detained mRNAs from speckles.) (2)</w:t>
      </w:r>
      <w:r>
        <w:t xml:space="preserve"> </w:t>
      </w:r>
      <w:r>
        <w:rPr>
          <w:b/>
          <w:bCs/>
        </w:rPr>
        <w:t xml:space="preserve">Mechanical and rheological properties of the nucleoplasm are tightly linked to chromatin states.</w:t>
      </w:r>
      <w:r>
        <w:t xml:space="preserve"> </w:t>
      </w:r>
      <w:r>
        <w:t xml:space="preserve">Perturbations that condense chromatin (e.g. HDAC overexpression or enzymatic chromatin crosslinking) will increase nuclear rigidity and impede RNA diffusion, whereas chromatin loosening (e.g. HDAC inhibition or targeted euchromatin expansion) will fluidize the nucleoplasm and facilitate transport. (3)</w:t>
      </w:r>
      <w:r>
        <w:t xml:space="preserve"> </w:t>
      </w:r>
      <w:r>
        <w:rPr>
          <w:b/>
          <w:bCs/>
        </w:rPr>
        <w:t xml:space="preserve">In an AD model, neurons will display abnormally low nuclear RNA mobility and export competency, associated with aberrant chromatin and nuclear body states</w:t>
      </w:r>
      <w:r>
        <w:t xml:space="preserve">, and</w:t>
      </w:r>
      <w:r>
        <w:t xml:space="preserve"> </w:t>
      </w:r>
      <w:r>
        <w:rPr>
          <w:i/>
          <w:iCs/>
        </w:rPr>
        <w:t xml:space="preserve">restoring</w:t>
      </w:r>
      <w:r>
        <w:t xml:space="preserve"> </w:t>
      </w:r>
      <w:r>
        <w:t xml:space="preserve">nuclear fluidity (e.g. via blocking HDAC2 or providing nuclear Ca²⁺ bursts) will rescue those transport deficits. By experimentally testing these predictions, we will delineate how</w:t>
      </w:r>
      <w:r>
        <w:t xml:space="preserve"> </w:t>
      </w:r>
      <w:r>
        <w:rPr>
          <w:b/>
          <w:bCs/>
        </w:rPr>
        <w:t xml:space="preserve">chromatin mechanics and nucleoplasmic phase state act synergistically to regulate gene expression at the level of intranuclear RNA trafficking</w:t>
      </w:r>
      <w:r>
        <w:t xml:space="preserve">.</w:t>
      </w:r>
    </w:p>
    <w:bookmarkEnd w:id="26"/>
    <w:bookmarkStart w:id="27" w:name="specific-aims"/>
    <w:p>
      <w:pPr>
        <w:pStyle w:val="Heading2"/>
      </w:pPr>
      <w:r>
        <w:t xml:space="preserve">Specific Aims</w:t>
      </w:r>
    </w:p>
    <w:p>
      <w:pPr>
        <w:pStyle w:val="FirstParagraph"/>
      </w:pPr>
      <w:r>
        <w:t xml:space="preserve">To test this central hypothesis, we propose an interdisciplinary approach combining advanced imaging, biophysical measurements, and disease modeling. Our</w:t>
      </w:r>
      <w:r>
        <w:t xml:space="preserve"> </w:t>
      </w:r>
      <w:r>
        <w:rPr>
          <w:b/>
          <w:bCs/>
        </w:rPr>
        <w:t xml:space="preserve">overall goal</w:t>
      </w:r>
      <w:r>
        <w:t xml:space="preserve"> </w:t>
      </w:r>
      <w:r>
        <w:t xml:space="preserve">is to establish RNA mobility and distribution as a functional readout of nuclear biophysical state, and to determine how modulating that state impacts gene expression and cell fate. We will pursue three Specific Aims:</w:t>
      </w:r>
    </w:p>
    <w:p>
      <w:pPr>
        <w:numPr>
          <w:ilvl w:val="0"/>
          <w:numId w:val="1001"/>
        </w:numPr>
      </w:pPr>
      <w:r>
        <w:rPr>
          <w:b/>
          <w:bCs/>
        </w:rPr>
        <w:t xml:space="preserve">Aim 1 – Visualize and Manipulate Chromatin-Dependent RNA Retention in Different Nuclear Environments:</w:t>
      </w:r>
      <w:r>
        <w:t xml:space="preserve"> </w:t>
      </w:r>
      <w:r>
        <w:rPr>
          <w:i/>
          <w:iCs/>
        </w:rPr>
        <w:t xml:space="preserve">We will determine how nuclear architecture (euchromatin-rich vs heterochromatin-rich) influences mRNA folding, mobility and release.</w:t>
      </w:r>
      <w:r>
        <w:t xml:space="preserve"> </w:t>
      </w:r>
      <w:r>
        <w:t xml:space="preserve">We will employ super-resolution</w:t>
      </w:r>
      <w:r>
        <w:t xml:space="preserve"> </w:t>
      </w:r>
      <w:r>
        <w:rPr>
          <w:b/>
          <w:bCs/>
        </w:rPr>
        <w:t xml:space="preserve">single-molecule RNA imaging</w:t>
      </w:r>
      <w:r>
        <w:t xml:space="preserve"> </w:t>
      </w:r>
      <w:r>
        <w:t xml:space="preserve">to compare the intranuclear organization of large endogenous mRNAs in</w:t>
      </w:r>
      <w:r>
        <w:t xml:space="preserve"> </w:t>
      </w:r>
      <w:r>
        <w:rPr>
          <w:b/>
          <w:bCs/>
        </w:rPr>
        <w:t xml:space="preserve">neuronal versus muscle nuclei</w:t>
      </w:r>
      <w:r>
        <w:t xml:space="preserve">, representing naturally “sol-like” vs “gel-like” states</w:t>
      </w:r>
      <w:hyperlink r:id="rId21">
        <w:r>
          <w:rPr>
            <w:rStyle w:val="Hyperlink"/>
          </w:rPr>
          <w:t xml:space="preserve">[11]</w:t>
        </w:r>
      </w:hyperlink>
      <w:r>
        <w:t xml:space="preserve">. We will measure mRNA physical extension (5′–3′ end distance) and localization relative to chromatin and nuclear bodies in these cell types.</w:t>
      </w:r>
      <w:r>
        <w:t xml:space="preserve"> </w:t>
      </w:r>
      <w:r>
        <w:rPr>
          <w:b/>
          <w:bCs/>
        </w:rPr>
        <w:t xml:space="preserve">Our working model is that more compact chromatin environments will correlate with greater mRNA immobilization and extended (unfolded) RNP conformations</w:t>
      </w:r>
      <w:r>
        <w:t xml:space="preserve"> </w:t>
      </w:r>
      <w:r>
        <w:t xml:space="preserve">(due to trapping in RNA granules or perichromatin regions), whereas nuclei with dispersed chromatin will show more compact mRNP conformations compatible with diffusion</w:t>
      </w:r>
      <w:hyperlink r:id="rId24">
        <w:r>
          <w:rPr>
            <w:rStyle w:val="Hyperlink"/>
          </w:rPr>
          <w:t xml:space="preserve">[29]</w:t>
        </w:r>
      </w:hyperlink>
      <w:hyperlink r:id="rId24">
        <w:r>
          <w:rPr>
            <w:rStyle w:val="Hyperlink"/>
          </w:rPr>
          <w:t xml:space="preserve">[28]</w:t>
        </w:r>
      </w:hyperlink>
      <w:r>
        <w:t xml:space="preserve">. We will also directly test</w:t>
      </w:r>
      <w:r>
        <w:t xml:space="preserve"> </w:t>
      </w:r>
      <w:r>
        <w:rPr>
          <w:b/>
          <w:bCs/>
        </w:rPr>
        <w:t xml:space="preserve">stimulus-induced chromatin decondensation</w:t>
      </w:r>
      <w:r>
        <w:t xml:space="preserve"> </w:t>
      </w:r>
      <w:r>
        <w:t xml:space="preserve">effects: in neuronal cells (differentiated PC12 and primary hippocampal neurons), we will apply neuronal activity paradigms (KCl depolarization, glutamate, or chemogenetic stimulation) to trigger</w:t>
      </w:r>
      <w:r>
        <w:t xml:space="preserve"> </w:t>
      </w:r>
      <w:r>
        <w:rPr>
          <w:b/>
          <w:bCs/>
        </w:rPr>
        <w:t xml:space="preserve">nuclear Ca²⁺ influx and histone acetylation</w:t>
      </w:r>
      <w:r>
        <w:t xml:space="preserve">, and then assess changes in chromatin compaction (using live-cell epigenetic reporters and ATAC-see) and mRNA distribution. We expect that</w:t>
      </w:r>
      <w:r>
        <w:t xml:space="preserve"> </w:t>
      </w:r>
      <w:r>
        <w:rPr>
          <w:b/>
          <w:bCs/>
        </w:rPr>
        <w:t xml:space="preserve">neuronal stimulation will transiently redistribite heterochromatin and release mRNAs from concentrated storage sites</w:t>
      </w:r>
      <w:r>
        <w:t xml:space="preserve">, decreasing the fraction of “tethered” or speckle-associated mRNAs. Using</w:t>
      </w:r>
      <w:r>
        <w:t xml:space="preserve"> </w:t>
      </w:r>
      <w:r>
        <w:rPr>
          <w:b/>
          <w:bCs/>
        </w:rPr>
        <w:t xml:space="preserve">correlative light and electron microscopy (CLEM)</w:t>
      </w:r>
      <w:r>
        <w:t xml:space="preserve">, we will further map the ultrastructural context of these RNAs before and after stimulation. This will reveal whether activity-dependent chromatin decondensation expands the available interchromatin channels through which mRNPs travel.</w:t>
      </w:r>
      <w:r>
        <w:t xml:space="preserve"> </w:t>
      </w:r>
      <w:r>
        <w:rPr>
          <w:b/>
          <w:bCs/>
        </w:rPr>
        <w:t xml:space="preserve">By comparing brain and muscle nuclear states</w:t>
      </w:r>
      <w:r>
        <w:t xml:space="preserve">, and actively converting one toward the other (e.g. artificially condensing chromatin in neurons or opening chromatin in myotubes),</w:t>
      </w:r>
      <w:r>
        <w:t xml:space="preserve"> </w:t>
      </w:r>
      <w:r>
        <w:rPr>
          <w:b/>
          <w:bCs/>
        </w:rPr>
        <w:t xml:space="preserve">Aim 1 will establish how baseline nuclear architecture and its stimulus-induced remodeling influence RNA retention vs. release</w:t>
      </w:r>
      <w:r>
        <w:t xml:space="preserve">.</w:t>
      </w:r>
    </w:p>
    <w:p>
      <w:pPr>
        <w:numPr>
          <w:ilvl w:val="0"/>
          <w:numId w:val="1001"/>
        </w:numPr>
      </w:pPr>
      <w:r>
        <w:rPr>
          <w:b/>
          <w:bCs/>
        </w:rPr>
        <w:t xml:space="preserve">Aim 2 – Quantitatively Define Nucleoplasmic Viscoelasticity and Chromatin Mechanics as Regulators of mRNA Mobility:</w:t>
      </w:r>
      <w:r>
        <w:t xml:space="preserve"> </w:t>
      </w:r>
      <w:r>
        <w:rPr>
          <w:i/>
          <w:iCs/>
        </w:rPr>
        <w:t xml:space="preserve">We will measure the physical properties of the nucleoplasm under various conditions to directly link nuclear mechanics with RNA transport efficiency.</w:t>
      </w:r>
      <w:r>
        <w:t xml:space="preserve"> </w:t>
      </w:r>
      <w:r>
        <w:t xml:space="preserve">Building on our preliminary microrheology assays</w:t>
      </w:r>
      <w:hyperlink r:id="rId21">
        <w:r>
          <w:rPr>
            <w:rStyle w:val="Hyperlink"/>
          </w:rPr>
          <w:t xml:space="preserve">[30]</w:t>
        </w:r>
      </w:hyperlink>
      <w:r>
        <w:t xml:space="preserve">, we will perform</w:t>
      </w:r>
      <w:r>
        <w:t xml:space="preserve"> </w:t>
      </w:r>
      <w:r>
        <w:rPr>
          <w:b/>
          <w:bCs/>
        </w:rPr>
        <w:t xml:space="preserve">passive particle tracking</w:t>
      </w:r>
      <w:r>
        <w:t xml:space="preserve"> </w:t>
      </w:r>
      <w:r>
        <w:t xml:space="preserve">of fluorescent nanospheres and large RNPs inside live nuclei to map out the viscoelastic landscape. We will introduce inert tracer particles of defined sizes (20–200 nm) and charges into the nucleus (via microinjection or expression of tagged inert RNPs) and record their diffusion and anomalous subdiffusive behavior. By doing so across cell types and experimental perturbations, we will determine how</w:t>
      </w:r>
      <w:r>
        <w:t xml:space="preserve"> </w:t>
      </w:r>
      <w:r>
        <w:rPr>
          <w:b/>
          <w:bCs/>
        </w:rPr>
        <w:t xml:space="preserve">nucleoplasmic pore size and stiffness – influenced by chromatin and RNP density – selectively impede larger particles</w:t>
      </w:r>
      <w:hyperlink r:id="rId24">
        <w:r>
          <w:rPr>
            <w:rStyle w:val="Hyperlink"/>
          </w:rPr>
          <w:t xml:space="preserve">[31]</w:t>
        </w:r>
      </w:hyperlink>
      <w:hyperlink r:id="rId24">
        <w:r>
          <w:rPr>
            <w:rStyle w:val="Hyperlink"/>
          </w:rPr>
          <w:t xml:space="preserve">[32]</w:t>
        </w:r>
      </w:hyperlink>
      <w:r>
        <w:t xml:space="preserve">. Importantly,</w:t>
      </w:r>
      <w:r>
        <w:t xml:space="preserve"> </w:t>
      </w:r>
      <w:r>
        <w:rPr>
          <w:b/>
          <w:bCs/>
        </w:rPr>
        <w:t xml:space="preserve">we will manipulate nuclear “sol–gel” state and measure the consequences</w:t>
      </w:r>
      <w:r>
        <w:t xml:space="preserve">: for example,</w:t>
      </w:r>
      <w:r>
        <w:t xml:space="preserve"> </w:t>
      </w:r>
      <w:r>
        <w:rPr>
          <w:b/>
          <w:bCs/>
        </w:rPr>
        <w:t xml:space="preserve">inducing chromatin relaxation</w:t>
      </w:r>
      <w:r>
        <w:t xml:space="preserve"> </w:t>
      </w:r>
      <w:r>
        <w:t xml:space="preserve">by acute treatment with a potent HDAC inhibitor (to hyperacetylate histones), or by tethering an artificial chromatin decompaction system,</w:t>
      </w:r>
      <w:r>
        <w:t xml:space="preserve"> </w:t>
      </w:r>
      <w:r>
        <w:rPr>
          <w:b/>
          <w:bCs/>
        </w:rPr>
        <w:t xml:space="preserve">is predicted to increase effective pore size and decrease elastic modulus</w:t>
      </w:r>
      <w:r>
        <w:t xml:space="preserve">, speeding up particle diffusion. Conversely,</w:t>
      </w:r>
      <w:r>
        <w:t xml:space="preserve"> </w:t>
      </w:r>
      <w:r>
        <w:rPr>
          <w:b/>
          <w:bCs/>
        </w:rPr>
        <w:t xml:space="preserve">triggering chromatin condensation</w:t>
      </w:r>
      <w:r>
        <w:t xml:space="preserve"> </w:t>
      </w:r>
      <w:r>
        <w:t xml:space="preserve">(using a chemical inducer of heterochromatin or overexpressing HDAC2) should tighten the mesh and slow diffusion. We will also test the role of</w:t>
      </w:r>
      <w:r>
        <w:t xml:space="preserve"> </w:t>
      </w:r>
      <w:r>
        <w:rPr>
          <w:b/>
          <w:bCs/>
        </w:rPr>
        <w:t xml:space="preserve">RNA networks and liquid domains</w:t>
      </w:r>
      <w:r>
        <w:t xml:space="preserve"> </w:t>
      </w:r>
      <w:r>
        <w:t xml:space="preserve">in viscoelasticity by disrupting nuclear speckles or other condensates (using targeted RNAse or phase-separation inhibitors like 1,6-hexanediol) and observing changes in particle mobility. Additionally, leveraging an optogenetic system to release Ca²⁺ inside the nucleus, we will ask if a</w:t>
      </w:r>
      <w:r>
        <w:t xml:space="preserve"> </w:t>
      </w:r>
      <w:r>
        <w:rPr>
          <w:b/>
          <w:bCs/>
        </w:rPr>
        <w:t xml:space="preserve">nuclear calcium surge acutely fluidizes the nucleoplasm</w:t>
      </w:r>
      <w:r>
        <w:t xml:space="preserve"> </w:t>
      </w:r>
      <w:r>
        <w:t xml:space="preserve">– a direct biophysical readout of the Ca²⁺/chromatin-dependent transitions posited in our hypothesis. Through high-resolution particle tracking and MSD (mean squared displacement) analysis, we will extract local viscosity and elasticity parameters under each condition.</w:t>
      </w:r>
      <w:r>
        <w:t xml:space="preserve"> </w:t>
      </w:r>
      <w:r>
        <w:rPr>
          <w:b/>
          <w:bCs/>
        </w:rPr>
        <w:t xml:space="preserve">Aim 2 will yield a comprehensive biophysical characterization of the nucleus, revealing how chromatin mechanics and nucleoplasmic polymer networks together determine the intranuclear mobility of mRNPs.</w:t>
      </w:r>
      <w:r>
        <w:t xml:space="preserve"> </w:t>
      </w:r>
      <w:r>
        <w:t xml:space="preserve">These quantitative data will not only test our hypothesis that chromatin and RNA gel states act as synergistic barriers, but will also feed into a</w:t>
      </w:r>
      <w:r>
        <w:t xml:space="preserve"> </w:t>
      </w:r>
      <w:r>
        <w:rPr>
          <w:b/>
          <w:bCs/>
        </w:rPr>
        <w:t xml:space="preserve">predictive model</w:t>
      </w:r>
      <w:r>
        <w:t xml:space="preserve"> </w:t>
      </w:r>
      <w:r>
        <w:t xml:space="preserve">(developed in Aim 3) connecting nuclear structure to RNA transport kinetics</w:t>
      </w:r>
      <w:hyperlink r:id="rId21">
        <w:r>
          <w:rPr>
            <w:rStyle w:val="Hyperlink"/>
          </w:rPr>
          <w:t xml:space="preserve">[33]</w:t>
        </w:r>
      </w:hyperlink>
      <w:r>
        <w:t xml:space="preserve">.</w:t>
      </w:r>
    </w:p>
    <w:p>
      <w:pPr>
        <w:numPr>
          <w:ilvl w:val="0"/>
          <w:numId w:val="1001"/>
        </w:numPr>
      </w:pPr>
      <w:r>
        <w:rPr>
          <w:b/>
          <w:bCs/>
        </w:rPr>
        <w:t xml:space="preserve">Aim 3 –</w:t>
      </w:r>
      <w:r>
        <w:t xml:space="preserve"> </w:t>
      </w:r>
      <w:r>
        <w:t xml:space="preserve">Activity-Dependent RNA Transport as a Reporter of Nuclear State in Health and Alzheimer’s Disease</w:t>
      </w:r>
      <w:r>
        <w:rPr>
          <w:b/>
          <w:bCs/>
        </w:rPr>
        <w:t xml:space="preserve">:</w:t>
      </w:r>
      <w:r>
        <w:t xml:space="preserve"> </w:t>
      </w:r>
      <w:r>
        <w:rPr>
          <w:i/>
          <w:iCs/>
        </w:rPr>
        <w:t xml:space="preserve">We will determine how physiological stimulation and pathological conditions (AD-related) alter intranuclear RNA transport dynamics, using RNA processing as a readout of nuclear sol–gel transitions.</w:t>
      </w:r>
      <w:r>
        <w:t xml:space="preserve"> </w:t>
      </w:r>
      <w:r>
        <w:t xml:space="preserve">First,</w:t>
      </w:r>
      <w:r>
        <w:t xml:space="preserve"> </w:t>
      </w:r>
      <w:r>
        <w:rPr>
          <w:b/>
          <w:bCs/>
        </w:rPr>
        <w:t xml:space="preserve">we will probe the effect of mRNA splicing and “detention” on nuclear mobility</w:t>
      </w:r>
      <w:r>
        <w:t xml:space="preserve">. Using an MS2-tagged reporter gene (β-globin) with controllable intron retention</w:t>
      </w:r>
      <w:hyperlink r:id="rId21">
        <w:r>
          <w:rPr>
            <w:rStyle w:val="Hyperlink"/>
          </w:rPr>
          <w:t xml:space="preserve">[34]</w:t>
        </w:r>
      </w:hyperlink>
      <w:r>
        <w:t xml:space="preserve">, we will compare the nuclear export rates and trajectories of transcripts that are fully spliced versus those that retain an intron (and thus tend to accumulate at speckles). We hypothesize that</w:t>
      </w:r>
      <w:r>
        <w:t xml:space="preserve"> </w:t>
      </w:r>
      <w:r>
        <w:rPr>
          <w:b/>
          <w:bCs/>
        </w:rPr>
        <w:t xml:space="preserve">intron-retaining transcripts will exhibit prolonged nuclear residence and preferential localization to speckle (gel-like) domains</w:t>
      </w:r>
      <w:r>
        <w:t xml:space="preserve">, whereas fully spliced mRNAs will more readily sample the nucleoplasm and find nuclear pores. We will further see if</w:t>
      </w:r>
      <w:r>
        <w:t xml:space="preserve"> </w:t>
      </w:r>
      <w:r>
        <w:rPr>
          <w:b/>
          <w:bCs/>
        </w:rPr>
        <w:t xml:space="preserve">neuronal activation can expedite the release</w:t>
      </w:r>
      <w:r>
        <w:t xml:space="preserve"> </w:t>
      </w:r>
      <w:r>
        <w:t xml:space="preserve">of intron-retaining transcripts – i.e. does a burst of activity trigger the completion and export of mRNAs that were previously held in storage? Using single-molecule tracking of these reporter mRNPs in live neurons, we will quantify any increase in their effective diffusion or transport probability following stimulation. Next, to connect these findings to disease,</w:t>
      </w:r>
      <w:r>
        <w:t xml:space="preserve"> </w:t>
      </w:r>
      <w:r>
        <w:rPr>
          <w:b/>
          <w:bCs/>
        </w:rPr>
        <w:t xml:space="preserve">we will introduce an Alzheimer’s disease model</w:t>
      </w:r>
      <w:r>
        <w:t xml:space="preserve"> </w:t>
      </w:r>
      <w:r>
        <w:t xml:space="preserve">in which we expect nuclear plasticity to be impaired. In collaboration with an AD model system, we will use</w:t>
      </w:r>
      <w:r>
        <w:t xml:space="preserve"> </w:t>
      </w:r>
      <w:r>
        <w:rPr>
          <w:b/>
          <w:bCs/>
        </w:rPr>
        <w:t xml:space="preserve">primary neurons from a transgenic AD mouse (5xFAD)</w:t>
      </w:r>
      <w:r>
        <w:t xml:space="preserve"> </w:t>
      </w:r>
      <w:r>
        <w:t xml:space="preserve">or</w:t>
      </w:r>
      <w:r>
        <w:t xml:space="preserve"> </w:t>
      </w:r>
      <w:r>
        <w:rPr>
          <w:b/>
          <w:bCs/>
        </w:rPr>
        <w:t xml:space="preserve">human iPSC-derived neurons carrying familial AD mutations</w:t>
      </w:r>
      <w:r>
        <w:t xml:space="preserve"> </w:t>
      </w:r>
      <w:r>
        <w:t xml:space="preserve">that exhibit AD-like pathology. We will assess their baseline chromatin state (e.g. levels of heterochromatin marks and HDAC activity) and nucleoplasmic diffusion properties (via the same tracer particle and mRNA tracking tools from Aim 2).</w:t>
      </w:r>
      <w:r>
        <w:t xml:space="preserve"> </w:t>
      </w:r>
      <w:r>
        <w:rPr>
          <w:b/>
          <w:bCs/>
        </w:rPr>
        <w:t xml:space="preserve">Our hypothesis predicts that AD neurons will show abnormally slow intranuclear mRNA diffusion and higher incidence of RNA retention foci, consistent with a “locked” gel state.</w:t>
      </w:r>
      <w:r>
        <w:t xml:space="preserve"> </w:t>
      </w:r>
      <w:r>
        <w:t xml:space="preserve">We will then test a</w:t>
      </w:r>
      <w:r>
        <w:t xml:space="preserve"> </w:t>
      </w:r>
      <w:r>
        <w:rPr>
          <w:i/>
          <w:iCs/>
        </w:rPr>
        <w:t xml:space="preserve">rescue</w:t>
      </w:r>
      <w:r>
        <w:t xml:space="preserve">: treating the AD-model neurons with a</w:t>
      </w:r>
      <w:r>
        <w:t xml:space="preserve"> </w:t>
      </w:r>
      <w:r>
        <w:rPr>
          <w:b/>
          <w:bCs/>
        </w:rPr>
        <w:t xml:space="preserve">histone acetylation-boosting intervention</w:t>
      </w:r>
      <w:r>
        <w:t xml:space="preserve"> </w:t>
      </w:r>
      <w:r>
        <w:t xml:space="preserve">(such as an HDAC2-selective inhibitor or overexpression of CBP/p300)</w:t>
      </w:r>
      <w:r>
        <w:t xml:space="preserve"> </w:t>
      </w:r>
      <w:r>
        <w:rPr>
          <w:b/>
          <w:bCs/>
        </w:rPr>
        <w:t xml:space="preserve">or with controlled nuclear Ca²⁺ elevation</w:t>
      </w:r>
      <w:r>
        <w:t xml:space="preserve">. We anticipate these treatments will</w:t>
      </w:r>
      <w:r>
        <w:t xml:space="preserve"> </w:t>
      </w:r>
      <w:r>
        <w:rPr>
          <w:b/>
          <w:bCs/>
        </w:rPr>
        <w:t xml:space="preserve">increase chromatin accessibility and restore some mRNA mobility/export</w:t>
      </w:r>
      <w:r>
        <w:t xml:space="preserve">, paralleling the pro-cognitive effects of HDAC inhibition observed in AD models</w:t>
      </w:r>
      <w:hyperlink r:id="rId23">
        <w:r>
          <w:rPr>
            <w:rStyle w:val="Hyperlink"/>
          </w:rPr>
          <w:t xml:space="preserve">[19]</w:t>
        </w:r>
      </w:hyperlink>
      <w:hyperlink r:id="rId23">
        <w:r>
          <w:rPr>
            <w:rStyle w:val="Hyperlink"/>
          </w:rPr>
          <w:t xml:space="preserve">[20]</w:t>
        </w:r>
      </w:hyperlink>
      <w:r>
        <w:t xml:space="preserve">. Finally, integrating data from all aims,</w:t>
      </w:r>
      <w:r>
        <w:t xml:space="preserve"> </w:t>
      </w:r>
      <w:r>
        <w:rPr>
          <w:b/>
          <w:bCs/>
        </w:rPr>
        <w:t xml:space="preserve">we will develop a predictive biophysical model (Aim 3.2)</w:t>
      </w:r>
      <w:r>
        <w:t xml:space="preserve"> </w:t>
      </w:r>
      <w:r>
        <w:t xml:space="preserve">that formalizes how changes in nuclear “gel” parameters (pore size, binding site density, chromatin compaction) impact mRNA transport rates</w:t>
      </w:r>
      <w:hyperlink r:id="rId21">
        <w:r>
          <w:rPr>
            <w:rStyle w:val="Hyperlink"/>
          </w:rPr>
          <w:t xml:space="preserve">[33]</w:t>
        </w:r>
      </w:hyperlink>
      <w:r>
        <w:t xml:space="preserve">. This model will be informed by</w:t>
      </w:r>
      <w:r>
        <w:t xml:space="preserve"> </w:t>
      </w:r>
      <w:r>
        <w:rPr>
          <w:b/>
          <w:bCs/>
        </w:rPr>
        <w:t xml:space="preserve">our experimental measurements</w:t>
      </w:r>
      <w:r>
        <w:t xml:space="preserve"> </w:t>
      </w:r>
      <w:r>
        <w:t xml:space="preserve">and will be used to simulate scenarios of interest (e.g. a youthful neuron vs. an aged neuron nucleus) to pinpoint which changes account for the transport defects.</w:t>
      </w:r>
      <w:r>
        <w:t xml:space="preserve"> </w:t>
      </w:r>
      <w:r>
        <w:rPr>
          <w:b/>
          <w:bCs/>
        </w:rPr>
        <w:t xml:space="preserve">Aim 3 will thereby validate RNA transport as a sensitive functional reporter of the nuclear biophysical state</w:t>
      </w:r>
      <w:r>
        <w:t xml:space="preserve">, and apply this framework to explain pathological nuclear dysfunction in AD.</w:t>
      </w:r>
    </w:p>
    <w:bookmarkEnd w:id="27"/>
    <w:bookmarkStart w:id="28" w:name="innovation-and-anticipated-significance"/>
    <w:p>
      <w:pPr>
        <w:pStyle w:val="Heading2"/>
      </w:pPr>
      <w:r>
        <w:t xml:space="preserve">Innovation and Anticipated Significance</w:t>
      </w:r>
    </w:p>
    <w:p>
      <w:pPr>
        <w:pStyle w:val="FirstParagraph"/>
      </w:pPr>
      <w:r>
        <w:t xml:space="preserve">This research is</w:t>
      </w:r>
      <w:r>
        <w:t xml:space="preserve"> </w:t>
      </w:r>
      <w:r>
        <w:rPr>
          <w:b/>
          <w:bCs/>
        </w:rPr>
        <w:t xml:space="preserve">highly innovative</w:t>
      </w:r>
      <w:r>
        <w:t xml:space="preserve"> </w:t>
      </w:r>
      <w:r>
        <w:t xml:space="preserve">in that it bridges molecular neurobiology, biophysics, and pathology to address a largely unexplored question:</w:t>
      </w:r>
      <w:r>
        <w:t xml:space="preserve"> </w:t>
      </w:r>
      <w:r>
        <w:rPr>
          <w:b/>
          <w:bCs/>
        </w:rPr>
        <w:t xml:space="preserve">How do active changes in nuclear material properties regulate gene expression?</w:t>
      </w:r>
      <w:r>
        <w:t xml:space="preserve"> </w:t>
      </w:r>
      <w:r>
        <w:t xml:space="preserve">We introduce the concept of</w:t>
      </w:r>
      <w:r>
        <w:t xml:space="preserve"> </w:t>
      </w:r>
      <w:r>
        <w:rPr>
          <w:b/>
          <w:bCs/>
        </w:rPr>
        <w:t xml:space="preserve">“nuclear plasticity” akin to synaptic plasticity</w:t>
      </w:r>
      <w:r>
        <w:t xml:space="preserve">, proposing that the nucleus itself undergoes reversible phase transitions (through chromatin and RNP reorganization) that are critical for cellular plasticity (e.g. learning). This represents a paradigm shift from viewing the nucleus as a static container of DNA to a dynamic, tunable organelle. Our focus on</w:t>
      </w:r>
      <w:r>
        <w:t xml:space="preserve"> </w:t>
      </w:r>
      <w:r>
        <w:rPr>
          <w:b/>
          <w:bCs/>
        </w:rPr>
        <w:t xml:space="preserve">stimulus-induced chromatin gel–sol transitions</w:t>
      </w:r>
      <w:r>
        <w:t xml:space="preserve"> </w:t>
      </w:r>
      <w:r>
        <w:t xml:space="preserve">is novel – while chromatin remodeling and phase separation have each been studied, their coordination to modulate nuclear-wide transport has not. Technically, our approach is pioneering by applying single-molecule tracking, advanced microscopy, and microrheology inside nuclei of live cells, providing</w:t>
      </w:r>
      <w:r>
        <w:t xml:space="preserve"> </w:t>
      </w:r>
      <w:r>
        <w:rPr>
          <w:b/>
          <w:bCs/>
        </w:rPr>
        <w:t xml:space="preserve">unprecedented real-time insight into nuclear mechanics</w:t>
      </w:r>
      <w:r>
        <w:t xml:space="preserve">. We further innovate by examining these phenomena in an</w:t>
      </w:r>
      <w:r>
        <w:t xml:space="preserve"> </w:t>
      </w:r>
      <w:r>
        <w:rPr>
          <w:b/>
          <w:bCs/>
        </w:rPr>
        <w:t xml:space="preserve">Alzheimer’s disease context</w:t>
      </w:r>
      <w:r>
        <w:t xml:space="preserve">, which to our knowledge is the first attempt to directly link nuclear biophysical state to neurodegenerative phenotypes of RNA mislocalization.</w:t>
      </w:r>
    </w:p>
    <w:p>
      <w:pPr>
        <w:pStyle w:val="BodyText"/>
      </w:pPr>
      <w:r>
        <w:rPr>
          <w:b/>
          <w:bCs/>
        </w:rPr>
        <w:t xml:space="preserve">Significance:</w:t>
      </w:r>
      <w:r>
        <w:t xml:space="preserve"> </w:t>
      </w:r>
      <w:r>
        <w:t xml:space="preserve">This work will yield fundamental understanding of how</w:t>
      </w:r>
      <w:r>
        <w:t xml:space="preserve"> </w:t>
      </w:r>
      <w:r>
        <w:rPr>
          <w:b/>
          <w:bCs/>
        </w:rPr>
        <w:t xml:space="preserve">physical properties of the nucleus control biological outcomes</w:t>
      </w:r>
      <w:r>
        <w:t xml:space="preserve">. By illuminating how nuclear sol–gel transitions affect mRNA fate, we could explain long-standing mysteries such as why certain mRNAs are retained in neurons or how rapid gene expression bursts are orchestrated during memory formation. Moreover, the translational implications are considerable. If</w:t>
      </w:r>
      <w:r>
        <w:t xml:space="preserve"> </w:t>
      </w:r>
      <w:r>
        <w:rPr>
          <w:b/>
          <w:bCs/>
        </w:rPr>
        <w:t xml:space="preserve">nuclear “stiffness” contributes to age-related gene dysregulation</w:t>
      </w:r>
      <w:r>
        <w:t xml:space="preserve">, then targeting the pathways that restore nuclear fluidity (for instance,</w:t>
      </w:r>
      <w:r>
        <w:t xml:space="preserve"> </w:t>
      </w:r>
      <w:r>
        <w:rPr>
          <w:b/>
          <w:bCs/>
        </w:rPr>
        <w:t xml:space="preserve">small-molecule modulators of histone acetylation or nuclear Ca²⁺ signaling</w:t>
      </w:r>
      <w:r>
        <w:t xml:space="preserve">) could become a strategy to ameliorate cognitive decline. Our findings might suggest biomarkers (e.g. extent of chromatin condensation or intranuclear RNA mobility) for early detection of cellular aging or neurodegenerative states. In the long term, therapies that</w:t>
      </w:r>
      <w:r>
        <w:t xml:space="preserve"> </w:t>
      </w:r>
      <w:r>
        <w:rPr>
          <w:b/>
          <w:bCs/>
        </w:rPr>
        <w:t xml:space="preserve">rejuvenate nuclear dynamics</w:t>
      </w:r>
      <w:r>
        <w:t xml:space="preserve"> </w:t>
      </w:r>
      <w:r>
        <w:t xml:space="preserve">– essentially reactivating the youthful, responsive nucleus – could help maintain genome function and adaptability in aging tissues. In summary, by centering on the</w:t>
      </w:r>
      <w:r>
        <w:t xml:space="preserve"> </w:t>
      </w:r>
      <w:r>
        <w:rPr>
          <w:b/>
          <w:bCs/>
        </w:rPr>
        <w:t xml:space="preserve">mechanistic interplay between nuclear architecture and RNA transport</w:t>
      </w:r>
      <w:r>
        <w:t xml:space="preserve">, this proposal will advance our understanding of gene regulation in space and time, and chart new directions for combating diseases of impaired nuclear function like Alzheimer’s disease. The knowledge gained will be broadly relevant to cell biology and medicine, as nuclear structural changes are a common theme in development, aging, and disease.</w:t>
      </w:r>
    </w:p>
    <w:bookmarkEnd w:id="28"/>
    <w:bookmarkEnd w:id="29"/>
    <w:bookmarkEnd w:id="30"/>
    <w:p>
      <w:r>
        <w:pict>
          <v:rect style="width:0;height:1.5pt" o:hralign="center" o:hrstd="t" o:hr="t"/>
        </w:pict>
      </w:r>
    </w:p>
    <w:bookmarkStart w:id="3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[30]</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r>
        <w:t xml:space="preserve">Proposalv14.pdf</w:t>
      </w:r>
    </w:p>
    <w:p>
      <w:pPr>
        <w:pStyle w:val="BodyText"/>
      </w:pPr>
      <w:hyperlink r:id="rId21">
        <w:r>
          <w:rPr>
            <w:rStyle w:val="Hyperlink"/>
          </w:rPr>
          <w:t xml:space="preserve">https://drive.google.com/file/d/1Y3KnBtbZyaD84WdYF66eb2hzy3sM9jEv</w:t>
        </w:r>
      </w:hyperlink>
    </w:p>
    <w:p>
      <w:pPr>
        <w:pStyle w:val="BodyText"/>
      </w:pP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r>
        <w:t xml:space="preserve">Nuclear Calcium Signaling Review</w:t>
      </w:r>
    </w:p>
    <w:p>
      <w:pPr>
        <w:pStyle w:val="BodyText"/>
      </w:pPr>
      <w:hyperlink r:id="rId22">
        <w:r>
          <w:rPr>
            <w:rStyle w:val="Hyperlink"/>
          </w:rPr>
          <w:t xml:space="preserve">https://docs.google.com/document/d/1m5EjuLZkKNX6HGsjwWCMw08dMZCXeRvwkGdOtEzXDcw</w:t>
        </w:r>
      </w:hyperlink>
    </w:p>
    <w:p>
      <w:pPr>
        <w:pStyle w:val="BodyText"/>
      </w:pPr>
      <w:hyperlink r:id="rId23">
        <w:r>
          <w:rPr>
            <w:rStyle w:val="Hyperlink"/>
          </w:rPr>
          <w:t xml:space="preserve">[18]</w:t>
        </w:r>
      </w:hyperlink>
      <w:r>
        <w:t xml:space="preserve"> </w:t>
      </w:r>
      <w:hyperlink r:id="rId23">
        <w:r>
          <w:rPr>
            <w:rStyle w:val="Hyperlink"/>
          </w:rPr>
          <w:t xml:space="preserve">[19]</w:t>
        </w:r>
      </w:hyperlink>
      <w:r>
        <w:t xml:space="preserve"> </w:t>
      </w:r>
      <w:hyperlink r:id="rId23">
        <w:r>
          <w:rPr>
            <w:rStyle w:val="Hyperlink"/>
          </w:rPr>
          <w:t xml:space="preserve">[20]</w:t>
        </w:r>
      </w:hyperlink>
      <w:r>
        <w:t xml:space="preserve"> </w:t>
      </w:r>
      <w:hyperlink r:id="rId23">
        <w:r>
          <w:rPr>
            <w:rStyle w:val="Hyperlink"/>
          </w:rPr>
          <w:t xml:space="preserve">[21]</w:t>
        </w:r>
      </w:hyperlink>
      <w:r>
        <w:t xml:space="preserve"> </w:t>
      </w:r>
      <w:hyperlink r:id="rId23">
        <w:r>
          <w:rPr>
            <w:rStyle w:val="Hyperlink"/>
          </w:rPr>
          <w:t xml:space="preserve">[22]</w:t>
        </w:r>
      </w:hyperlink>
      <w:r>
        <w:t xml:space="preserve"> </w:t>
      </w:r>
      <w:hyperlink r:id="rId23">
        <w:r>
          <w:rPr>
            <w:rStyle w:val="Hyperlink"/>
          </w:rPr>
          <w:t xml:space="preserve">[23]</w:t>
        </w:r>
      </w:hyperlink>
      <w:r>
        <w:t xml:space="preserve"> </w:t>
      </w:r>
      <w:r>
        <w:t xml:space="preserve">Guan-2009-HDAC2 negatively regulates memory fo.pdf</w:t>
      </w:r>
    </w:p>
    <w:p>
      <w:pPr>
        <w:pStyle w:val="BodyText"/>
      </w:pPr>
      <w:hyperlink r:id="rId23">
        <w:r>
          <w:rPr>
            <w:rStyle w:val="Hyperlink"/>
          </w:rPr>
          <w:t xml:space="preserve">https://drive.google.com/file/d/18GFtZiZC3J324JgW5Vp-BTz88Zd7UqHb</w:t>
        </w:r>
      </w:hyperlink>
    </w:p>
    <w:p>
      <w:pPr>
        <w:pStyle w:val="BodyText"/>
      </w:pPr>
      <w:hyperlink r:id="rId24">
        <w:r>
          <w:rPr>
            <w:rStyle w:val="Hyperlink"/>
          </w:rPr>
          <w:t xml:space="preserve">[24]</w:t>
        </w:r>
      </w:hyperlink>
      <w:r>
        <w:t xml:space="preserve"> </w:t>
      </w:r>
      <w:hyperlink r:id="rId24">
        <w:r>
          <w:rPr>
            <w:rStyle w:val="Hyperlink"/>
          </w:rPr>
          <w:t xml:space="preserve">[25]</w:t>
        </w:r>
      </w:hyperlink>
      <w:r>
        <w:t xml:space="preserve"> </w:t>
      </w:r>
      <w:hyperlink r:id="rId24">
        <w:r>
          <w:rPr>
            <w:rStyle w:val="Hyperlink"/>
          </w:rPr>
          <w:t xml:space="preserve">[26]</w:t>
        </w:r>
      </w:hyperlink>
      <w:r>
        <w:t xml:space="preserve"> </w:t>
      </w:r>
      <w:hyperlink r:id="rId24">
        <w:r>
          <w:rPr>
            <w:rStyle w:val="Hyperlink"/>
          </w:rPr>
          <w:t xml:space="preserve">[27]</w:t>
        </w:r>
      </w:hyperlink>
      <w:r>
        <w:t xml:space="preserve"> </w:t>
      </w:r>
      <w:hyperlink r:id="rId24">
        <w:r>
          <w:rPr>
            <w:rStyle w:val="Hyperlink"/>
          </w:rPr>
          <w:t xml:space="preserve">[28]</w:t>
        </w:r>
      </w:hyperlink>
      <w:r>
        <w:t xml:space="preserve"> </w:t>
      </w:r>
      <w:hyperlink r:id="rId24">
        <w:r>
          <w:rPr>
            <w:rStyle w:val="Hyperlink"/>
          </w:rPr>
          <w:t xml:space="preserve">[29]</w:t>
        </w:r>
      </w:hyperlink>
      <w:r>
        <w:t xml:space="preserve"> </w:t>
      </w:r>
      <w:hyperlink r:id="rId24">
        <w:r>
          <w:rPr>
            <w:rStyle w:val="Hyperlink"/>
          </w:rPr>
          <w:t xml:space="preserve">[31]</w:t>
        </w:r>
      </w:hyperlink>
      <w:r>
        <w:t xml:space="preserve"> </w:t>
      </w:r>
      <w:hyperlink r:id="rId24">
        <w:r>
          <w:rPr>
            <w:rStyle w:val="Hyperlink"/>
          </w:rPr>
          <w:t xml:space="preserve">[32]</w:t>
        </w:r>
      </w:hyperlink>
      <w:r>
        <w:t xml:space="preserve"> </w:t>
      </w:r>
      <w:r>
        <w:t xml:space="preserve">CIHRRNA2024September.docx</w:t>
      </w:r>
    </w:p>
    <w:p>
      <w:pPr>
        <w:pStyle w:val="BodyText"/>
      </w:pPr>
      <w:hyperlink r:id="rId24">
        <w:r>
          <w:rPr>
            <w:rStyle w:val="Hyperlink"/>
          </w:rPr>
          <w:t xml:space="preserve">https://drive.google.com/file/d/1q7WEJVaHOS3x5HiAWWHxNwati2mm5yZ9</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cs.google.com/document/d/1m5EjuLZkKNX6HGsjwWCMw08dMZCXeRvwkGdOtEzXDcw" TargetMode="External" /><Relationship Type="http://schemas.openxmlformats.org/officeDocument/2006/relationships/hyperlink" Id="rId23" Target="https://drive.google.com/file/d/18GFtZiZC3J324JgW5Vp-BTz88Zd7UqHb" TargetMode="External" /><Relationship Type="http://schemas.openxmlformats.org/officeDocument/2006/relationships/hyperlink" Id="rId21" Target="https://drive.google.com/file/d/1Y3KnBtbZyaD84WdYF66eb2hzy3sM9jEv" TargetMode="External" /><Relationship Type="http://schemas.openxmlformats.org/officeDocument/2006/relationships/hyperlink" Id="rId24" Target="https://drive.google.com/file/d/1q7WEJVaHOS3x5HiAWWHxNwati2mm5yZ9" TargetMode="External" /></Relationships>
</file>

<file path=word/_rels/footnotes.xml.rels><?xml version="1.0" encoding="UTF-8"?><Relationships xmlns="http://schemas.openxmlformats.org/package/2006/relationships"><Relationship Type="http://schemas.openxmlformats.org/officeDocument/2006/relationships/hyperlink" Id="rId22" Target="https://docs.google.com/document/d/1m5EjuLZkKNX6HGsjwWCMw08dMZCXeRvwkGdOtEzXDcw" TargetMode="External" /><Relationship Type="http://schemas.openxmlformats.org/officeDocument/2006/relationships/hyperlink" Id="rId23" Target="https://drive.google.com/file/d/18GFtZiZC3J324JgW5Vp-BTz88Zd7UqHb" TargetMode="External" /><Relationship Type="http://schemas.openxmlformats.org/officeDocument/2006/relationships/hyperlink" Id="rId21" Target="https://drive.google.com/file/d/1Y3KnBtbZyaD84WdYF66eb2hzy3sM9jEv" TargetMode="External" /><Relationship Type="http://schemas.openxmlformats.org/officeDocument/2006/relationships/hyperlink" Id="rId24" Target="https://drive.google.com/file/d/1q7WEJVaHOS3x5HiAWWHxNwati2mm5yZ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2025-08-13T02:22:41Z</dcterms:created>
  <dcterms:modified xsi:type="dcterms:W3CDTF">2025-08-13T02:22:41Z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