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FB2F" w14:textId="77777777" w:rsidR="00BC39F7" w:rsidRDefault="00FF4C4F">
      <w:pPr>
        <w:pStyle w:val="Title"/>
      </w:pPr>
      <w:r>
        <w:t>Chromatin biophysics: nucleosome interactions, genome folding and mechanical response</w:t>
      </w:r>
    </w:p>
    <w:p w14:paraId="16D0E3AA" w14:textId="77777777" w:rsidR="00BC39F7" w:rsidRDefault="00FF4C4F">
      <w:pPr>
        <w:pStyle w:val="Subtitle"/>
      </w:pPr>
      <w:r>
        <w:t>A multiscale account connecting molecular accessibility to heterogeneous structure, chromosome dynamics and force transmission.</w:t>
      </w:r>
    </w:p>
    <w:p w14:paraId="66BA9CF7" w14:textId="77777777" w:rsidR="00BC39F7" w:rsidRDefault="00FF4C4F">
      <w:pPr>
        <w:spacing w:before="200" w:after="320"/>
      </w:pPr>
      <w:r>
        <w:rPr>
          <w:color w:val="087B78"/>
          <w:sz w:val="20"/>
          <w:szCs w:val="20"/>
        </w:rPr>
        <w:t>CellNucleus · Current research review · 12 October 2026</w:t>
      </w:r>
    </w:p>
    <w:p w14:paraId="20249004" w14:textId="77777777" w:rsidR="00BC39F7" w:rsidRDefault="00FF4C4F">
      <w:pPr>
        <w:pStyle w:val="Heading1"/>
      </w:pPr>
      <w:bookmarkStart w:id="0" w:name="_Toc242668326"/>
      <w:r>
        <w:t>Abstract</w:t>
      </w:r>
      <w:bookmarkEnd w:id="0"/>
    </w:p>
    <w:p w14:paraId="35B5AC97" w14:textId="64331D87" w:rsidR="00BC39F7" w:rsidRDefault="00FF4C4F">
      <w:r>
        <w:t>Chromatin is a mechanically and chemically heterogeneous polymer assembled from DNA, histones and associated factors. Nucleosome structure and transient DNA exposure provide a molecular foundation; array composition, histone modifications and linker histones alter interactions above that scale. Native structural studies now resolve locally variable nucleosome arrangements, while live measurements and chromosome-contact maps address different scales of genome organization.</w:t>
      </w:r>
      <w:hyperlink r:id="rId7" w:history="1">
        <w:r>
          <w:rPr>
            <w:color w:val="087B78"/>
            <w:sz w:val="18"/>
            <w:szCs w:val="18"/>
          </w:rPr>
          <w:t xml:space="preserve"> [7]</w:t>
        </w:r>
      </w:hyperlink>
      <w:hyperlink r:id="rId8" w:history="1">
        <w:r>
          <w:rPr>
            <w:color w:val="087B78"/>
            <w:sz w:val="18"/>
            <w:szCs w:val="18"/>
          </w:rPr>
          <w:t xml:space="preserve"> [8]</w:t>
        </w:r>
      </w:hyperlink>
      <w:hyperlink r:id="rId9" w:history="1">
        <w:r>
          <w:rPr>
            <w:color w:val="087B78"/>
            <w:sz w:val="18"/>
            <w:szCs w:val="18"/>
          </w:rPr>
          <w:t xml:space="preserve"> [10]</w:t>
        </w:r>
      </w:hyperlink>
      <w:hyperlink r:id="rId10" w:history="1">
        <w:r>
          <w:rPr>
            <w:color w:val="087B78"/>
            <w:sz w:val="18"/>
            <w:szCs w:val="18"/>
          </w:rPr>
          <w:t xml:space="preserve"> [11]</w:t>
        </w:r>
      </w:hyperlink>
      <w:hyperlink r:id="rId11" w:history="1">
        <w:r>
          <w:rPr>
            <w:color w:val="087B78"/>
            <w:sz w:val="18"/>
            <w:szCs w:val="18"/>
          </w:rPr>
          <w:t xml:space="preserve"> [14]</w:t>
        </w:r>
      </w:hyperlink>
      <w:hyperlink r:id="rId12" w:history="1">
        <w:r>
          <w:rPr>
            <w:color w:val="087B78"/>
            <w:sz w:val="18"/>
            <w:szCs w:val="18"/>
          </w:rPr>
          <w:t xml:space="preserve"> [15]</w:t>
        </w:r>
      </w:hyperlink>
    </w:p>
    <w:p w14:paraId="15AAED1B" w14:textId="11AA39B2" w:rsidR="00BC39F7" w:rsidRDefault="00FF4C4F">
      <w:r>
        <w:t>A useful current model must accommodate multiple physical behaviors. Purified arrays can form liquid-like condensates, yet mammalian chromocenters need not behave as HP1-driven liquid droplets. Condensin can actively extrude DNA loops, and the lifetime of a cellular looped state can be inferred from locus trajectories. These observations support an integrated physical view in which interactions, energy-dependent activities, nuclear coupling and measurement scale determine the observed behavior.</w:t>
      </w:r>
      <w:hyperlink r:id="rId13" w:history="1">
        <w:r>
          <w:rPr>
            <w:color w:val="087B78"/>
            <w:sz w:val="18"/>
            <w:szCs w:val="18"/>
          </w:rPr>
          <w:t xml:space="preserve"> [12]</w:t>
        </w:r>
      </w:hyperlink>
      <w:hyperlink r:id="rId14" w:history="1">
        <w:r>
          <w:rPr>
            <w:color w:val="087B78"/>
            <w:sz w:val="18"/>
            <w:szCs w:val="18"/>
          </w:rPr>
          <w:t xml:space="preserve"> [13]</w:t>
        </w:r>
      </w:hyperlink>
      <w:hyperlink r:id="rId15" w:history="1">
        <w:r>
          <w:rPr>
            <w:color w:val="087B78"/>
            <w:sz w:val="18"/>
            <w:szCs w:val="18"/>
          </w:rPr>
          <w:t xml:space="preserve"> [2]</w:t>
        </w:r>
      </w:hyperlink>
      <w:hyperlink r:id="rId16" w:history="1">
        <w:r>
          <w:rPr>
            <w:color w:val="087B78"/>
            <w:sz w:val="18"/>
            <w:szCs w:val="18"/>
          </w:rPr>
          <w:t xml:space="preserve"> [17]</w:t>
        </w:r>
      </w:hyperlink>
    </w:p>
    <w:p w14:paraId="5956ECE3" w14:textId="77777777" w:rsidR="00BC39F7" w:rsidRDefault="00FF4C4F">
      <w:pPr>
        <w:pageBreakBefore/>
        <w:spacing w:before="330"/>
      </w:pPr>
      <w:r>
        <w:rPr>
          <w:b/>
          <w:bCs/>
          <w:color w:val="173B4C"/>
          <w:sz w:val="32"/>
          <w:szCs w:val="32"/>
        </w:rPr>
        <w:lastRenderedPageBreak/>
        <w:t>Contents</w:t>
      </w:r>
    </w:p>
    <w:sdt>
      <w:sdtPr>
        <w:alias w:val="Contents"/>
        <w:id w:val="-797676882"/>
      </w:sdtPr>
      <w:sdtEndPr/>
      <w:sdtContent>
        <w:p w14:paraId="68648B27" w14:textId="1A02D22C" w:rsidR="00BA0580" w:rsidRDefault="00FF4C4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26" w:history="1">
            <w:r w:rsidR="00BA0580" w:rsidRPr="00751559">
              <w:rPr>
                <w:rStyle w:val="Hyperlink"/>
                <w:noProof/>
              </w:rPr>
              <w:t>Abstract</w:t>
            </w:r>
            <w:r w:rsidR="00BA0580">
              <w:rPr>
                <w:noProof/>
              </w:rPr>
              <w:tab/>
            </w:r>
            <w:r w:rsidR="00BA0580">
              <w:rPr>
                <w:noProof/>
              </w:rPr>
              <w:fldChar w:fldCharType="begin"/>
            </w:r>
            <w:r w:rsidR="00BA0580">
              <w:rPr>
                <w:noProof/>
              </w:rPr>
              <w:instrText xml:space="preserve"> PAGEREF _Toc242668326 \h </w:instrText>
            </w:r>
            <w:r w:rsidR="00BA0580">
              <w:rPr>
                <w:noProof/>
              </w:rPr>
            </w:r>
            <w:r w:rsidR="00BA0580">
              <w:rPr>
                <w:noProof/>
              </w:rPr>
              <w:fldChar w:fldCharType="separate"/>
            </w:r>
            <w:r w:rsidR="00BA0580">
              <w:rPr>
                <w:noProof/>
              </w:rPr>
              <w:t>1</w:t>
            </w:r>
            <w:r w:rsidR="00BA0580">
              <w:rPr>
                <w:noProof/>
              </w:rPr>
              <w:fldChar w:fldCharType="end"/>
            </w:r>
          </w:hyperlink>
        </w:p>
        <w:p w14:paraId="743B3D71" w14:textId="7C950C45"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7" w:history="1">
            <w:r w:rsidRPr="00751559">
              <w:rPr>
                <w:rStyle w:val="Hyperlink"/>
                <w:noProof/>
              </w:rPr>
              <w:t>1. The nucleosome as a physical building block</w:t>
            </w:r>
            <w:r>
              <w:rPr>
                <w:noProof/>
              </w:rPr>
              <w:tab/>
            </w:r>
            <w:r>
              <w:rPr>
                <w:noProof/>
              </w:rPr>
              <w:fldChar w:fldCharType="begin"/>
            </w:r>
            <w:r>
              <w:rPr>
                <w:noProof/>
              </w:rPr>
              <w:instrText xml:space="preserve"> PAGEREF _Toc242668327 \h </w:instrText>
            </w:r>
            <w:r>
              <w:rPr>
                <w:noProof/>
              </w:rPr>
            </w:r>
            <w:r>
              <w:rPr>
                <w:noProof/>
              </w:rPr>
              <w:fldChar w:fldCharType="separate"/>
            </w:r>
            <w:r>
              <w:rPr>
                <w:noProof/>
              </w:rPr>
              <w:t>2</w:t>
            </w:r>
            <w:r>
              <w:rPr>
                <w:noProof/>
              </w:rPr>
              <w:fldChar w:fldCharType="end"/>
            </w:r>
          </w:hyperlink>
        </w:p>
        <w:p w14:paraId="1FB115EF" w14:textId="37D43606"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8" w:history="1">
            <w:r w:rsidRPr="00751559">
              <w:rPr>
                <w:rStyle w:val="Hyperlink"/>
                <w:noProof/>
              </w:rPr>
              <w:t>2. Interactions are sensitive to composition and chemical state</w:t>
            </w:r>
            <w:r>
              <w:rPr>
                <w:noProof/>
              </w:rPr>
              <w:tab/>
            </w:r>
            <w:r>
              <w:rPr>
                <w:noProof/>
              </w:rPr>
              <w:fldChar w:fldCharType="begin"/>
            </w:r>
            <w:r>
              <w:rPr>
                <w:noProof/>
              </w:rPr>
              <w:instrText xml:space="preserve"> PAGEREF _Toc242668328 \h </w:instrText>
            </w:r>
            <w:r>
              <w:rPr>
                <w:noProof/>
              </w:rPr>
            </w:r>
            <w:r>
              <w:rPr>
                <w:noProof/>
              </w:rPr>
              <w:fldChar w:fldCharType="separate"/>
            </w:r>
            <w:r>
              <w:rPr>
                <w:noProof/>
              </w:rPr>
              <w:t>3</w:t>
            </w:r>
            <w:r>
              <w:rPr>
                <w:noProof/>
              </w:rPr>
              <w:fldChar w:fldCharType="end"/>
            </w:r>
          </w:hyperlink>
        </w:p>
        <w:p w14:paraId="67A32B4B" w14:textId="412BE3FA"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29" w:history="1">
            <w:r w:rsidRPr="00751559">
              <w:rPr>
                <w:rStyle w:val="Hyperlink"/>
                <w:noProof/>
              </w:rPr>
              <w:t>3. Force measurements distinguish deformation from disruption</w:t>
            </w:r>
            <w:r>
              <w:rPr>
                <w:noProof/>
              </w:rPr>
              <w:tab/>
            </w:r>
            <w:r>
              <w:rPr>
                <w:noProof/>
              </w:rPr>
              <w:fldChar w:fldCharType="begin"/>
            </w:r>
            <w:r>
              <w:rPr>
                <w:noProof/>
              </w:rPr>
              <w:instrText xml:space="preserve"> PAGEREF _Toc242668329 \h </w:instrText>
            </w:r>
            <w:r>
              <w:rPr>
                <w:noProof/>
              </w:rPr>
            </w:r>
            <w:r>
              <w:rPr>
                <w:noProof/>
              </w:rPr>
              <w:fldChar w:fldCharType="separate"/>
            </w:r>
            <w:r>
              <w:rPr>
                <w:noProof/>
              </w:rPr>
              <w:t>3</w:t>
            </w:r>
            <w:r>
              <w:rPr>
                <w:noProof/>
              </w:rPr>
              <w:fldChar w:fldCharType="end"/>
            </w:r>
          </w:hyperlink>
        </w:p>
        <w:p w14:paraId="79C0C24C" w14:textId="630333F2"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0" w:history="1">
            <w:r w:rsidRPr="00751559">
              <w:rPr>
                <w:rStyle w:val="Hyperlink"/>
                <w:noProof/>
              </w:rPr>
              <w:t>4. Native architecture is heterogeneous</w:t>
            </w:r>
            <w:r>
              <w:rPr>
                <w:noProof/>
              </w:rPr>
              <w:tab/>
            </w:r>
            <w:r>
              <w:rPr>
                <w:noProof/>
              </w:rPr>
              <w:fldChar w:fldCharType="begin"/>
            </w:r>
            <w:r>
              <w:rPr>
                <w:noProof/>
              </w:rPr>
              <w:instrText xml:space="preserve"> PAGEREF _Toc242668330 \h </w:instrText>
            </w:r>
            <w:r>
              <w:rPr>
                <w:noProof/>
              </w:rPr>
            </w:r>
            <w:r>
              <w:rPr>
                <w:noProof/>
              </w:rPr>
              <w:fldChar w:fldCharType="separate"/>
            </w:r>
            <w:r>
              <w:rPr>
                <w:noProof/>
              </w:rPr>
              <w:t>4</w:t>
            </w:r>
            <w:r>
              <w:rPr>
                <w:noProof/>
              </w:rPr>
              <w:fldChar w:fldCharType="end"/>
            </w:r>
          </w:hyperlink>
        </w:p>
        <w:p w14:paraId="72EAC695" w14:textId="6EAFC3D1"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1" w:history="1">
            <w:r w:rsidRPr="00751559">
              <w:rPr>
                <w:rStyle w:val="Hyperlink"/>
                <w:noProof/>
              </w:rPr>
              <w:t>5. Loops and bridging act above the nucleosome scale</w:t>
            </w:r>
            <w:r>
              <w:rPr>
                <w:noProof/>
              </w:rPr>
              <w:tab/>
            </w:r>
            <w:r>
              <w:rPr>
                <w:noProof/>
              </w:rPr>
              <w:fldChar w:fldCharType="begin"/>
            </w:r>
            <w:r>
              <w:rPr>
                <w:noProof/>
              </w:rPr>
              <w:instrText xml:space="preserve"> PAGEREF _Toc242668331 \h </w:instrText>
            </w:r>
            <w:r>
              <w:rPr>
                <w:noProof/>
              </w:rPr>
            </w:r>
            <w:r>
              <w:rPr>
                <w:noProof/>
              </w:rPr>
              <w:fldChar w:fldCharType="separate"/>
            </w:r>
            <w:r>
              <w:rPr>
                <w:noProof/>
              </w:rPr>
              <w:t>5</w:t>
            </w:r>
            <w:r>
              <w:rPr>
                <w:noProof/>
              </w:rPr>
              <w:fldChar w:fldCharType="end"/>
            </w:r>
          </w:hyperlink>
        </w:p>
        <w:p w14:paraId="33D12E67" w14:textId="32C81158"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2" w:history="1">
            <w:r w:rsidRPr="00751559">
              <w:rPr>
                <w:rStyle w:val="Hyperlink"/>
                <w:noProof/>
              </w:rPr>
              <w:t>6. Cellular genome dynamics require time-resolved interpretation</w:t>
            </w:r>
            <w:r>
              <w:rPr>
                <w:noProof/>
              </w:rPr>
              <w:tab/>
            </w:r>
            <w:r>
              <w:rPr>
                <w:noProof/>
              </w:rPr>
              <w:fldChar w:fldCharType="begin"/>
            </w:r>
            <w:r>
              <w:rPr>
                <w:noProof/>
              </w:rPr>
              <w:instrText xml:space="preserve"> PAGEREF _Toc242668332 \h </w:instrText>
            </w:r>
            <w:r>
              <w:rPr>
                <w:noProof/>
              </w:rPr>
            </w:r>
            <w:r>
              <w:rPr>
                <w:noProof/>
              </w:rPr>
              <w:fldChar w:fldCharType="separate"/>
            </w:r>
            <w:r>
              <w:rPr>
                <w:noProof/>
              </w:rPr>
              <w:t>5</w:t>
            </w:r>
            <w:r>
              <w:rPr>
                <w:noProof/>
              </w:rPr>
              <w:fldChar w:fldCharType="end"/>
            </w:r>
          </w:hyperlink>
        </w:p>
        <w:p w14:paraId="7AEDEB06" w14:textId="1306DB78"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3" w:history="1">
            <w:r w:rsidRPr="00751559">
              <w:rPr>
                <w:rStyle w:val="Hyperlink"/>
                <w:noProof/>
              </w:rPr>
              <w:t>7. Chromatin can condense without one universal liquid mechanism</w:t>
            </w:r>
            <w:r>
              <w:rPr>
                <w:noProof/>
              </w:rPr>
              <w:tab/>
            </w:r>
            <w:r>
              <w:rPr>
                <w:noProof/>
              </w:rPr>
              <w:fldChar w:fldCharType="begin"/>
            </w:r>
            <w:r>
              <w:rPr>
                <w:noProof/>
              </w:rPr>
              <w:instrText xml:space="preserve"> PAGEREF _Toc242668333 \h </w:instrText>
            </w:r>
            <w:r>
              <w:rPr>
                <w:noProof/>
              </w:rPr>
            </w:r>
            <w:r>
              <w:rPr>
                <w:noProof/>
              </w:rPr>
              <w:fldChar w:fldCharType="separate"/>
            </w:r>
            <w:r>
              <w:rPr>
                <w:noProof/>
              </w:rPr>
              <w:t>6</w:t>
            </w:r>
            <w:r>
              <w:rPr>
                <w:noProof/>
              </w:rPr>
              <w:fldChar w:fldCharType="end"/>
            </w:r>
          </w:hyperlink>
        </w:p>
        <w:p w14:paraId="145E3B92" w14:textId="6AEF0B4D"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4" w:history="1">
            <w:r w:rsidRPr="00751559">
              <w:rPr>
                <w:rStyle w:val="Hyperlink"/>
                <w:noProof/>
              </w:rPr>
              <w:t>8. A multiscale measurement guide</w:t>
            </w:r>
            <w:r>
              <w:rPr>
                <w:noProof/>
              </w:rPr>
              <w:tab/>
            </w:r>
            <w:r>
              <w:rPr>
                <w:noProof/>
              </w:rPr>
              <w:fldChar w:fldCharType="begin"/>
            </w:r>
            <w:r>
              <w:rPr>
                <w:noProof/>
              </w:rPr>
              <w:instrText xml:space="preserve"> PAGEREF _Toc242668334 \h </w:instrText>
            </w:r>
            <w:r>
              <w:rPr>
                <w:noProof/>
              </w:rPr>
            </w:r>
            <w:r>
              <w:rPr>
                <w:noProof/>
              </w:rPr>
              <w:fldChar w:fldCharType="separate"/>
            </w:r>
            <w:r>
              <w:rPr>
                <w:noProof/>
              </w:rPr>
              <w:t>6</w:t>
            </w:r>
            <w:r>
              <w:rPr>
                <w:noProof/>
              </w:rPr>
              <w:fldChar w:fldCharType="end"/>
            </w:r>
          </w:hyperlink>
        </w:p>
        <w:p w14:paraId="7E200336" w14:textId="3957626A"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5" w:history="1">
            <w:r w:rsidRPr="00751559">
              <w:rPr>
                <w:rStyle w:val="Hyperlink"/>
                <w:noProof/>
              </w:rPr>
              <w:t>9. Linking physical organization to biological function</w:t>
            </w:r>
            <w:r>
              <w:rPr>
                <w:noProof/>
              </w:rPr>
              <w:tab/>
            </w:r>
            <w:r>
              <w:rPr>
                <w:noProof/>
              </w:rPr>
              <w:fldChar w:fldCharType="begin"/>
            </w:r>
            <w:r>
              <w:rPr>
                <w:noProof/>
              </w:rPr>
              <w:instrText xml:space="preserve"> PAGEREF _Toc242668335 \h </w:instrText>
            </w:r>
            <w:r>
              <w:rPr>
                <w:noProof/>
              </w:rPr>
            </w:r>
            <w:r>
              <w:rPr>
                <w:noProof/>
              </w:rPr>
              <w:fldChar w:fldCharType="separate"/>
            </w:r>
            <w:r>
              <w:rPr>
                <w:noProof/>
              </w:rPr>
              <w:t>7</w:t>
            </w:r>
            <w:r>
              <w:rPr>
                <w:noProof/>
              </w:rPr>
              <w:fldChar w:fldCharType="end"/>
            </w:r>
          </w:hyperlink>
        </w:p>
        <w:p w14:paraId="2D283125" w14:textId="5DA7FA2D"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6" w:history="1">
            <w:r w:rsidRPr="00751559">
              <w:rPr>
                <w:rStyle w:val="Hyperlink"/>
                <w:noProof/>
              </w:rPr>
              <w:t>10. Current synthesis and priorities</w:t>
            </w:r>
            <w:r>
              <w:rPr>
                <w:noProof/>
              </w:rPr>
              <w:tab/>
            </w:r>
            <w:r>
              <w:rPr>
                <w:noProof/>
              </w:rPr>
              <w:fldChar w:fldCharType="begin"/>
            </w:r>
            <w:r>
              <w:rPr>
                <w:noProof/>
              </w:rPr>
              <w:instrText xml:space="preserve"> PAGEREF _Toc242668336 \h </w:instrText>
            </w:r>
            <w:r>
              <w:rPr>
                <w:noProof/>
              </w:rPr>
            </w:r>
            <w:r>
              <w:rPr>
                <w:noProof/>
              </w:rPr>
              <w:fldChar w:fldCharType="separate"/>
            </w:r>
            <w:r>
              <w:rPr>
                <w:noProof/>
              </w:rPr>
              <w:t>7</w:t>
            </w:r>
            <w:r>
              <w:rPr>
                <w:noProof/>
              </w:rPr>
              <w:fldChar w:fldCharType="end"/>
            </w:r>
          </w:hyperlink>
        </w:p>
        <w:p w14:paraId="79F21C19" w14:textId="708193B4"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7" w:history="1">
            <w:r w:rsidRPr="00751559">
              <w:rPr>
                <w:rStyle w:val="Hyperlink"/>
                <w:noProof/>
              </w:rPr>
              <w:t>References</w:t>
            </w:r>
            <w:r>
              <w:rPr>
                <w:noProof/>
              </w:rPr>
              <w:tab/>
            </w:r>
            <w:r>
              <w:rPr>
                <w:noProof/>
              </w:rPr>
              <w:fldChar w:fldCharType="begin"/>
            </w:r>
            <w:r>
              <w:rPr>
                <w:noProof/>
              </w:rPr>
              <w:instrText xml:space="preserve"> PAGEREF _Toc242668337 \h </w:instrText>
            </w:r>
            <w:r>
              <w:rPr>
                <w:noProof/>
              </w:rPr>
            </w:r>
            <w:r>
              <w:rPr>
                <w:noProof/>
              </w:rPr>
              <w:fldChar w:fldCharType="separate"/>
            </w:r>
            <w:r>
              <w:rPr>
                <w:noProof/>
              </w:rPr>
              <w:t>8</w:t>
            </w:r>
            <w:r>
              <w:rPr>
                <w:noProof/>
              </w:rPr>
              <w:fldChar w:fldCharType="end"/>
            </w:r>
          </w:hyperlink>
        </w:p>
        <w:p w14:paraId="582CEC1B" w14:textId="139D7C13" w:rsidR="00BA0580" w:rsidRDefault="00BA058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8" w:history="1">
            <w:r w:rsidRPr="00751559">
              <w:rPr>
                <w:rStyle w:val="Hyperlink"/>
                <w:noProof/>
              </w:rPr>
              <w:t>Evidence scope</w:t>
            </w:r>
            <w:r>
              <w:rPr>
                <w:noProof/>
              </w:rPr>
              <w:tab/>
            </w:r>
            <w:r>
              <w:rPr>
                <w:noProof/>
              </w:rPr>
              <w:fldChar w:fldCharType="begin"/>
            </w:r>
            <w:r>
              <w:rPr>
                <w:noProof/>
              </w:rPr>
              <w:instrText xml:space="preserve"> PAGEREF _Toc242668338 \h </w:instrText>
            </w:r>
            <w:r>
              <w:rPr>
                <w:noProof/>
              </w:rPr>
            </w:r>
            <w:r>
              <w:rPr>
                <w:noProof/>
              </w:rPr>
              <w:fldChar w:fldCharType="separate"/>
            </w:r>
            <w:r>
              <w:rPr>
                <w:noProof/>
              </w:rPr>
              <w:t>9</w:t>
            </w:r>
            <w:r>
              <w:rPr>
                <w:noProof/>
              </w:rPr>
              <w:fldChar w:fldCharType="end"/>
            </w:r>
          </w:hyperlink>
        </w:p>
        <w:p w14:paraId="59CD031F" w14:textId="4E6ABFEB" w:rsidR="00BC39F7" w:rsidRDefault="00FF4C4F">
          <w:r>
            <w:fldChar w:fldCharType="end"/>
          </w:r>
        </w:p>
      </w:sdtContent>
    </w:sdt>
    <w:p w14:paraId="28FDA4CA" w14:textId="77777777" w:rsidR="00BC39F7" w:rsidRDefault="00FF4C4F">
      <w:pPr>
        <w:pStyle w:val="Heading1"/>
      </w:pPr>
      <w:bookmarkStart w:id="1" w:name="_Toc242668327"/>
      <w:r>
        <w:t>1. The nucleosome as a physical building block</w:t>
      </w:r>
      <w:bookmarkEnd w:id="1"/>
    </w:p>
    <w:p w14:paraId="25A79BC5" w14:textId="23650D0D" w:rsidR="00BC39F7" w:rsidRDefault="00FF4C4F">
      <w:r>
        <w:t>The high-resolution nucleosome core structure established how a histone octamer organizes DNA into a superhelix. Histone-fold interactions stabilize the protein assembly, and multiple nonidentical histone–DNA contacts shape the wrapped DNA path. Histone amino-terminal tails extend beyond the core and contact nearby particles in the crystal. This structure explains why chromatin mechanics starts with a repeated molecular interaction network rather than a uniformly coated, featureless DNA filament.</w:t>
      </w:r>
      <w:hyperlink r:id="rId17" w:history="1">
        <w:r>
          <w:rPr>
            <w:color w:val="087B78"/>
            <w:sz w:val="18"/>
            <w:szCs w:val="18"/>
          </w:rPr>
          <w:t xml:space="preserve"> [7]</w:t>
        </w:r>
      </w:hyperlink>
    </w:p>
    <w:p w14:paraId="2A0FABDC" w14:textId="3773313D" w:rsidR="00BC39F7" w:rsidRDefault="00FF4C4F">
      <w:r>
        <w:t xml:space="preserve">The structural unit is also dynamic. Polach and Widom used restriction-enzyme access to buried DNA sites to demonstrate transient exposure, interpreted through a dynamic-equilibrium model. Site position affected the inferred exposure equilibrium. Accessibility can therefore change while the nucleosome remains present, and regulatory binding need not always require complete histone removal. The experiment establishes this principle for its substrate without assigning the same opening kinetics to all genomic </w:t>
      </w:r>
      <w:r>
        <w:t>nucleosomes in cells.</w:t>
      </w:r>
      <w:hyperlink r:id="rId18" w:history="1">
        <w:r>
          <w:rPr>
            <w:color w:val="087B78"/>
            <w:sz w:val="18"/>
            <w:szCs w:val="18"/>
          </w:rPr>
          <w:t xml:space="preserve"> [8]</w:t>
        </w:r>
      </w:hyperlink>
    </w:p>
    <w:p w14:paraId="3640E1DA" w14:textId="48C4CCBD" w:rsidR="00BC39F7" w:rsidRDefault="00FF4C4F">
      <w:r>
        <w:t>Molecular accessibility and the conformation of a larger array are related but distinct. A nucleosome can transiently expose DNA in an array whose neighboring particles remain closely associated. Conversely, changing interparticle contacts need not remove each octamer. Defined nucleosome assays, array folding and cellular accessibility maps should be joined as measurements at different levels of organization. This distinction prevents a local binding measurement from being mistaken for wholesale nuclear dec</w:t>
      </w:r>
      <w:r>
        <w:t>ompaction.</w:t>
      </w:r>
      <w:hyperlink r:id="rId19" w:history="1">
        <w:r>
          <w:rPr>
            <w:color w:val="087B78"/>
            <w:sz w:val="18"/>
            <w:szCs w:val="18"/>
          </w:rPr>
          <w:t xml:space="preserve"> [8]</w:t>
        </w:r>
      </w:hyperlink>
      <w:hyperlink r:id="rId20" w:history="1">
        <w:r>
          <w:rPr>
            <w:color w:val="087B78"/>
            <w:sz w:val="18"/>
            <w:szCs w:val="18"/>
          </w:rPr>
          <w:t xml:space="preserve"> [10]</w:t>
        </w:r>
      </w:hyperlink>
      <w:hyperlink r:id="rId21" w:history="1">
        <w:r>
          <w:rPr>
            <w:color w:val="087B78"/>
            <w:sz w:val="18"/>
            <w:szCs w:val="18"/>
          </w:rPr>
          <w:t xml:space="preserve"> [11]</w:t>
        </w:r>
      </w:hyperlink>
    </w:p>
    <w:p w14:paraId="7225343F" w14:textId="77777777" w:rsidR="00BC39F7" w:rsidRDefault="00FF4C4F">
      <w:pPr>
        <w:pStyle w:val="Heading1"/>
      </w:pPr>
      <w:bookmarkStart w:id="2" w:name="_Toc242668328"/>
      <w:r>
        <w:lastRenderedPageBreak/>
        <w:t>2. Interactions are sensitive to composition and chemical state</w:t>
      </w:r>
      <w:bookmarkEnd w:id="2"/>
    </w:p>
    <w:p w14:paraId="18523CBD" w14:textId="35FC90D6" w:rsidR="00BC39F7" w:rsidRDefault="00FF4C4F">
      <w:r>
        <w:t>Linker spacing and linker-histone stoichiometry alter reconstituted array organization. Routh and colleagues compared 167-bp and 197-bp nucleosome-repeat arrays and found distinct H5-binding and compaction behaviors. The longer-repeat array compacted cooperatively under the studied conditions. These results give concrete reasons why one idealized chromatin-fiber model cannot be assumed to describe every composition: the length of connecting DNA and its bound proteins alter the geometrical and energetic poss</w:t>
      </w:r>
      <w:r>
        <w:t>ibilities.</w:t>
      </w:r>
      <w:hyperlink r:id="rId22" w:history="1">
        <w:r>
          <w:rPr>
            <w:color w:val="087B78"/>
            <w:sz w:val="18"/>
            <w:szCs w:val="18"/>
          </w:rPr>
          <w:t xml:space="preserve"> [10]</w:t>
        </w:r>
      </w:hyperlink>
    </w:p>
    <w:p w14:paraId="25F0EF36" w14:textId="7004A883" w:rsidR="00BC39F7" w:rsidRDefault="00FF4C4F">
      <w:r>
        <w:t>A chemically defined histone modification can change those possibilities directly. In arrays containing homogeneous H4K16 acetylation, Shogren-Knaak and colleagues observed inhibited compact-fiber formation and weakened cross-fiber interactions. The same modification altered ACF remodeling of a mononucleosome. Physical contact changes and enzyme recognition therefore coexist as routes through which a histone mark can act; an acetylation signal need not have one exclusive structural interpretation.</w:t>
      </w:r>
      <w:hyperlink r:id="rId23" w:history="1">
        <w:r>
          <w:rPr>
            <w:color w:val="087B78"/>
            <w:sz w:val="18"/>
            <w:szCs w:val="18"/>
          </w:rPr>
          <w:t xml:space="preserve"> [11]</w:t>
        </w:r>
      </w:hyperlink>
    </w:p>
    <w:p w14:paraId="2715A836" w14:textId="14468787" w:rsidR="00BC39F7" w:rsidRDefault="00FF4C4F">
      <w:r>
        <w:t>Salt conditions provide another axis of regulation. Single-fiber stretching and array-condensation experiments both changed behavior when ionic conditions changed. This makes the experimental buffer a substantive component of the physical system. A folding transition measured in one salt regime should be described with its substrate and solution conditions, and a cell-wide mechanical parameter should not be assigned from a reconstituted array simply because both preparations contain nucleosomes.</w:t>
      </w:r>
      <w:hyperlink r:id="rId24" w:history="1">
        <w:r>
          <w:rPr>
            <w:color w:val="087B78"/>
            <w:sz w:val="18"/>
            <w:szCs w:val="18"/>
          </w:rPr>
          <w:t xml:space="preserve"> [9]</w:t>
        </w:r>
      </w:hyperlink>
      <w:hyperlink r:id="rId25" w:history="1">
        <w:r>
          <w:rPr>
            <w:color w:val="087B78"/>
            <w:sz w:val="18"/>
            <w:szCs w:val="18"/>
          </w:rPr>
          <w:t xml:space="preserve"> [12]</w:t>
        </w:r>
      </w:hyperlink>
      <w:hyperlink r:id="rId26" w:history="1">
        <w:r>
          <w:rPr>
            <w:color w:val="087B78"/>
            <w:sz w:val="18"/>
            <w:szCs w:val="18"/>
          </w:rPr>
          <w:t xml:space="preserve"> [10]</w:t>
        </w:r>
      </w:hyperlink>
    </w:p>
    <w:p w14:paraId="04E2DEEF" w14:textId="77777777" w:rsidR="00BC39F7" w:rsidRDefault="00FF4C4F">
      <w:pPr>
        <w:pStyle w:val="Heading1"/>
      </w:pPr>
      <w:bookmarkStart w:id="3" w:name="_Toc242668329"/>
      <w:r>
        <w:t>3. Force measurements distinguish deformation from disruption</w:t>
      </w:r>
      <w:bookmarkEnd w:id="3"/>
    </w:p>
    <w:p w14:paraId="0E8F3CF6" w14:textId="13530881" w:rsidR="00BC39F7" w:rsidRDefault="00FF4C4F">
      <w:r>
        <w:t xml:space="preserve">Cui and Bustamante stretched isolated chicken erythrocyte chromatin fibers with laser tweezers. Stretch–release behavior depended on ionic strength; higher salt produced a condensation–decondensation transition absent from the low-salt regime. Stronger loading caused irreversible modification of the fiber. These observations distinguish elastic or reversible rearrangement from disruption of the molecular assembly, a distinction that remains necessary when interpreting the force response of larger chromatin </w:t>
      </w:r>
      <w:r>
        <w:t>systems.</w:t>
      </w:r>
      <w:hyperlink r:id="rId27" w:history="1">
        <w:r>
          <w:rPr>
            <w:color w:val="087B78"/>
            <w:sz w:val="18"/>
            <w:szCs w:val="18"/>
          </w:rPr>
          <w:t xml:space="preserve"> [9]</w:t>
        </w:r>
      </w:hyperlink>
    </w:p>
    <w:p w14:paraId="28225D72" w14:textId="72773414" w:rsidR="00BC39F7" w:rsidRDefault="00FF4C4F">
      <w:r>
        <w:t>A fitted persistence length or stretch modulus describes the preparation and model used to estimate it. The erythrocyte fiber is a specialized isolated substrate, and its fitted values cannot establish a universal stiffness for euchromatin or heterochromatin. Reconstituted arrays differ in repeat length and linker-histone content, and native structural work shows local packing heterogeneity. Such differences make it scientifically useful to report a force-response curve alongside composition and specimen st</w:t>
      </w:r>
      <w:r>
        <w:t>ate rather than reduce chromatin to one textbook stiffness.</w:t>
      </w:r>
      <w:hyperlink r:id="rId28" w:history="1">
        <w:r>
          <w:rPr>
            <w:color w:val="087B78"/>
            <w:sz w:val="18"/>
            <w:szCs w:val="18"/>
          </w:rPr>
          <w:t xml:space="preserve"> [9]</w:t>
        </w:r>
      </w:hyperlink>
      <w:hyperlink r:id="rId29" w:history="1">
        <w:r>
          <w:rPr>
            <w:color w:val="087B78"/>
            <w:sz w:val="18"/>
            <w:szCs w:val="18"/>
          </w:rPr>
          <w:t xml:space="preserve"> [10]</w:t>
        </w:r>
      </w:hyperlink>
      <w:hyperlink r:id="rId30" w:history="1">
        <w:r>
          <w:rPr>
            <w:color w:val="087B78"/>
            <w:sz w:val="18"/>
            <w:szCs w:val="18"/>
          </w:rPr>
          <w:t xml:space="preserve"> [14]</w:t>
        </w:r>
      </w:hyperlink>
    </w:p>
    <w:p w14:paraId="49679B1B" w14:textId="3CEB148D" w:rsidR="00BC39F7" w:rsidRDefault="00FF4C4F">
      <w:r>
        <w:t xml:space="preserve">The loading history matters as well as the instantaneous force. A stretch–release experiment explicitly tests whether a structure returns along the same mechanical trajectory. Imaging a dense region after a perturbation does not supply that information. Combining controlled force with structural observations can distinguish a rearranged interaction network from histone loss or </w:t>
      </w:r>
      <w:r>
        <w:lastRenderedPageBreak/>
        <w:t>substrate damage; the original fiber experiment illustrates this distinction without claiming that every irreversible nuclear deformation has the same molecular cause.</w:t>
      </w:r>
      <w:hyperlink r:id="rId31" w:history="1">
        <w:r>
          <w:rPr>
            <w:color w:val="087B78"/>
            <w:sz w:val="18"/>
            <w:szCs w:val="18"/>
          </w:rPr>
          <w:t xml:space="preserve"> [9]</w:t>
        </w:r>
      </w:hyperlink>
      <w:hyperlink r:id="rId32" w:history="1">
        <w:r>
          <w:rPr>
            <w:color w:val="087B78"/>
            <w:sz w:val="18"/>
            <w:szCs w:val="18"/>
          </w:rPr>
          <w:t xml:space="preserve"> [11]</w:t>
        </w:r>
      </w:hyperlink>
    </w:p>
    <w:p w14:paraId="26B63998" w14:textId="1E883211" w:rsidR="00BC39F7" w:rsidRDefault="00FF4C4F">
      <w:r>
        <w:t xml:space="preserve">At the nuclear scale, isolated-nucleus extension experiments distinguished a chromatin-dominated response at smaller deformation from a lamin-A-dependent response at larger deformation. The nucleus is thus a coupled structure whose apparent mechanics depend on which component is loaded and at what extension. A spring response in that geometry should not be converted to one universal chromatin material constant. The experiment connects molecular composition to a defined imposed-force response, supplementing </w:t>
      </w:r>
      <w:r>
        <w:t>the single-fiber measurements.</w:t>
      </w:r>
      <w:hyperlink r:id="rId33" w:history="1">
        <w:r>
          <w:rPr>
            <w:color w:val="087B78"/>
            <w:sz w:val="18"/>
            <w:szCs w:val="18"/>
          </w:rPr>
          <w:t xml:space="preserve"> [20]</w:t>
        </w:r>
      </w:hyperlink>
      <w:hyperlink r:id="rId34" w:history="1">
        <w:r>
          <w:rPr>
            <w:color w:val="087B78"/>
            <w:sz w:val="18"/>
            <w:szCs w:val="18"/>
          </w:rPr>
          <w:t xml:space="preserve"> [9]</w:t>
        </w:r>
      </w:hyperlink>
    </w:p>
    <w:p w14:paraId="37CC4D71" w14:textId="6549707D" w:rsidR="00BC39F7" w:rsidRDefault="00FF4C4F">
      <w:r>
        <w:t>The 2024 isolated-nucleus study measured chromatin and envelope deformation together and found heterogeneous force responses, with chromatin more compliant than the envelope in the reported lower-strain regime. A 2025 polymer model connected force transmission to peripheral chromatin attachment and internal crosslinks. The former adds joint structural readouts; the latter proposes a coupling mechanism constrained by measurements. Together they make boundary attachment a physical variable while preserving th</w:t>
      </w:r>
      <w:r>
        <w:t>e difference between an observed deformation and a modeled native tether.</w:t>
      </w:r>
      <w:hyperlink r:id="rId35" w:history="1">
        <w:r>
          <w:rPr>
            <w:color w:val="087B78"/>
            <w:sz w:val="18"/>
            <w:szCs w:val="18"/>
          </w:rPr>
          <w:t xml:space="preserve"> [21]</w:t>
        </w:r>
      </w:hyperlink>
      <w:hyperlink r:id="rId36" w:history="1">
        <w:r>
          <w:rPr>
            <w:color w:val="087B78"/>
            <w:sz w:val="18"/>
            <w:szCs w:val="18"/>
          </w:rPr>
          <w:t xml:space="preserve"> [22]</w:t>
        </w:r>
      </w:hyperlink>
    </w:p>
    <w:p w14:paraId="33C3BDFF" w14:textId="77777777" w:rsidR="00BC39F7" w:rsidRDefault="00FF4C4F">
      <w:pPr>
        <w:pStyle w:val="Heading1"/>
      </w:pPr>
      <w:bookmarkStart w:id="4" w:name="_Toc242668330"/>
      <w:r>
        <w:t>4. Native architecture is heterogeneous</w:t>
      </w:r>
      <w:bookmarkEnd w:id="4"/>
    </w:p>
    <w:p w14:paraId="775CA039" w14:textId="047B591E" w:rsidR="00BC39F7" w:rsidRDefault="00FF4C4F">
      <w:r>
        <w:t>Cryo-electron tomography in CEM T-lymphoblasts resolved relaxed and variable local zigzag arrangements near the nuclear envelope, rather than a single uniform 30-nm filament. The primary-human-cell study of resting CD4+ T cells further resolved elongated heterogeneous peripheral chromatin with frequent local nucleosome stacking. These observations support local order within heterogeneous organization. Stacked neighboring nucleosomes do not require a continuous, periodic canonical fiber running through the w</w:t>
      </w:r>
      <w:r>
        <w:t>hole sampled domain.</w:t>
      </w:r>
      <w:hyperlink r:id="rId37" w:history="1">
        <w:r>
          <w:rPr>
            <w:color w:val="087B78"/>
            <w:sz w:val="18"/>
            <w:szCs w:val="18"/>
          </w:rPr>
          <w:t xml:space="preserve"> [14]</w:t>
        </w:r>
      </w:hyperlink>
      <w:hyperlink r:id="rId38" w:history="1">
        <w:r>
          <w:rPr>
            <w:color w:val="087B78"/>
            <w:sz w:val="18"/>
            <w:szCs w:val="18"/>
          </w:rPr>
          <w:t xml:space="preserve"> [15]</w:t>
        </w:r>
      </w:hyperlink>
    </w:p>
    <w:p w14:paraId="377B9A93" w14:textId="55E80617" w:rsidR="00BC39F7" w:rsidRDefault="00FF4C4F">
      <w:r>
        <w:t>Mitotic HeLa chromosome preparations likewise showed predominantly irregular nucleosome packing in cryo-EM and scattering. Ordered chicken erythrocyte nuclei were a positive control. Taken together, these studies change the question from whether one universal fiber exists to where particular arrangements occur and how prevalent they are in defined states. The positive control and the differences among specimens are part of the evidence, not exceptions to be discarded from the interpretation.</w:t>
      </w:r>
      <w:hyperlink r:id="rId39" w:history="1">
        <w:r>
          <w:rPr>
            <w:color w:val="087B78"/>
            <w:sz w:val="18"/>
            <w:szCs w:val="18"/>
          </w:rPr>
          <w:t xml:space="preserve"> [5]</w:t>
        </w:r>
      </w:hyperlink>
      <w:hyperlink r:id="rId40" w:history="1">
        <w:r>
          <w:rPr>
            <w:color w:val="087B78"/>
            <w:sz w:val="18"/>
            <w:szCs w:val="18"/>
          </w:rPr>
          <w:t xml:space="preserve"> [14]</w:t>
        </w:r>
      </w:hyperlink>
      <w:hyperlink r:id="rId41" w:history="1">
        <w:r>
          <w:rPr>
            <w:color w:val="087B78"/>
            <w:sz w:val="18"/>
            <w:szCs w:val="18"/>
          </w:rPr>
          <w:t xml:space="preserve"> [15]</w:t>
        </w:r>
      </w:hyperlink>
    </w:p>
    <w:p w14:paraId="1BE5DA96" w14:textId="14CE82BF" w:rsidR="00BC39F7" w:rsidRDefault="00FF4C4F">
      <w:r>
        <w:t>MINFLUX adds complementary living-cell observations. Xie and colleagues mapped selected DNA-probe localizations and reported compacting fiber-like DNA clouds in living U2OS cells, with more extensive structural quantification in fixed cells. The probe preferred AT-rich DNA, and selecting trajectories excluded faster behavior. These data identify resolvable local arrangements under that sampling scheme. They should be integrated with native ultrastructure while distinguishing DNA-cloud width, localization pr</w:t>
      </w:r>
      <w:r>
        <w:t>ecision and independently assessed structural resolution.</w:t>
      </w:r>
      <w:hyperlink r:id="rId42" w:history="1">
        <w:r>
          <w:rPr>
            <w:color w:val="087B78"/>
            <w:sz w:val="18"/>
            <w:szCs w:val="18"/>
          </w:rPr>
          <w:t xml:space="preserve"> [16]</w:t>
        </w:r>
      </w:hyperlink>
    </w:p>
    <w:p w14:paraId="5BFF7685" w14:textId="77777777" w:rsidR="00BC39F7" w:rsidRDefault="00FF4C4F">
      <w:pPr>
        <w:pStyle w:val="Heading1"/>
      </w:pPr>
      <w:bookmarkStart w:id="5" w:name="_Toc242668331"/>
      <w:r>
        <w:lastRenderedPageBreak/>
        <w:t>5. Loops and bridging act above the nucleosome scale</w:t>
      </w:r>
      <w:bookmarkEnd w:id="5"/>
    </w:p>
    <w:p w14:paraId="7272B7D6" w14:textId="0957E733" w:rsidR="00BC39F7" w:rsidRDefault="00FF4C4F">
      <w:r>
        <w:t>Purified condensin directly extrudes DNA loops, providing an energy-dependent route to rearrange a polymer. Mitotic Hi-C and calibrated condensin maps support chromosome-scale loop architectures whose detailed DNA paths remain modeled. These are active organization mechanisms above the individual nucleosome. They explain why a nucleus or chromosome can reorganize substantially even when the underlying local nucleosome material does not acquire a single new regular fiber geometry.</w:t>
      </w:r>
      <w:hyperlink r:id="rId43" w:history="1">
        <w:r>
          <w:rPr>
            <w:color w:val="087B78"/>
            <w:sz w:val="18"/>
            <w:szCs w:val="18"/>
          </w:rPr>
          <w:t xml:space="preserve"> [2]</w:t>
        </w:r>
      </w:hyperlink>
      <w:hyperlink r:id="rId44" w:history="1">
        <w:r>
          <w:rPr>
            <w:color w:val="087B78"/>
            <w:sz w:val="18"/>
            <w:szCs w:val="18"/>
          </w:rPr>
          <w:t xml:space="preserve"> [3]</w:t>
        </w:r>
      </w:hyperlink>
      <w:hyperlink r:id="rId45" w:history="1">
        <w:r>
          <w:rPr>
            <w:color w:val="087B78"/>
            <w:sz w:val="18"/>
            <w:szCs w:val="18"/>
          </w:rPr>
          <w:t xml:space="preserve"> [4]</w:t>
        </w:r>
      </w:hyperlink>
    </w:p>
    <w:p w14:paraId="36037FAF" w14:textId="0B5DEB8C" w:rsidR="00BC39F7" w:rsidRDefault="00FF4C4F">
      <w:r>
        <w:t>Bridging supplies a different physical route. Brackley and colleagues simulated a bead-spring polymer with reversibly binding multivalent proteins and observed clustering without an attractive protein–protein interaction. Bringing polymer segments together increases the opportunity for further bridging, generating an effective cooperative organization. This is a model demonstration, useful because it shows that a concentration focus need not originate in bulk protein demixing. Its application to an actual c</w:t>
      </w:r>
      <w:r>
        <w:t>hromatin assembly still requires identifying the bridge interactions.</w:t>
      </w:r>
      <w:hyperlink r:id="rId46" w:history="1">
        <w:r>
          <w:rPr>
            <w:color w:val="087B78"/>
            <w:sz w:val="18"/>
            <w:szCs w:val="18"/>
          </w:rPr>
          <w:t xml:space="preserve"> [18]</w:t>
        </w:r>
      </w:hyperlink>
    </w:p>
    <w:p w14:paraId="3F4628A0" w14:textId="481E185B" w:rsidR="00BC39F7" w:rsidRDefault="00FF4C4F">
      <w:r>
        <w:t>The two mechanisms make different causal predictions. A motor-based explanation depends on energy-consuming extrusion, whereas a reversible-bridging model can generate clusters through binding and polymer rearrangement. Both can affect contact patterns and both can coexist with local nucleosome associations. Measurements of dependence on ATP, specific binding domains and chromatin substrate help discriminate their contributions. A bright cluster or contact enrichment alone is an insufficient allocation of m</w:t>
      </w:r>
      <w:r>
        <w:t>echanism.</w:t>
      </w:r>
      <w:hyperlink r:id="rId47" w:history="1">
        <w:r>
          <w:rPr>
            <w:color w:val="087B78"/>
            <w:sz w:val="18"/>
            <w:szCs w:val="18"/>
          </w:rPr>
          <w:t xml:space="preserve"> [2]</w:t>
        </w:r>
      </w:hyperlink>
      <w:hyperlink r:id="rId48" w:history="1">
        <w:r>
          <w:rPr>
            <w:color w:val="087B78"/>
            <w:sz w:val="18"/>
            <w:szCs w:val="18"/>
          </w:rPr>
          <w:t xml:space="preserve"> [18]</w:t>
        </w:r>
      </w:hyperlink>
      <w:hyperlink r:id="rId49" w:history="1">
        <w:r>
          <w:rPr>
            <w:color w:val="087B78"/>
            <w:sz w:val="18"/>
            <w:szCs w:val="18"/>
          </w:rPr>
          <w:t xml:space="preserve"> [3]</w:t>
        </w:r>
      </w:hyperlink>
    </w:p>
    <w:p w14:paraId="019169FB" w14:textId="77777777" w:rsidR="00BC39F7" w:rsidRDefault="00FF4C4F">
      <w:pPr>
        <w:pStyle w:val="Heading1"/>
      </w:pPr>
      <w:bookmarkStart w:id="6" w:name="_Toc242668332"/>
      <w:r>
        <w:t>6. Cellular genome dynamics require time-resolved interpretation</w:t>
      </w:r>
      <w:bookmarkEnd w:id="6"/>
    </w:p>
    <w:p w14:paraId="429B6C38" w14:textId="242CEF18" w:rsidR="00BC39F7" w:rsidRDefault="00FF4C4F">
      <w:r>
        <w:t>Gabriele and colleagues tracked a silent Fbn2 locus in mouse embryonic stem cells and combined distance trajectories with CTCF/cohesin perturbations and Bayesian inference. Their looped-state lifetime was estimated from a defined locus and cell-cycle window, including treatment of incomplete observations. This is a major advance over static contact maps because it quantifies temporal organization, but the inferred state remains a model of the measured distances rather than direct observation of a motor movi</w:t>
      </w:r>
      <w:r>
        <w:t>ng along DNA.</w:t>
      </w:r>
      <w:hyperlink r:id="rId50" w:history="1">
        <w:r>
          <w:rPr>
            <w:color w:val="087B78"/>
            <w:sz w:val="18"/>
            <w:szCs w:val="18"/>
          </w:rPr>
          <w:t xml:space="preserve"> [17]</w:t>
        </w:r>
      </w:hyperlink>
    </w:p>
    <w:p w14:paraId="5F93765C" w14:textId="4585F356" w:rsidR="00BC39F7" w:rsidRDefault="00FF4C4F">
      <w:r>
        <w:t>A locus trajectory reports the motion of its labels and the geometry observable between them. It does not directly report viscosity, applied force or a unique chromosome conformation. The Fbn2 result is therefore most useful when its state inference, observation window and perturbation dependencies are retained. Extending it to another locus requires measuring that locus, particularly if transcription, genomic length or the available boundary interactions differ.</w:t>
      </w:r>
      <w:hyperlink r:id="rId51" w:history="1">
        <w:r>
          <w:rPr>
            <w:color w:val="087B78"/>
            <w:sz w:val="18"/>
            <w:szCs w:val="18"/>
          </w:rPr>
          <w:t xml:space="preserve"> [17]</w:t>
        </w:r>
      </w:hyperlink>
    </w:p>
    <w:p w14:paraId="3730A0CE" w14:textId="352B16BC" w:rsidR="00BC39F7" w:rsidRDefault="00FF4C4F">
      <w:r>
        <w:t xml:space="preserve">At another scale, whole-droplet and partial-droplet FRAP gave different recovery behavior in reconstituted chromatin condensates. Internal mixing can be appreciable even when exchange with a dilute surrounding pool is slow. Dynamics should consequently be assigned to the process and geometry being measured: internal rearrangement, molecular exchange, loop-state </w:t>
      </w:r>
      <w:r>
        <w:lastRenderedPageBreak/>
        <w:t>persistence and force relaxation are separate questions. The physical state of chromatin becomes clearer when these processes are measured in combination.</w:t>
      </w:r>
      <w:hyperlink r:id="rId52" w:history="1">
        <w:r>
          <w:rPr>
            <w:color w:val="087B78"/>
            <w:sz w:val="18"/>
            <w:szCs w:val="18"/>
          </w:rPr>
          <w:t xml:space="preserve"> [12]</w:t>
        </w:r>
      </w:hyperlink>
      <w:hyperlink r:id="rId53" w:history="1">
        <w:r>
          <w:rPr>
            <w:color w:val="087B78"/>
            <w:sz w:val="18"/>
            <w:szCs w:val="18"/>
          </w:rPr>
          <w:t xml:space="preserve"> [17]</w:t>
        </w:r>
      </w:hyperlink>
      <w:hyperlink r:id="rId54" w:history="1">
        <w:r>
          <w:rPr>
            <w:color w:val="087B78"/>
            <w:sz w:val="18"/>
            <w:szCs w:val="18"/>
          </w:rPr>
          <w:t xml:space="preserve"> [9]</w:t>
        </w:r>
      </w:hyperlink>
    </w:p>
    <w:p w14:paraId="5F95E290" w14:textId="77777777" w:rsidR="00BC39F7" w:rsidRDefault="00FF4C4F">
      <w:pPr>
        <w:pStyle w:val="Heading1"/>
      </w:pPr>
      <w:bookmarkStart w:id="7" w:name="_Toc242668333"/>
      <w:r>
        <w:t>7. Chromatin can condense without one universal liquid mechanism</w:t>
      </w:r>
      <w:bookmarkEnd w:id="7"/>
    </w:p>
    <w:p w14:paraId="1421A574" w14:textId="05298456" w:rsidR="00BC39F7" w:rsidRDefault="00FF4C4F">
      <w:r>
        <w:t>Gibson and colleagues demonstrated reversible, concentration- and salt-dependent droplet formation by purified nucleosome arrays, with fusion and internal mixing. Linker histones and acetylation regulated the behavior. The result establishes an intrinsic capacity of those arrays to form liquid-like condensed phases. It also shows that material organization is chemically controllable, allowing molecular changes to be connected to phase behavior in a defined preparation.</w:t>
      </w:r>
      <w:hyperlink r:id="rId55" w:history="1">
        <w:r>
          <w:rPr>
            <w:color w:val="087B78"/>
            <w:sz w:val="18"/>
            <w:szCs w:val="18"/>
          </w:rPr>
          <w:t xml:space="preserve"> [12]</w:t>
        </w:r>
      </w:hyperlink>
    </w:p>
    <w:p w14:paraId="69D4FF45" w14:textId="6D044633" w:rsidR="00BC39F7" w:rsidRDefault="00FF4C4F">
      <w:r>
        <w:t>Mouse fibroblast chromocenters offered a contrasting cellular test. Erdel and colleagues found that compaction and gross accessibility were not determined by HP1 enrichment as expected for a simple HP1-liquid picture; the tested foci lacked the hallmarks of a distinct separated HP1 pool. This does not eliminate all physical condensation or every HP1-dependent function. It demonstrates why an in-vitro droplet result must be tested against the actual transport and perturbation behavior of the cellular domain.</w:t>
      </w:r>
      <w:hyperlink r:id="rId56" w:history="1">
        <w:r>
          <w:rPr>
            <w:color w:val="087B78"/>
            <w:sz w:val="18"/>
            <w:szCs w:val="18"/>
          </w:rPr>
          <w:t xml:space="preserve"> [13]</w:t>
        </w:r>
      </w:hyperlink>
    </w:p>
    <w:p w14:paraId="2B51F9BF" w14:textId="780CEF83" w:rsidR="00BC39F7" w:rsidRDefault="00FF4C4F">
      <w:r>
        <w:t>The 2025 comparison of HP1 homologs makes that context dependence more specific. Fission-yeast Swi6, fly HP1a and mouse HP1α differed in disorder, reconstituted phase behavior and their ability to drive chromatin coalescence in mammalian cells. Mammalian paralog interactions could antagonize HP1α condensation. Composition, paralog balance and evolutionary divergence are therefore physical variables, rather than interchangeable labels attached to one conserved universal liquid.</w:t>
      </w:r>
      <w:hyperlink r:id="rId57" w:history="1">
        <w:r>
          <w:rPr>
            <w:color w:val="087B78"/>
            <w:sz w:val="18"/>
            <w:szCs w:val="18"/>
          </w:rPr>
          <w:t xml:space="preserve"> [19]</w:t>
        </w:r>
      </w:hyperlink>
    </w:p>
    <w:p w14:paraId="02E6DBA6" w14:textId="77777777" w:rsidR="00BC39F7" w:rsidRDefault="00FF4C4F">
      <w:pPr>
        <w:pStyle w:val="Heading1"/>
      </w:pPr>
      <w:bookmarkStart w:id="8" w:name="_Toc242668334"/>
      <w:r>
        <w:t>8. A multiscale measurement guide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C39F7" w14:paraId="5497F6D6"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6D8518D0" w14:textId="77777777" w:rsidR="00BC39F7" w:rsidRDefault="00FF4C4F">
            <w:pPr>
              <w:spacing w:after="50" w:line="255" w:lineRule="auto"/>
            </w:pPr>
            <w:r>
              <w:rPr>
                <w:b/>
                <w:bCs/>
                <w:color w:val="173B4C"/>
                <w:sz w:val="19"/>
                <w:szCs w:val="19"/>
              </w:rPr>
              <w:t>Measurement</w:t>
            </w:r>
          </w:p>
        </w:tc>
        <w:tc>
          <w:tcPr>
            <w:tcW w:w="3120" w:type="dxa"/>
            <w:shd w:val="clear" w:color="auto" w:fill="EAF3F3"/>
            <w:tcMar>
              <w:top w:w="105" w:type="dxa"/>
              <w:left w:w="125" w:type="dxa"/>
              <w:bottom w:w="105" w:type="dxa"/>
              <w:right w:w="125" w:type="dxa"/>
            </w:tcMar>
          </w:tcPr>
          <w:p w14:paraId="2615D588" w14:textId="77777777" w:rsidR="00BC39F7" w:rsidRDefault="00FF4C4F">
            <w:pPr>
              <w:spacing w:after="50" w:line="255" w:lineRule="auto"/>
            </w:pPr>
            <w:r>
              <w:rPr>
                <w:b/>
                <w:bCs/>
                <w:color w:val="173B4C"/>
                <w:sz w:val="19"/>
                <w:szCs w:val="19"/>
              </w:rPr>
              <w:t>What it resolves</w:t>
            </w:r>
          </w:p>
        </w:tc>
        <w:tc>
          <w:tcPr>
            <w:tcW w:w="3120" w:type="dxa"/>
            <w:shd w:val="clear" w:color="auto" w:fill="EAF3F3"/>
            <w:tcMar>
              <w:top w:w="105" w:type="dxa"/>
              <w:left w:w="125" w:type="dxa"/>
              <w:bottom w:w="105" w:type="dxa"/>
              <w:right w:w="125" w:type="dxa"/>
            </w:tcMar>
          </w:tcPr>
          <w:p w14:paraId="2EAD9774" w14:textId="77777777" w:rsidR="00BC39F7" w:rsidRDefault="00FF4C4F">
            <w:pPr>
              <w:spacing w:after="50" w:line="255" w:lineRule="auto"/>
            </w:pPr>
            <w:r>
              <w:rPr>
                <w:b/>
                <w:bCs/>
                <w:color w:val="173B4C"/>
                <w:sz w:val="19"/>
                <w:szCs w:val="19"/>
              </w:rPr>
              <w:t>What needs separate evidence</w:t>
            </w:r>
          </w:p>
        </w:tc>
      </w:tr>
      <w:tr w:rsidR="00BC39F7" w14:paraId="2B152551" w14:textId="77777777">
        <w:tblPrEx>
          <w:tblCellMar>
            <w:top w:w="0" w:type="dxa"/>
            <w:bottom w:w="0" w:type="dxa"/>
          </w:tblCellMar>
        </w:tblPrEx>
        <w:trPr>
          <w:cantSplit/>
        </w:trPr>
        <w:tc>
          <w:tcPr>
            <w:tcW w:w="3120" w:type="dxa"/>
            <w:tcMar>
              <w:top w:w="105" w:type="dxa"/>
              <w:left w:w="125" w:type="dxa"/>
              <w:bottom w:w="105" w:type="dxa"/>
              <w:right w:w="125" w:type="dxa"/>
            </w:tcMar>
          </w:tcPr>
          <w:p w14:paraId="64E54456" w14:textId="77777777" w:rsidR="00BC39F7" w:rsidRDefault="00FF4C4F">
            <w:pPr>
              <w:spacing w:after="50" w:line="255" w:lineRule="auto"/>
            </w:pPr>
            <w:r>
              <w:rPr>
                <w:sz w:val="19"/>
                <w:szCs w:val="19"/>
              </w:rPr>
              <w:t>Core-particle crystallography and restriction access</w:t>
            </w:r>
          </w:p>
        </w:tc>
        <w:tc>
          <w:tcPr>
            <w:tcW w:w="3120" w:type="dxa"/>
            <w:tcMar>
              <w:top w:w="105" w:type="dxa"/>
              <w:left w:w="125" w:type="dxa"/>
              <w:bottom w:w="105" w:type="dxa"/>
              <w:right w:w="125" w:type="dxa"/>
            </w:tcMar>
          </w:tcPr>
          <w:p w14:paraId="4A7B73DA" w14:textId="77777777" w:rsidR="00BC39F7" w:rsidRDefault="00FF4C4F">
            <w:pPr>
              <w:spacing w:after="50" w:line="255" w:lineRule="auto"/>
            </w:pPr>
            <w:r>
              <w:rPr>
                <w:sz w:val="19"/>
                <w:szCs w:val="19"/>
              </w:rPr>
              <w:t>Atomic contacts and model-supported transient exposure of nucleosomal DNA.</w:t>
            </w:r>
          </w:p>
        </w:tc>
        <w:tc>
          <w:tcPr>
            <w:tcW w:w="3120" w:type="dxa"/>
            <w:tcMar>
              <w:top w:w="105" w:type="dxa"/>
              <w:left w:w="125" w:type="dxa"/>
              <w:bottom w:w="105" w:type="dxa"/>
              <w:right w:w="125" w:type="dxa"/>
            </w:tcMar>
          </w:tcPr>
          <w:p w14:paraId="7D185F83" w14:textId="7D94AC44" w:rsidR="00BC39F7" w:rsidRDefault="00FF4C4F">
            <w:pPr>
              <w:spacing w:after="50" w:line="255" w:lineRule="auto"/>
            </w:pPr>
            <w:r>
              <w:rPr>
                <w:sz w:val="19"/>
                <w:szCs w:val="19"/>
              </w:rPr>
              <w:t>Cellular exposure rates and genome-wide packing prevalence.</w:t>
            </w:r>
            <w:hyperlink r:id="rId58" w:history="1">
              <w:r>
                <w:rPr>
                  <w:color w:val="087B78"/>
                  <w:sz w:val="18"/>
                  <w:szCs w:val="18"/>
                </w:rPr>
                <w:t xml:space="preserve"> [7]</w:t>
              </w:r>
            </w:hyperlink>
            <w:hyperlink r:id="rId59" w:history="1">
              <w:r>
                <w:rPr>
                  <w:color w:val="087B78"/>
                  <w:sz w:val="18"/>
                  <w:szCs w:val="18"/>
                </w:rPr>
                <w:t xml:space="preserve"> [8]</w:t>
              </w:r>
            </w:hyperlink>
          </w:p>
        </w:tc>
      </w:tr>
      <w:tr w:rsidR="00BC39F7" w14:paraId="0A43896C" w14:textId="77777777">
        <w:tblPrEx>
          <w:tblCellMar>
            <w:top w:w="0" w:type="dxa"/>
            <w:bottom w:w="0" w:type="dxa"/>
          </w:tblCellMar>
        </w:tblPrEx>
        <w:trPr>
          <w:cantSplit/>
        </w:trPr>
        <w:tc>
          <w:tcPr>
            <w:tcW w:w="3120" w:type="dxa"/>
            <w:tcMar>
              <w:top w:w="105" w:type="dxa"/>
              <w:left w:w="125" w:type="dxa"/>
              <w:bottom w:w="105" w:type="dxa"/>
              <w:right w:w="125" w:type="dxa"/>
            </w:tcMar>
          </w:tcPr>
          <w:p w14:paraId="654570A9" w14:textId="77777777" w:rsidR="00BC39F7" w:rsidRDefault="00FF4C4F">
            <w:pPr>
              <w:spacing w:after="50" w:line="255" w:lineRule="auto"/>
            </w:pPr>
            <w:r>
              <w:rPr>
                <w:sz w:val="19"/>
                <w:szCs w:val="19"/>
              </w:rPr>
              <w:t>Defined arrays and optical tweezers</w:t>
            </w:r>
          </w:p>
        </w:tc>
        <w:tc>
          <w:tcPr>
            <w:tcW w:w="3120" w:type="dxa"/>
            <w:tcMar>
              <w:top w:w="105" w:type="dxa"/>
              <w:left w:w="125" w:type="dxa"/>
              <w:bottom w:w="105" w:type="dxa"/>
              <w:right w:w="125" w:type="dxa"/>
            </w:tcMar>
          </w:tcPr>
          <w:p w14:paraId="33FFF43D" w14:textId="77777777" w:rsidR="00BC39F7" w:rsidRDefault="00FF4C4F">
            <w:pPr>
              <w:spacing w:after="50" w:line="255" w:lineRule="auto"/>
            </w:pPr>
            <w:r>
              <w:rPr>
                <w:sz w:val="19"/>
                <w:szCs w:val="19"/>
              </w:rPr>
              <w:t>Composition-dependent folding, interactions and force responses.</w:t>
            </w:r>
          </w:p>
        </w:tc>
        <w:tc>
          <w:tcPr>
            <w:tcW w:w="3120" w:type="dxa"/>
            <w:tcMar>
              <w:top w:w="105" w:type="dxa"/>
              <w:left w:w="125" w:type="dxa"/>
              <w:bottom w:w="105" w:type="dxa"/>
              <w:right w:w="125" w:type="dxa"/>
            </w:tcMar>
          </w:tcPr>
          <w:p w14:paraId="7D4990C3" w14:textId="01439BEF" w:rsidR="00BC39F7" w:rsidRDefault="00FF4C4F">
            <w:pPr>
              <w:spacing w:after="50" w:line="255" w:lineRule="auto"/>
            </w:pPr>
            <w:r>
              <w:rPr>
                <w:sz w:val="19"/>
                <w:szCs w:val="19"/>
              </w:rPr>
              <w:t>Mechanical constants of an intact nucleus in a particular cell state.</w:t>
            </w:r>
            <w:hyperlink r:id="rId60" w:history="1">
              <w:r>
                <w:rPr>
                  <w:color w:val="087B78"/>
                  <w:sz w:val="18"/>
                  <w:szCs w:val="18"/>
                </w:rPr>
                <w:t xml:space="preserve"> [10]</w:t>
              </w:r>
            </w:hyperlink>
            <w:hyperlink r:id="rId61" w:history="1">
              <w:r>
                <w:rPr>
                  <w:color w:val="087B78"/>
                  <w:sz w:val="18"/>
                  <w:szCs w:val="18"/>
                </w:rPr>
                <w:t xml:space="preserve"> [11]</w:t>
              </w:r>
            </w:hyperlink>
            <w:hyperlink r:id="rId62" w:history="1">
              <w:r>
                <w:rPr>
                  <w:color w:val="087B78"/>
                  <w:sz w:val="18"/>
                  <w:szCs w:val="18"/>
                </w:rPr>
                <w:t xml:space="preserve"> [9]</w:t>
              </w:r>
            </w:hyperlink>
          </w:p>
        </w:tc>
      </w:tr>
      <w:tr w:rsidR="00BC39F7" w14:paraId="7D9ED285" w14:textId="77777777">
        <w:tblPrEx>
          <w:tblCellMar>
            <w:top w:w="0" w:type="dxa"/>
            <w:bottom w:w="0" w:type="dxa"/>
          </w:tblCellMar>
        </w:tblPrEx>
        <w:trPr>
          <w:cantSplit/>
        </w:trPr>
        <w:tc>
          <w:tcPr>
            <w:tcW w:w="3120" w:type="dxa"/>
            <w:tcMar>
              <w:top w:w="105" w:type="dxa"/>
              <w:left w:w="125" w:type="dxa"/>
              <w:bottom w:w="105" w:type="dxa"/>
              <w:right w:w="125" w:type="dxa"/>
            </w:tcMar>
          </w:tcPr>
          <w:p w14:paraId="5BFB9C05" w14:textId="77777777" w:rsidR="00BC39F7" w:rsidRDefault="00FF4C4F">
            <w:pPr>
              <w:spacing w:after="50" w:line="255" w:lineRule="auto"/>
            </w:pPr>
            <w:r>
              <w:rPr>
                <w:sz w:val="19"/>
                <w:szCs w:val="19"/>
              </w:rPr>
              <w:t>Cryo-ET and DNA-probe MINFLUX</w:t>
            </w:r>
          </w:p>
        </w:tc>
        <w:tc>
          <w:tcPr>
            <w:tcW w:w="3120" w:type="dxa"/>
            <w:tcMar>
              <w:top w:w="105" w:type="dxa"/>
              <w:left w:w="125" w:type="dxa"/>
              <w:bottom w:w="105" w:type="dxa"/>
              <w:right w:w="125" w:type="dxa"/>
            </w:tcMar>
          </w:tcPr>
          <w:p w14:paraId="5E9D56F6" w14:textId="77777777" w:rsidR="00BC39F7" w:rsidRDefault="00FF4C4F">
            <w:pPr>
              <w:spacing w:after="50" w:line="255" w:lineRule="auto"/>
            </w:pPr>
            <w:r>
              <w:rPr>
                <w:sz w:val="19"/>
                <w:szCs w:val="19"/>
              </w:rPr>
              <w:t>Local nucleosome organization or selected DNA localizations.</w:t>
            </w:r>
          </w:p>
        </w:tc>
        <w:tc>
          <w:tcPr>
            <w:tcW w:w="3120" w:type="dxa"/>
            <w:tcMar>
              <w:top w:w="105" w:type="dxa"/>
              <w:left w:w="125" w:type="dxa"/>
              <w:bottom w:w="105" w:type="dxa"/>
              <w:right w:w="125" w:type="dxa"/>
            </w:tcMar>
          </w:tcPr>
          <w:p w14:paraId="551E11D4" w14:textId="2E5DE224" w:rsidR="00BC39F7" w:rsidRDefault="00FF4C4F">
            <w:pPr>
              <w:spacing w:after="50" w:line="255" w:lineRule="auto"/>
            </w:pPr>
            <w:r>
              <w:rPr>
                <w:sz w:val="19"/>
                <w:szCs w:val="19"/>
              </w:rPr>
              <w:t>Complete genome topology and unbiased census of all local structures.</w:t>
            </w:r>
            <w:hyperlink r:id="rId63" w:history="1">
              <w:r>
                <w:rPr>
                  <w:color w:val="087B78"/>
                  <w:sz w:val="18"/>
                  <w:szCs w:val="18"/>
                </w:rPr>
                <w:t xml:space="preserve"> [14]</w:t>
              </w:r>
            </w:hyperlink>
            <w:hyperlink r:id="rId64" w:history="1">
              <w:r>
                <w:rPr>
                  <w:color w:val="087B78"/>
                  <w:sz w:val="18"/>
                  <w:szCs w:val="18"/>
                </w:rPr>
                <w:t xml:space="preserve"> [15]</w:t>
              </w:r>
            </w:hyperlink>
            <w:hyperlink r:id="rId65" w:history="1">
              <w:r>
                <w:rPr>
                  <w:color w:val="087B78"/>
                  <w:sz w:val="18"/>
                  <w:szCs w:val="18"/>
                </w:rPr>
                <w:t xml:space="preserve"> [16]</w:t>
              </w:r>
            </w:hyperlink>
          </w:p>
        </w:tc>
      </w:tr>
      <w:tr w:rsidR="00BC39F7" w14:paraId="400F2339" w14:textId="77777777">
        <w:tblPrEx>
          <w:tblCellMar>
            <w:top w:w="0" w:type="dxa"/>
            <w:bottom w:w="0" w:type="dxa"/>
          </w:tblCellMar>
        </w:tblPrEx>
        <w:trPr>
          <w:cantSplit/>
        </w:trPr>
        <w:tc>
          <w:tcPr>
            <w:tcW w:w="3120" w:type="dxa"/>
            <w:tcMar>
              <w:top w:w="105" w:type="dxa"/>
              <w:left w:w="125" w:type="dxa"/>
              <w:bottom w:w="105" w:type="dxa"/>
              <w:right w:w="125" w:type="dxa"/>
            </w:tcMar>
          </w:tcPr>
          <w:p w14:paraId="50FF36B8" w14:textId="77777777" w:rsidR="00BC39F7" w:rsidRDefault="00FF4C4F">
            <w:pPr>
              <w:spacing w:after="50" w:line="255" w:lineRule="auto"/>
            </w:pPr>
            <w:r>
              <w:rPr>
                <w:sz w:val="19"/>
                <w:szCs w:val="19"/>
              </w:rPr>
              <w:lastRenderedPageBreak/>
              <w:t>Hi-C and live-locus tracking</w:t>
            </w:r>
          </w:p>
        </w:tc>
        <w:tc>
          <w:tcPr>
            <w:tcW w:w="3120" w:type="dxa"/>
            <w:tcMar>
              <w:top w:w="105" w:type="dxa"/>
              <w:left w:w="125" w:type="dxa"/>
              <w:bottom w:w="105" w:type="dxa"/>
              <w:right w:w="125" w:type="dxa"/>
            </w:tcMar>
          </w:tcPr>
          <w:p w14:paraId="69E31B2A" w14:textId="77777777" w:rsidR="00BC39F7" w:rsidRDefault="00FF4C4F">
            <w:pPr>
              <w:spacing w:after="50" w:line="255" w:lineRule="auto"/>
            </w:pPr>
            <w:r>
              <w:rPr>
                <w:sz w:val="19"/>
                <w:szCs w:val="19"/>
              </w:rPr>
              <w:t>Population contacts or temporal label separations with perturbation constraints.</w:t>
            </w:r>
          </w:p>
        </w:tc>
        <w:tc>
          <w:tcPr>
            <w:tcW w:w="3120" w:type="dxa"/>
            <w:tcMar>
              <w:top w:w="105" w:type="dxa"/>
              <w:left w:w="125" w:type="dxa"/>
              <w:bottom w:w="105" w:type="dxa"/>
              <w:right w:w="125" w:type="dxa"/>
            </w:tcMar>
          </w:tcPr>
          <w:p w14:paraId="489610CB" w14:textId="1E69F4B1" w:rsidR="00BC39F7" w:rsidRDefault="00FF4C4F">
            <w:pPr>
              <w:spacing w:after="50" w:line="255" w:lineRule="auto"/>
            </w:pPr>
            <w:r>
              <w:rPr>
                <w:sz w:val="19"/>
                <w:szCs w:val="19"/>
              </w:rPr>
              <w:t>A unique continuous DNA path and direct cellular motor movement.</w:t>
            </w:r>
            <w:hyperlink r:id="rId66" w:history="1">
              <w:r>
                <w:rPr>
                  <w:color w:val="087B78"/>
                  <w:sz w:val="18"/>
                  <w:szCs w:val="18"/>
                </w:rPr>
                <w:t xml:space="preserve"> [3]</w:t>
              </w:r>
            </w:hyperlink>
            <w:hyperlink r:id="rId67" w:history="1">
              <w:r>
                <w:rPr>
                  <w:color w:val="087B78"/>
                  <w:sz w:val="18"/>
                  <w:szCs w:val="18"/>
                </w:rPr>
                <w:t xml:space="preserve"> [17]</w:t>
              </w:r>
            </w:hyperlink>
          </w:p>
        </w:tc>
      </w:tr>
      <w:tr w:rsidR="00BC39F7" w14:paraId="426D6551" w14:textId="77777777">
        <w:tblPrEx>
          <w:tblCellMar>
            <w:top w:w="0" w:type="dxa"/>
            <w:bottom w:w="0" w:type="dxa"/>
          </w:tblCellMar>
        </w:tblPrEx>
        <w:trPr>
          <w:cantSplit/>
        </w:trPr>
        <w:tc>
          <w:tcPr>
            <w:tcW w:w="3120" w:type="dxa"/>
            <w:tcMar>
              <w:top w:w="105" w:type="dxa"/>
              <w:left w:w="125" w:type="dxa"/>
              <w:bottom w:w="105" w:type="dxa"/>
              <w:right w:w="125" w:type="dxa"/>
            </w:tcMar>
          </w:tcPr>
          <w:p w14:paraId="1FC715A1" w14:textId="77777777" w:rsidR="00BC39F7" w:rsidRDefault="00FF4C4F">
            <w:pPr>
              <w:spacing w:after="50" w:line="255" w:lineRule="auto"/>
            </w:pPr>
            <w:r>
              <w:rPr>
                <w:sz w:val="19"/>
                <w:szCs w:val="19"/>
              </w:rPr>
              <w:t>Condensate reconstitution and cellular transport tests</w:t>
            </w:r>
          </w:p>
        </w:tc>
        <w:tc>
          <w:tcPr>
            <w:tcW w:w="3120" w:type="dxa"/>
            <w:tcMar>
              <w:top w:w="105" w:type="dxa"/>
              <w:left w:w="125" w:type="dxa"/>
              <w:bottom w:w="105" w:type="dxa"/>
              <w:right w:w="125" w:type="dxa"/>
            </w:tcMar>
          </w:tcPr>
          <w:p w14:paraId="339585C0" w14:textId="77777777" w:rsidR="00BC39F7" w:rsidRDefault="00FF4C4F">
            <w:pPr>
              <w:spacing w:after="50" w:line="255" w:lineRule="auto"/>
            </w:pPr>
            <w:r>
              <w:rPr>
                <w:sz w:val="19"/>
                <w:szCs w:val="19"/>
              </w:rPr>
              <w:t>Phase capacity, internal mixing and domain-specific partition or exchange.</w:t>
            </w:r>
          </w:p>
        </w:tc>
        <w:tc>
          <w:tcPr>
            <w:tcW w:w="3120" w:type="dxa"/>
            <w:tcMar>
              <w:top w:w="105" w:type="dxa"/>
              <w:left w:w="125" w:type="dxa"/>
              <w:bottom w:w="105" w:type="dxa"/>
              <w:right w:w="125" w:type="dxa"/>
            </w:tcMar>
          </w:tcPr>
          <w:p w14:paraId="0A38DC70" w14:textId="0FA31A93" w:rsidR="00BC39F7" w:rsidRDefault="00FF4C4F">
            <w:pPr>
              <w:spacing w:after="50" w:line="255" w:lineRule="auto"/>
            </w:pPr>
            <w:r>
              <w:rPr>
                <w:sz w:val="19"/>
                <w:szCs w:val="19"/>
              </w:rPr>
              <w:t>A universal material-state mechanism for all chromatin.</w:t>
            </w:r>
            <w:hyperlink r:id="rId68" w:history="1">
              <w:r>
                <w:rPr>
                  <w:color w:val="087B78"/>
                  <w:sz w:val="18"/>
                  <w:szCs w:val="18"/>
                </w:rPr>
                <w:t xml:space="preserve"> [12]</w:t>
              </w:r>
            </w:hyperlink>
            <w:hyperlink r:id="rId69" w:history="1">
              <w:r>
                <w:rPr>
                  <w:color w:val="087B78"/>
                  <w:sz w:val="18"/>
                  <w:szCs w:val="18"/>
                </w:rPr>
                <w:t xml:space="preserve"> [13]</w:t>
              </w:r>
            </w:hyperlink>
            <w:hyperlink r:id="rId70" w:history="1">
              <w:r>
                <w:rPr>
                  <w:color w:val="087B78"/>
                  <w:sz w:val="18"/>
                  <w:szCs w:val="18"/>
                </w:rPr>
                <w:t xml:space="preserve"> [19]</w:t>
              </w:r>
            </w:hyperlink>
          </w:p>
        </w:tc>
      </w:tr>
    </w:tbl>
    <w:p w14:paraId="79D4A9D7" w14:textId="77777777" w:rsidR="00BC39F7" w:rsidRDefault="00BC39F7">
      <w:pPr>
        <w:spacing w:after="170"/>
      </w:pPr>
    </w:p>
    <w:p w14:paraId="6E84A001" w14:textId="77777777" w:rsidR="00BC39F7" w:rsidRDefault="00FF4C4F">
      <w:pPr>
        <w:pStyle w:val="Heading1"/>
      </w:pPr>
      <w:bookmarkStart w:id="9" w:name="_Toc242668335"/>
      <w:r>
        <w:t>9. Linking physical organization to biological function</w:t>
      </w:r>
      <w:bookmarkEnd w:id="9"/>
    </w:p>
    <w:p w14:paraId="70FB2CCA" w14:textId="735EBECB" w:rsidR="00BC39F7" w:rsidRDefault="00FF4C4F">
      <w:r>
        <w:t>The connection to function is strongest when an intervention separates physical variables. Homogeneous H4K16 acetylation changed array folding and ACF action; defined-factor reconstruction linked histone substrate handling to chromatid assembly. These experiments show how a molecular alteration can propagate through a physical system. They also demonstrate that structure and protein recognition are intertwined: a modification may influence both contacts and an enzyme, so its downstream cellular effects requ</w:t>
      </w:r>
      <w:r>
        <w:t>ire more than a structural image.</w:t>
      </w:r>
      <w:hyperlink r:id="rId71" w:history="1">
        <w:r>
          <w:rPr>
            <w:color w:val="087B78"/>
            <w:sz w:val="18"/>
            <w:szCs w:val="18"/>
          </w:rPr>
          <w:t xml:space="preserve"> [11]</w:t>
        </w:r>
      </w:hyperlink>
      <w:hyperlink r:id="rId72" w:history="1">
        <w:r>
          <w:rPr>
            <w:color w:val="087B78"/>
            <w:sz w:val="18"/>
            <w:szCs w:val="18"/>
          </w:rPr>
          <w:t xml:space="preserve"> [1]</w:t>
        </w:r>
      </w:hyperlink>
    </w:p>
    <w:p w14:paraId="6EF226E8" w14:textId="27A92FA6" w:rsidR="00BC39F7" w:rsidRDefault="00FF4C4F">
      <w:r>
        <w:t>Cellular functional interpretation likewise benefits from independent observables. A chromosome-organizing perturbation can change contacts, protein localization and morphology in distinguishable ways. Measuring them together helps determine whether a cellular phenotype arises from altered local packing, changed loop organization or a defect in individualization. The general value of a biophysical account is this ability to connect scales with testable predictions, rather than assign all regulation to a sin</w:t>
      </w:r>
      <w:r>
        <w:t>gle material category.</w:t>
      </w:r>
      <w:hyperlink r:id="rId73" w:history="1">
        <w:r>
          <w:rPr>
            <w:color w:val="087B78"/>
            <w:sz w:val="18"/>
            <w:szCs w:val="18"/>
          </w:rPr>
          <w:t xml:space="preserve"> [3]</w:t>
        </w:r>
      </w:hyperlink>
      <w:hyperlink r:id="rId74" w:history="1">
        <w:r>
          <w:rPr>
            <w:color w:val="087B78"/>
            <w:sz w:val="18"/>
            <w:szCs w:val="18"/>
          </w:rPr>
          <w:t xml:space="preserve"> [6]</w:t>
        </w:r>
      </w:hyperlink>
      <w:hyperlink r:id="rId75" w:history="1">
        <w:r>
          <w:rPr>
            <w:color w:val="087B78"/>
            <w:sz w:val="18"/>
            <w:szCs w:val="18"/>
          </w:rPr>
          <w:t xml:space="preserve"> [4]</w:t>
        </w:r>
      </w:hyperlink>
    </w:p>
    <w:p w14:paraId="5ACB9747" w14:textId="77777777" w:rsidR="00BC39F7" w:rsidRDefault="00FF4C4F">
      <w:pPr>
        <w:pStyle w:val="Heading1"/>
      </w:pPr>
      <w:bookmarkStart w:id="10" w:name="_Toc242668336"/>
      <w:r>
        <w:t>10. Current synthesis and priorities</w:t>
      </w:r>
      <w:bookmarkEnd w:id="10"/>
    </w:p>
    <w:p w14:paraId="4F776884" w14:textId="08C4550F" w:rsidR="00BC39F7" w:rsidRDefault="00FF4C4F">
      <w:r>
        <w:t xml:space="preserve">Current evidence supports chromatin as a variable interaction network whose behavior changes with composition, geometry and active organization. Native ultrastructure, force spectroscopy and dynamic locus tracking are beginning to constrain the same questions from different directions. The immediate challenge is to relate their preparations and spatial scales, so that an inferred material property refers to a defined process in a defined chromatin state. This is more informative than a universal stiffness, </w:t>
      </w:r>
      <w:r>
        <w:t>viscosity or fiber diameter.</w:t>
      </w:r>
      <w:hyperlink r:id="rId76" w:history="1">
        <w:r>
          <w:rPr>
            <w:color w:val="087B78"/>
            <w:sz w:val="18"/>
            <w:szCs w:val="18"/>
          </w:rPr>
          <w:t xml:space="preserve"> [9]</w:t>
        </w:r>
      </w:hyperlink>
      <w:hyperlink r:id="rId77" w:history="1">
        <w:r>
          <w:rPr>
            <w:color w:val="087B78"/>
            <w:sz w:val="18"/>
            <w:szCs w:val="18"/>
          </w:rPr>
          <w:t xml:space="preserve"> [14]</w:t>
        </w:r>
      </w:hyperlink>
      <w:hyperlink r:id="rId78" w:history="1">
        <w:r>
          <w:rPr>
            <w:color w:val="087B78"/>
            <w:sz w:val="18"/>
            <w:szCs w:val="18"/>
          </w:rPr>
          <w:t xml:space="preserve"> [15]</w:t>
        </w:r>
      </w:hyperlink>
      <w:hyperlink r:id="rId79" w:history="1">
        <w:r>
          <w:rPr>
            <w:color w:val="087B78"/>
            <w:sz w:val="18"/>
            <w:szCs w:val="18"/>
          </w:rPr>
          <w:t xml:space="preserve"> [17]</w:t>
        </w:r>
      </w:hyperlink>
    </w:p>
    <w:p w14:paraId="32F1751C" w14:textId="13431121" w:rsidR="00BC39F7" w:rsidRDefault="00FF4C4F">
      <w:r>
        <w:t>A productive next experiment would combine a controlled molecular perturbation with structural and dynamic readouts in the same context. The evidence motivates testing whether a change in local nucleosome interactions predicts altered force response, whether altered looping changes the same domain’s motion, and whether a concentration focus has a transport boundary. These are source-motivated questions, not assumptions that every physical mechanism operates identically across the nucleus.</w:t>
      </w:r>
      <w:hyperlink r:id="rId80" w:history="1">
        <w:r>
          <w:rPr>
            <w:color w:val="087B78"/>
            <w:sz w:val="18"/>
            <w:szCs w:val="18"/>
          </w:rPr>
          <w:t xml:space="preserve"> [11]</w:t>
        </w:r>
      </w:hyperlink>
      <w:hyperlink r:id="rId81" w:history="1">
        <w:r>
          <w:rPr>
            <w:color w:val="087B78"/>
            <w:sz w:val="18"/>
            <w:szCs w:val="18"/>
          </w:rPr>
          <w:t xml:space="preserve"> [2]</w:t>
        </w:r>
      </w:hyperlink>
      <w:hyperlink r:id="rId82" w:history="1">
        <w:r>
          <w:rPr>
            <w:color w:val="087B78"/>
            <w:sz w:val="18"/>
            <w:szCs w:val="18"/>
          </w:rPr>
          <w:t xml:space="preserve"> [17]</w:t>
        </w:r>
      </w:hyperlink>
      <w:hyperlink r:id="rId83" w:history="1">
        <w:r>
          <w:rPr>
            <w:color w:val="087B78"/>
            <w:sz w:val="18"/>
            <w:szCs w:val="18"/>
          </w:rPr>
          <w:t xml:space="preserve"> [13]</w:t>
        </w:r>
      </w:hyperlink>
    </w:p>
    <w:p w14:paraId="74266EE3" w14:textId="77777777" w:rsidR="00BC39F7" w:rsidRDefault="00FF4C4F">
      <w:pPr>
        <w:pStyle w:val="Heading1"/>
      </w:pPr>
      <w:bookmarkStart w:id="11" w:name="_Toc242668337"/>
      <w:r>
        <w:lastRenderedPageBreak/>
        <w:t>References</w:t>
      </w:r>
      <w:bookmarkEnd w:id="11"/>
    </w:p>
    <w:p w14:paraId="0178F1C1" w14:textId="639F355B" w:rsidR="00BC39F7" w:rsidRDefault="00FF4C4F">
      <w:pPr>
        <w:keepLines/>
        <w:spacing w:after="90" w:line="245" w:lineRule="auto"/>
      </w:pPr>
      <w:r>
        <w:rPr>
          <w:b/>
          <w:bCs/>
          <w:sz w:val="20"/>
          <w:szCs w:val="20"/>
        </w:rPr>
        <w:t xml:space="preserve">[1] Shintomi K, Takahashi TS, Hirano T (2015). </w:t>
      </w:r>
      <w:r>
        <w:rPr>
          <w:sz w:val="20"/>
          <w:szCs w:val="20"/>
        </w:rPr>
        <w:t xml:space="preserve">Reconstitution of mitotic chromatids with a minimum set of purified factors. Nature Cell Biology 17:1014–1023. </w:t>
      </w:r>
      <w:hyperlink r:id="rId84" w:history="1">
        <w:r>
          <w:rPr>
            <w:color w:val="087B78"/>
            <w:sz w:val="20"/>
            <w:szCs w:val="20"/>
            <w:u w:val="single"/>
          </w:rPr>
          <w:t>10.1038/ncb3187</w:t>
        </w:r>
      </w:hyperlink>
    </w:p>
    <w:p w14:paraId="17DF332F" w14:textId="2FF60B1D" w:rsidR="00BC39F7" w:rsidRDefault="00FF4C4F">
      <w:pPr>
        <w:keepLines/>
        <w:spacing w:after="90" w:line="245" w:lineRule="auto"/>
      </w:pPr>
      <w:r>
        <w:rPr>
          <w:b/>
          <w:bCs/>
          <w:sz w:val="20"/>
          <w:szCs w:val="20"/>
        </w:rPr>
        <w:t xml:space="preserve">[2] Ganji M, Shaltiel IA, Bisht S, et al. (2018). </w:t>
      </w:r>
      <w:r>
        <w:rPr>
          <w:sz w:val="20"/>
          <w:szCs w:val="20"/>
        </w:rPr>
        <w:t xml:space="preserve">Real-time imaging of DNA loop extrusion by condensin. Science 360:102–105. </w:t>
      </w:r>
      <w:hyperlink r:id="rId85" w:history="1">
        <w:r>
          <w:rPr>
            <w:color w:val="087B78"/>
            <w:sz w:val="20"/>
            <w:szCs w:val="20"/>
            <w:u w:val="single"/>
          </w:rPr>
          <w:t>10.1126/science.aar7831</w:t>
        </w:r>
      </w:hyperlink>
    </w:p>
    <w:p w14:paraId="68BB6325" w14:textId="018CBC1F" w:rsidR="00BC39F7" w:rsidRDefault="00FF4C4F">
      <w:pPr>
        <w:keepLines/>
        <w:spacing w:after="90" w:line="245" w:lineRule="auto"/>
      </w:pPr>
      <w:r>
        <w:rPr>
          <w:b/>
          <w:bCs/>
          <w:sz w:val="20"/>
          <w:szCs w:val="20"/>
        </w:rPr>
        <w:t xml:space="preserve">[3] Gibcus JH, Samejima K, Goloborodko A, et al. (2018). </w:t>
      </w:r>
      <w:r>
        <w:rPr>
          <w:sz w:val="20"/>
          <w:szCs w:val="20"/>
        </w:rPr>
        <w:t xml:space="preserve">A pathway for mitotic chromosome formation. Science 359:eaao6135. </w:t>
      </w:r>
      <w:hyperlink r:id="rId86" w:history="1">
        <w:r>
          <w:rPr>
            <w:color w:val="087B78"/>
            <w:sz w:val="20"/>
            <w:szCs w:val="20"/>
            <w:u w:val="single"/>
          </w:rPr>
          <w:t>10.1126/science.aao6135</w:t>
        </w:r>
      </w:hyperlink>
    </w:p>
    <w:p w14:paraId="77D77C4F" w14:textId="62CF5AFE" w:rsidR="00BC39F7" w:rsidRDefault="00FF4C4F">
      <w:pPr>
        <w:keepLines/>
        <w:spacing w:after="90" w:line="245" w:lineRule="auto"/>
      </w:pPr>
      <w:r>
        <w:rPr>
          <w:b/>
          <w:bCs/>
          <w:sz w:val="20"/>
          <w:szCs w:val="20"/>
        </w:rPr>
        <w:t xml:space="preserve">[4] Walther N, Hossain MJ, Politi AZ, et al. (2018). </w:t>
      </w:r>
      <w:r>
        <w:rPr>
          <w:sz w:val="20"/>
          <w:szCs w:val="20"/>
        </w:rPr>
        <w:t xml:space="preserve">A quantitative map of human Condensins provides new insights into mitotic chromosome architecture. Journal of Cell Biology 217:2309–2328. </w:t>
      </w:r>
      <w:hyperlink r:id="rId87" w:history="1">
        <w:r>
          <w:rPr>
            <w:color w:val="087B78"/>
            <w:sz w:val="20"/>
            <w:szCs w:val="20"/>
            <w:u w:val="single"/>
          </w:rPr>
          <w:t>10.1083/jcb.201801048</w:t>
        </w:r>
      </w:hyperlink>
    </w:p>
    <w:p w14:paraId="20C8E095" w14:textId="5BFD6122" w:rsidR="00BC39F7" w:rsidRDefault="00FF4C4F">
      <w:pPr>
        <w:keepLines/>
        <w:spacing w:after="90" w:line="245" w:lineRule="auto"/>
      </w:pPr>
      <w:r>
        <w:rPr>
          <w:b/>
          <w:bCs/>
          <w:sz w:val="20"/>
          <w:szCs w:val="20"/>
        </w:rPr>
        <w:t xml:space="preserve">[5] Nishino Y, Eltsov M, Joti Y, et al. (2012). </w:t>
      </w:r>
      <w:r>
        <w:rPr>
          <w:sz w:val="20"/>
          <w:szCs w:val="20"/>
        </w:rPr>
        <w:t xml:space="preserve">Human mitotic chromosomes consist predominantly of irregularly folded nucleosome fibres without a 30-nm chromatin structure. EMBO Journal 31:1644–1653. </w:t>
      </w:r>
      <w:hyperlink r:id="rId88" w:history="1">
        <w:r>
          <w:rPr>
            <w:color w:val="087B78"/>
            <w:sz w:val="20"/>
            <w:szCs w:val="20"/>
            <w:u w:val="single"/>
          </w:rPr>
          <w:t>10.1038/emboj.2012.35</w:t>
        </w:r>
      </w:hyperlink>
    </w:p>
    <w:p w14:paraId="555C6D99" w14:textId="48E1851F" w:rsidR="00BC39F7" w:rsidRDefault="00FF4C4F">
      <w:pPr>
        <w:keepLines/>
        <w:spacing w:after="90" w:line="245" w:lineRule="auto"/>
      </w:pPr>
      <w:r>
        <w:rPr>
          <w:b/>
          <w:bCs/>
          <w:sz w:val="20"/>
          <w:szCs w:val="20"/>
        </w:rPr>
        <w:t xml:space="preserve">[6] Samejima K, Gibcus JH, Abraham S, et al. (2025). </w:t>
      </w:r>
      <w:r>
        <w:rPr>
          <w:sz w:val="20"/>
          <w:szCs w:val="20"/>
        </w:rPr>
        <w:t xml:space="preserve">Rules of engagement for condensins and cohesins guide mitotic chromosome formation. Science 388:eadq1709. </w:t>
      </w:r>
      <w:hyperlink r:id="rId89" w:history="1">
        <w:r>
          <w:rPr>
            <w:color w:val="087B78"/>
            <w:sz w:val="20"/>
            <w:szCs w:val="20"/>
            <w:u w:val="single"/>
          </w:rPr>
          <w:t>10.1126/science.adq1709</w:t>
        </w:r>
      </w:hyperlink>
    </w:p>
    <w:p w14:paraId="55E56CA2" w14:textId="7C998656" w:rsidR="00BC39F7" w:rsidRDefault="00FF4C4F">
      <w:pPr>
        <w:keepLines/>
        <w:spacing w:after="90" w:line="245" w:lineRule="auto"/>
      </w:pPr>
      <w:r>
        <w:rPr>
          <w:b/>
          <w:bCs/>
          <w:sz w:val="20"/>
          <w:szCs w:val="20"/>
        </w:rPr>
        <w:t xml:space="preserve">[7] Luger K, Mäder AW, Richmond RK, Sargent DF, Richmond TJ (1997). </w:t>
      </w:r>
      <w:r>
        <w:rPr>
          <w:sz w:val="20"/>
          <w:szCs w:val="20"/>
        </w:rPr>
        <w:t xml:space="preserve">Crystal structure of the nucleosome core particle at 2.8 Å resolution. Nature 389:251–260. </w:t>
      </w:r>
      <w:hyperlink r:id="rId90" w:history="1">
        <w:r>
          <w:rPr>
            <w:color w:val="087B78"/>
            <w:sz w:val="20"/>
            <w:szCs w:val="20"/>
            <w:u w:val="single"/>
          </w:rPr>
          <w:t>10.1038/38444</w:t>
        </w:r>
      </w:hyperlink>
    </w:p>
    <w:p w14:paraId="5D856BD3" w14:textId="73A97D66" w:rsidR="00BC39F7" w:rsidRDefault="00FF4C4F">
      <w:pPr>
        <w:keepLines/>
        <w:spacing w:after="90" w:line="245" w:lineRule="auto"/>
      </w:pPr>
      <w:r>
        <w:rPr>
          <w:b/>
          <w:bCs/>
          <w:sz w:val="20"/>
          <w:szCs w:val="20"/>
        </w:rPr>
        <w:t xml:space="preserve">[8] Polach KJ, Widom J (1995). </w:t>
      </w:r>
      <w:r>
        <w:rPr>
          <w:sz w:val="20"/>
          <w:szCs w:val="20"/>
        </w:rPr>
        <w:t xml:space="preserve">Mechanism of protein access to specific DNA sequences in chromatin: a dynamic equilibrium model for gene regulation. Journal of Molecular Biology 254:130–149. </w:t>
      </w:r>
      <w:hyperlink r:id="rId91" w:history="1">
        <w:r>
          <w:rPr>
            <w:color w:val="087B78"/>
            <w:sz w:val="20"/>
            <w:szCs w:val="20"/>
            <w:u w:val="single"/>
          </w:rPr>
          <w:t>10.1006/jmbi.1995.0606</w:t>
        </w:r>
      </w:hyperlink>
    </w:p>
    <w:p w14:paraId="628669D9" w14:textId="5753B08E" w:rsidR="00BC39F7" w:rsidRDefault="00FF4C4F">
      <w:pPr>
        <w:keepLines/>
        <w:spacing w:after="90" w:line="245" w:lineRule="auto"/>
      </w:pPr>
      <w:r>
        <w:rPr>
          <w:b/>
          <w:bCs/>
          <w:sz w:val="20"/>
          <w:szCs w:val="20"/>
        </w:rPr>
        <w:t xml:space="preserve">[9] Cui Y, Bustamante C (2000). </w:t>
      </w:r>
      <w:r>
        <w:rPr>
          <w:sz w:val="20"/>
          <w:szCs w:val="20"/>
        </w:rPr>
        <w:t xml:space="preserve">Pulling a single chromatin fiber reveals the forces that maintain its higher-order structure. PNAS 97:127–132. </w:t>
      </w:r>
      <w:hyperlink r:id="rId92" w:history="1">
        <w:r>
          <w:rPr>
            <w:color w:val="087B78"/>
            <w:sz w:val="20"/>
            <w:szCs w:val="20"/>
            <w:u w:val="single"/>
          </w:rPr>
          <w:t>10.1073/pnas.97.1.127</w:t>
        </w:r>
      </w:hyperlink>
    </w:p>
    <w:p w14:paraId="59978EC2" w14:textId="3030FE3B" w:rsidR="00BC39F7" w:rsidRDefault="00FF4C4F">
      <w:pPr>
        <w:keepLines/>
        <w:spacing w:after="90" w:line="245" w:lineRule="auto"/>
      </w:pPr>
      <w:r>
        <w:rPr>
          <w:b/>
          <w:bCs/>
          <w:sz w:val="20"/>
          <w:szCs w:val="20"/>
        </w:rPr>
        <w:t xml:space="preserve">[10] Routh A, Sandin S, Rhodes D (2008). </w:t>
      </w:r>
      <w:r>
        <w:rPr>
          <w:sz w:val="20"/>
          <w:szCs w:val="20"/>
        </w:rPr>
        <w:t xml:space="preserve">Nucleosome repeat length and linker histone stoichiometry determine chromatin fiber structure. PNAS 105:8872–8877. </w:t>
      </w:r>
      <w:hyperlink r:id="rId93" w:history="1">
        <w:r>
          <w:rPr>
            <w:color w:val="087B78"/>
            <w:sz w:val="20"/>
            <w:szCs w:val="20"/>
            <w:u w:val="single"/>
          </w:rPr>
          <w:t>10.1073/pnas.0802336105</w:t>
        </w:r>
      </w:hyperlink>
    </w:p>
    <w:p w14:paraId="264C9C05" w14:textId="29FA9B1E" w:rsidR="00BC39F7" w:rsidRDefault="00FF4C4F">
      <w:pPr>
        <w:keepLines/>
        <w:spacing w:after="90" w:line="245" w:lineRule="auto"/>
      </w:pPr>
      <w:r>
        <w:rPr>
          <w:b/>
          <w:bCs/>
          <w:sz w:val="20"/>
          <w:szCs w:val="20"/>
        </w:rPr>
        <w:t xml:space="preserve">[11] Shogren-Knaak M, Ishii H, Sun JM, Pazin MJ, Davie JR, Peterson CL (2006). </w:t>
      </w:r>
      <w:r>
        <w:rPr>
          <w:sz w:val="20"/>
          <w:szCs w:val="20"/>
        </w:rPr>
        <w:t xml:space="preserve">Histone H4-K16 Acetylation Controls Chromatin Structure and Protein Interactions. Science 311:844–847. </w:t>
      </w:r>
      <w:hyperlink r:id="rId94" w:history="1">
        <w:r>
          <w:rPr>
            <w:color w:val="087B78"/>
            <w:sz w:val="20"/>
            <w:szCs w:val="20"/>
            <w:u w:val="single"/>
          </w:rPr>
          <w:t>10.1126/science.1124000</w:t>
        </w:r>
      </w:hyperlink>
    </w:p>
    <w:p w14:paraId="640A22BD" w14:textId="2101031F" w:rsidR="00BC39F7" w:rsidRDefault="00FF4C4F">
      <w:pPr>
        <w:keepLines/>
        <w:spacing w:after="90" w:line="245" w:lineRule="auto"/>
      </w:pPr>
      <w:r>
        <w:rPr>
          <w:b/>
          <w:bCs/>
          <w:sz w:val="20"/>
          <w:szCs w:val="20"/>
        </w:rPr>
        <w:t xml:space="preserve">[12] Gibson BA, Doolittle LK, Schneider MWG, et al. (2019). </w:t>
      </w:r>
      <w:r>
        <w:rPr>
          <w:sz w:val="20"/>
          <w:szCs w:val="20"/>
        </w:rPr>
        <w:t xml:space="preserve">Organization of Chromatin by Intrinsic and Regulated Phase Separation. Cell 179:470–484.e21. </w:t>
      </w:r>
      <w:hyperlink r:id="rId95" w:history="1">
        <w:r>
          <w:rPr>
            <w:color w:val="087B78"/>
            <w:sz w:val="20"/>
            <w:szCs w:val="20"/>
            <w:u w:val="single"/>
          </w:rPr>
          <w:t>10.1016/j.cell.2019.08.037</w:t>
        </w:r>
      </w:hyperlink>
    </w:p>
    <w:p w14:paraId="73E38BF7" w14:textId="6BF83B44" w:rsidR="00BC39F7" w:rsidRDefault="00FF4C4F">
      <w:pPr>
        <w:keepLines/>
        <w:spacing w:after="90" w:line="245" w:lineRule="auto"/>
      </w:pPr>
      <w:r>
        <w:rPr>
          <w:b/>
          <w:bCs/>
          <w:sz w:val="20"/>
          <w:szCs w:val="20"/>
        </w:rPr>
        <w:t xml:space="preserve">[13] Erdel F, Rademacher A, Vlijm R, et al. (2020). </w:t>
      </w:r>
      <w:r>
        <w:rPr>
          <w:sz w:val="20"/>
          <w:szCs w:val="20"/>
        </w:rPr>
        <w:t xml:space="preserve">Mouse Heterochromatin Adopts Digital Compaction States without Showing Hallmarks of HP1-Driven Liquid-Liquid Phase Separation. Molecular Cell 78:236–249.e7. </w:t>
      </w:r>
      <w:hyperlink r:id="rId96" w:history="1">
        <w:r>
          <w:rPr>
            <w:color w:val="087B78"/>
            <w:sz w:val="20"/>
            <w:szCs w:val="20"/>
            <w:u w:val="single"/>
          </w:rPr>
          <w:t>10.1016/j.molcel.2020.02.005</w:t>
        </w:r>
      </w:hyperlink>
    </w:p>
    <w:p w14:paraId="7B7D84BA" w14:textId="70570E70" w:rsidR="00BC39F7" w:rsidRDefault="00FF4C4F">
      <w:pPr>
        <w:keepLines/>
        <w:spacing w:after="90" w:line="245" w:lineRule="auto"/>
      </w:pPr>
      <w:r>
        <w:rPr>
          <w:b/>
          <w:bCs/>
          <w:sz w:val="20"/>
          <w:szCs w:val="20"/>
        </w:rPr>
        <w:t xml:space="preserve">[14] Hou Z, Nightingale F, Zhu Y, MacGregor-Chatwin C, Zhang P (2023). </w:t>
      </w:r>
      <w:r>
        <w:rPr>
          <w:sz w:val="20"/>
          <w:szCs w:val="20"/>
        </w:rPr>
        <w:t xml:space="preserve">Structure of native chromatin fibres revealed by Cryo-ET in situ. Nature Communications 14:6324. </w:t>
      </w:r>
      <w:hyperlink r:id="rId97" w:history="1">
        <w:r>
          <w:rPr>
            <w:color w:val="087B78"/>
            <w:sz w:val="20"/>
            <w:szCs w:val="20"/>
            <w:u w:val="single"/>
          </w:rPr>
          <w:t>10.1038/s41467-023-42072-1</w:t>
        </w:r>
      </w:hyperlink>
    </w:p>
    <w:p w14:paraId="1959D978" w14:textId="4CD0BD9B" w:rsidR="00BC39F7" w:rsidRDefault="00FF4C4F">
      <w:pPr>
        <w:keepLines/>
        <w:spacing w:after="90" w:line="245" w:lineRule="auto"/>
      </w:pPr>
      <w:r>
        <w:rPr>
          <w:b/>
          <w:bCs/>
          <w:sz w:val="20"/>
          <w:szCs w:val="20"/>
        </w:rPr>
        <w:t xml:space="preserve">[15] Kreysing JP, Cruz-León S, Betz J, et al. (2026). </w:t>
      </w:r>
      <w:r>
        <w:rPr>
          <w:sz w:val="20"/>
          <w:szCs w:val="20"/>
        </w:rPr>
        <w:t xml:space="preserve">Molecular architecture of heterochromatin at the nuclear periphery of primary human cells. Nature Communications 17:5844. </w:t>
      </w:r>
      <w:hyperlink r:id="rId98" w:history="1">
        <w:r>
          <w:rPr>
            <w:color w:val="087B78"/>
            <w:sz w:val="20"/>
            <w:szCs w:val="20"/>
            <w:u w:val="single"/>
          </w:rPr>
          <w:t>10.1038/s41467-026-75087-5</w:t>
        </w:r>
      </w:hyperlink>
    </w:p>
    <w:p w14:paraId="26F89AD9" w14:textId="4181C1BE" w:rsidR="00BC39F7" w:rsidRDefault="00FF4C4F">
      <w:pPr>
        <w:keepLines/>
        <w:spacing w:after="90" w:line="245" w:lineRule="auto"/>
      </w:pPr>
      <w:r>
        <w:rPr>
          <w:b/>
          <w:bCs/>
          <w:sz w:val="20"/>
          <w:szCs w:val="20"/>
        </w:rPr>
        <w:t xml:space="preserve">[16] Xie H, Hu Y, Cheng R, et al. (2026). </w:t>
      </w:r>
      <w:r>
        <w:rPr>
          <w:sz w:val="20"/>
          <w:szCs w:val="20"/>
        </w:rPr>
        <w:t xml:space="preserve">MINFLUX dissects nucleosome and compacting chromatin structures in living cells. National Science Review 13:nwaf451; online 21 October 2025. </w:t>
      </w:r>
      <w:hyperlink r:id="rId99" w:history="1">
        <w:r>
          <w:rPr>
            <w:color w:val="087B78"/>
            <w:sz w:val="20"/>
            <w:szCs w:val="20"/>
            <w:u w:val="single"/>
          </w:rPr>
          <w:t>10.1093/nsr/nwaf451</w:t>
        </w:r>
      </w:hyperlink>
    </w:p>
    <w:p w14:paraId="2A5950E6" w14:textId="55277E0B" w:rsidR="00BC39F7" w:rsidRDefault="00FF4C4F">
      <w:pPr>
        <w:keepLines/>
        <w:spacing w:after="90" w:line="245" w:lineRule="auto"/>
      </w:pPr>
      <w:r>
        <w:rPr>
          <w:b/>
          <w:bCs/>
          <w:sz w:val="20"/>
          <w:szCs w:val="20"/>
        </w:rPr>
        <w:t xml:space="preserve">[17] Gabriele M, Brandão HB, Grosse-Holz S, et al. (2022). </w:t>
      </w:r>
      <w:r>
        <w:rPr>
          <w:sz w:val="20"/>
          <w:szCs w:val="20"/>
        </w:rPr>
        <w:t xml:space="preserve">Dynamics of CTCF- and cohesin-mediated chromatin looping revealed by live-cell imaging. Science 376:496–501. </w:t>
      </w:r>
      <w:hyperlink r:id="rId100" w:history="1">
        <w:r>
          <w:rPr>
            <w:color w:val="087B78"/>
            <w:sz w:val="20"/>
            <w:szCs w:val="20"/>
            <w:u w:val="single"/>
          </w:rPr>
          <w:t>10.1126/science.abn6583</w:t>
        </w:r>
      </w:hyperlink>
    </w:p>
    <w:p w14:paraId="3F8147C5" w14:textId="1BC8FAA0" w:rsidR="00BC39F7" w:rsidRDefault="00FF4C4F">
      <w:pPr>
        <w:keepLines/>
        <w:spacing w:after="90" w:line="245" w:lineRule="auto"/>
      </w:pPr>
      <w:r>
        <w:rPr>
          <w:b/>
          <w:bCs/>
          <w:sz w:val="20"/>
          <w:szCs w:val="20"/>
        </w:rPr>
        <w:t xml:space="preserve">[18] Brackley CA, Taylor S, Papantonis A, Cook PR, Marenduzzo D (2013). </w:t>
      </w:r>
      <w:r>
        <w:rPr>
          <w:sz w:val="20"/>
          <w:szCs w:val="20"/>
        </w:rPr>
        <w:t xml:space="preserve">Nonspecific bridging-induced attraction drives clustering of DNA-binding proteins and genome organization. PNAS 110:E3605–E3611. </w:t>
      </w:r>
      <w:hyperlink r:id="rId101" w:history="1">
        <w:r>
          <w:rPr>
            <w:color w:val="087B78"/>
            <w:sz w:val="20"/>
            <w:szCs w:val="20"/>
            <w:u w:val="single"/>
          </w:rPr>
          <w:t>10.1073/pnas.1302950110</w:t>
        </w:r>
      </w:hyperlink>
    </w:p>
    <w:p w14:paraId="5DAB1D97" w14:textId="2157BF0D" w:rsidR="00BC39F7" w:rsidRDefault="00FF4C4F">
      <w:pPr>
        <w:keepLines/>
        <w:spacing w:after="90" w:line="245" w:lineRule="auto"/>
      </w:pPr>
      <w:r>
        <w:rPr>
          <w:b/>
          <w:bCs/>
          <w:sz w:val="20"/>
          <w:szCs w:val="20"/>
        </w:rPr>
        <w:lastRenderedPageBreak/>
        <w:t xml:space="preserve">[19] Bensaha S, Lewandowska D, Muzzopappa F, et al. (2025). </w:t>
      </w:r>
      <w:r>
        <w:rPr>
          <w:sz w:val="20"/>
          <w:szCs w:val="20"/>
        </w:rPr>
        <w:t xml:space="preserve">HP1 loses its chromatin clustering and phase separation function across evolution. Nature Communications 16:6375. </w:t>
      </w:r>
      <w:hyperlink r:id="rId102" w:history="1">
        <w:r>
          <w:rPr>
            <w:color w:val="087B78"/>
            <w:sz w:val="20"/>
            <w:szCs w:val="20"/>
            <w:u w:val="single"/>
          </w:rPr>
          <w:t>10.1038/s41467-025-61749-3</w:t>
        </w:r>
      </w:hyperlink>
    </w:p>
    <w:p w14:paraId="089B1F92" w14:textId="132C389E" w:rsidR="00BC39F7" w:rsidRDefault="00FF4C4F">
      <w:pPr>
        <w:keepLines/>
        <w:spacing w:after="90" w:line="245" w:lineRule="auto"/>
      </w:pPr>
      <w:r>
        <w:rPr>
          <w:b/>
          <w:bCs/>
          <w:sz w:val="20"/>
          <w:szCs w:val="20"/>
        </w:rPr>
        <w:t xml:space="preserve">[20] Stephens AD, Banigan EJ, Adam SA, Goldman RD, Marko JF (2017). </w:t>
      </w:r>
      <w:r>
        <w:rPr>
          <w:sz w:val="20"/>
          <w:szCs w:val="20"/>
        </w:rPr>
        <w:t xml:space="preserve">Chromatin and lamin A determine two different mechanical response regimes of the cell nucleus. Molecular Biology of the Cell 28:1984–1996. </w:t>
      </w:r>
      <w:hyperlink r:id="rId103" w:history="1">
        <w:r>
          <w:rPr>
            <w:color w:val="087B78"/>
            <w:sz w:val="20"/>
            <w:szCs w:val="20"/>
            <w:u w:val="single"/>
          </w:rPr>
          <w:t>10.1091/mbc.E16-09-0653</w:t>
        </w:r>
      </w:hyperlink>
    </w:p>
    <w:p w14:paraId="4216E53A" w14:textId="57C985A7" w:rsidR="00BC39F7" w:rsidRDefault="00FF4C4F">
      <w:pPr>
        <w:keepLines/>
        <w:spacing w:after="90" w:line="245" w:lineRule="auto"/>
      </w:pPr>
      <w:r>
        <w:rPr>
          <w:b/>
          <w:bCs/>
          <w:sz w:val="20"/>
          <w:szCs w:val="20"/>
        </w:rPr>
        <w:t xml:space="preserve">[21] Bergamaschi G, Biebricher A, Witt H, et al. (2024). </w:t>
      </w:r>
      <w:r>
        <w:rPr>
          <w:sz w:val="20"/>
          <w:szCs w:val="20"/>
        </w:rPr>
        <w:t xml:space="preserve">Heterogeneous force response of chromatin in isolated nuclei. Cell Reports 43:114852. </w:t>
      </w:r>
      <w:hyperlink r:id="rId104" w:history="1">
        <w:r>
          <w:rPr>
            <w:color w:val="087B78"/>
            <w:sz w:val="20"/>
            <w:szCs w:val="20"/>
            <w:u w:val="single"/>
          </w:rPr>
          <w:t>10.1016/j.celrep.2024.114852</w:t>
        </w:r>
      </w:hyperlink>
    </w:p>
    <w:p w14:paraId="0364BCF6" w14:textId="0562275A" w:rsidR="00BC39F7" w:rsidRDefault="00FF4C4F">
      <w:pPr>
        <w:keepLines/>
        <w:spacing w:after="90" w:line="245" w:lineRule="auto"/>
      </w:pPr>
      <w:r>
        <w:rPr>
          <w:b/>
          <w:bCs/>
          <w:sz w:val="20"/>
          <w:szCs w:val="20"/>
        </w:rPr>
        <w:t xml:space="preserve">[22] Attar AG, Paturej J, Sarıyer OS, Banigan EJ, Erbaş A (2025). </w:t>
      </w:r>
      <w:r>
        <w:rPr>
          <w:sz w:val="20"/>
          <w:szCs w:val="20"/>
        </w:rPr>
        <w:t xml:space="preserve">Peripheral heterochromatin tethering is required for chromatin-based nuclear mechanical response. Nucleic Acids Research 53:gkaf763. </w:t>
      </w:r>
      <w:hyperlink r:id="rId105" w:history="1">
        <w:r>
          <w:rPr>
            <w:color w:val="087B78"/>
            <w:sz w:val="20"/>
            <w:szCs w:val="20"/>
            <w:u w:val="single"/>
          </w:rPr>
          <w:t>10.1093/nar/gkaf763</w:t>
        </w:r>
      </w:hyperlink>
    </w:p>
    <w:p w14:paraId="4AB1E981" w14:textId="77777777" w:rsidR="00BC39F7" w:rsidRDefault="00FF4C4F">
      <w:pPr>
        <w:pStyle w:val="Heading1"/>
      </w:pPr>
      <w:bookmarkStart w:id="12" w:name="_Toc242668338"/>
      <w:r>
        <w:t>Evidence scope</w:t>
      </w:r>
      <w:bookmarkEnd w:id="12"/>
    </w:p>
    <w:p w14:paraId="2657E649" w14:textId="77777777" w:rsidR="00BC39F7" w:rsidRDefault="00FF4C4F">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BC39F7">
      <w:headerReference w:type="default" r:id="rId106"/>
      <w:footerReference w:type="default" r:id="rId107"/>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2FAA" w14:textId="77777777" w:rsidR="00FF4C4F" w:rsidRDefault="00FF4C4F">
      <w:pPr>
        <w:spacing w:after="0" w:line="240" w:lineRule="auto"/>
      </w:pPr>
      <w:r>
        <w:separator/>
      </w:r>
    </w:p>
  </w:endnote>
  <w:endnote w:type="continuationSeparator" w:id="0">
    <w:p w14:paraId="1FEC967F" w14:textId="77777777" w:rsidR="00FF4C4F" w:rsidRDefault="00FF4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BCE2" w14:textId="77777777" w:rsidR="00BC39F7" w:rsidRDefault="00FF4C4F">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BA0580">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BA0580">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DA85A" w14:textId="77777777" w:rsidR="00FF4C4F" w:rsidRDefault="00FF4C4F">
      <w:pPr>
        <w:spacing w:after="0" w:line="240" w:lineRule="auto"/>
      </w:pPr>
      <w:r>
        <w:separator/>
      </w:r>
    </w:p>
  </w:footnote>
  <w:footnote w:type="continuationSeparator" w:id="0">
    <w:p w14:paraId="5C4F1BE4" w14:textId="77777777" w:rsidR="00FF4C4F" w:rsidRDefault="00FF4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150F" w14:textId="77777777" w:rsidR="00BC39F7" w:rsidRDefault="00FF4C4F">
    <w:pPr>
      <w:pBdr>
        <w:bottom w:val="single" w:sz="4" w:space="0" w:color="B8D1D0"/>
      </w:pBdr>
    </w:pPr>
    <w:r>
      <w:rPr>
        <w:color w:val="527077"/>
        <w:sz w:val="17"/>
        <w:szCs w:val="17"/>
      </w:rPr>
      <w:t>Chromatin biophysics: nucleosome interactions, genome folding and mec…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8CA"/>
    <w:multiLevelType w:val="hybridMultilevel"/>
    <w:tmpl w:val="8738F1E4"/>
    <w:lvl w:ilvl="0" w:tplc="6D9ED2E6">
      <w:start w:val="1"/>
      <w:numFmt w:val="bullet"/>
      <w:lvlText w:val="●"/>
      <w:lvlJc w:val="left"/>
      <w:pPr>
        <w:ind w:left="720" w:hanging="360"/>
      </w:pPr>
    </w:lvl>
    <w:lvl w:ilvl="1" w:tplc="3AECBE30">
      <w:start w:val="1"/>
      <w:numFmt w:val="bullet"/>
      <w:lvlText w:val="○"/>
      <w:lvlJc w:val="left"/>
      <w:pPr>
        <w:ind w:left="1440" w:hanging="360"/>
      </w:pPr>
    </w:lvl>
    <w:lvl w:ilvl="2" w:tplc="B04E1E0C">
      <w:start w:val="1"/>
      <w:numFmt w:val="bullet"/>
      <w:lvlText w:val="■"/>
      <w:lvlJc w:val="left"/>
      <w:pPr>
        <w:ind w:left="2160" w:hanging="360"/>
      </w:pPr>
    </w:lvl>
    <w:lvl w:ilvl="3" w:tplc="36C8101C">
      <w:start w:val="1"/>
      <w:numFmt w:val="bullet"/>
      <w:lvlText w:val="●"/>
      <w:lvlJc w:val="left"/>
      <w:pPr>
        <w:ind w:left="2880" w:hanging="360"/>
      </w:pPr>
    </w:lvl>
    <w:lvl w:ilvl="4" w:tplc="41747680">
      <w:start w:val="1"/>
      <w:numFmt w:val="bullet"/>
      <w:lvlText w:val="○"/>
      <w:lvlJc w:val="left"/>
      <w:pPr>
        <w:ind w:left="3600" w:hanging="360"/>
      </w:pPr>
    </w:lvl>
    <w:lvl w:ilvl="5" w:tplc="8D6CD354">
      <w:start w:val="1"/>
      <w:numFmt w:val="bullet"/>
      <w:lvlText w:val="■"/>
      <w:lvlJc w:val="left"/>
      <w:pPr>
        <w:ind w:left="4320" w:hanging="360"/>
      </w:pPr>
    </w:lvl>
    <w:lvl w:ilvl="6" w:tplc="CECCE222">
      <w:start w:val="1"/>
      <w:numFmt w:val="bullet"/>
      <w:lvlText w:val="●"/>
      <w:lvlJc w:val="left"/>
      <w:pPr>
        <w:ind w:left="5040" w:hanging="360"/>
      </w:pPr>
    </w:lvl>
    <w:lvl w:ilvl="7" w:tplc="D1703480">
      <w:start w:val="1"/>
      <w:numFmt w:val="bullet"/>
      <w:lvlText w:val="●"/>
      <w:lvlJc w:val="left"/>
      <w:pPr>
        <w:ind w:left="5760" w:hanging="360"/>
      </w:pPr>
    </w:lvl>
    <w:lvl w:ilvl="8" w:tplc="A2F28CF0">
      <w:start w:val="1"/>
      <w:numFmt w:val="bullet"/>
      <w:lvlText w:val="●"/>
      <w:lvlJc w:val="left"/>
      <w:pPr>
        <w:ind w:left="6480" w:hanging="360"/>
      </w:pPr>
    </w:lvl>
  </w:abstractNum>
  <w:abstractNum w:abstractNumId="1" w15:restartNumberingAfterBreak="0">
    <w:nsid w:val="5E13446D"/>
    <w:multiLevelType w:val="hybridMultilevel"/>
    <w:tmpl w:val="A2F641C2"/>
    <w:lvl w:ilvl="0" w:tplc="FFEC973E">
      <w:start w:val="1"/>
      <w:numFmt w:val="bullet"/>
      <w:lvlText w:val="•"/>
      <w:lvlJc w:val="left"/>
      <w:pPr>
        <w:ind w:left="340" w:hanging="170"/>
      </w:pPr>
    </w:lvl>
    <w:lvl w:ilvl="1" w:tplc="A9547184">
      <w:numFmt w:val="decimal"/>
      <w:lvlText w:val=""/>
      <w:lvlJc w:val="left"/>
    </w:lvl>
    <w:lvl w:ilvl="2" w:tplc="3EEAEC36">
      <w:numFmt w:val="decimal"/>
      <w:lvlText w:val=""/>
      <w:lvlJc w:val="left"/>
    </w:lvl>
    <w:lvl w:ilvl="3" w:tplc="9072E9BC">
      <w:numFmt w:val="decimal"/>
      <w:lvlText w:val=""/>
      <w:lvlJc w:val="left"/>
    </w:lvl>
    <w:lvl w:ilvl="4" w:tplc="9294BFB4">
      <w:numFmt w:val="decimal"/>
      <w:lvlText w:val=""/>
      <w:lvlJc w:val="left"/>
    </w:lvl>
    <w:lvl w:ilvl="5" w:tplc="E24C01B4">
      <w:numFmt w:val="decimal"/>
      <w:lvlText w:val=""/>
      <w:lvlJc w:val="left"/>
    </w:lvl>
    <w:lvl w:ilvl="6" w:tplc="AE569B54">
      <w:numFmt w:val="decimal"/>
      <w:lvlText w:val=""/>
      <w:lvlJc w:val="left"/>
    </w:lvl>
    <w:lvl w:ilvl="7" w:tplc="73363D82">
      <w:numFmt w:val="decimal"/>
      <w:lvlText w:val=""/>
      <w:lvlJc w:val="left"/>
    </w:lvl>
    <w:lvl w:ilvl="8" w:tplc="10DAFB4C">
      <w:numFmt w:val="decimal"/>
      <w:lvlText w:val=""/>
      <w:lvlJc w:val="left"/>
    </w:lvl>
  </w:abstractNum>
  <w:num w:numId="1" w16cid:durableId="1681202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9F7"/>
    <w:rsid w:val="00880DDA"/>
    <w:rsid w:val="00BA0580"/>
    <w:rsid w:val="00BC39F7"/>
    <w:rsid w:val="00FF4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422DC"/>
  <w15:docId w15:val="{2E29F997-EF2B-4A60-8120-3E602768D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BA05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73/pnas.0802336105" TargetMode="External"/><Relationship Id="rId21" Type="http://schemas.openxmlformats.org/officeDocument/2006/relationships/hyperlink" Target="https://doi.org/10.1126/science.1124000" TargetMode="External"/><Relationship Id="rId42" Type="http://schemas.openxmlformats.org/officeDocument/2006/relationships/hyperlink" Target="https://doi.org/10.1093/nsr/nwaf451" TargetMode="External"/><Relationship Id="rId47" Type="http://schemas.openxmlformats.org/officeDocument/2006/relationships/hyperlink" Target="https://doi.org/10.1126/science.aar7831" TargetMode="External"/><Relationship Id="rId63" Type="http://schemas.openxmlformats.org/officeDocument/2006/relationships/hyperlink" Target="https://doi.org/10.1038/s41467-023-42072-1" TargetMode="External"/><Relationship Id="rId68" Type="http://schemas.openxmlformats.org/officeDocument/2006/relationships/hyperlink" Target="https://doi.org/10.1016/j.cell.2019.08.037" TargetMode="External"/><Relationship Id="rId84" Type="http://schemas.openxmlformats.org/officeDocument/2006/relationships/hyperlink" Target="https://doi.org/10.1038/ncb3187" TargetMode="External"/><Relationship Id="rId89" Type="http://schemas.openxmlformats.org/officeDocument/2006/relationships/hyperlink" Target="https://doi.org/10.1126/science.adq1709" TargetMode="External"/><Relationship Id="rId16" Type="http://schemas.openxmlformats.org/officeDocument/2006/relationships/hyperlink" Target="https://doi.org/10.1126/science.abn6583" TargetMode="External"/><Relationship Id="rId107" Type="http://schemas.openxmlformats.org/officeDocument/2006/relationships/footer" Target="footer1.xml"/><Relationship Id="rId11" Type="http://schemas.openxmlformats.org/officeDocument/2006/relationships/hyperlink" Target="https://doi.org/10.1038/s41467-023-42072-1" TargetMode="External"/><Relationship Id="rId32" Type="http://schemas.openxmlformats.org/officeDocument/2006/relationships/hyperlink" Target="https://doi.org/10.1126/science.1124000" TargetMode="External"/><Relationship Id="rId37" Type="http://schemas.openxmlformats.org/officeDocument/2006/relationships/hyperlink" Target="https://doi.org/10.1038/s41467-023-42072-1" TargetMode="External"/><Relationship Id="rId53" Type="http://schemas.openxmlformats.org/officeDocument/2006/relationships/hyperlink" Target="https://doi.org/10.1126/science.abn6583" TargetMode="External"/><Relationship Id="rId58" Type="http://schemas.openxmlformats.org/officeDocument/2006/relationships/hyperlink" Target="https://doi.org/10.1038/38444" TargetMode="External"/><Relationship Id="rId74" Type="http://schemas.openxmlformats.org/officeDocument/2006/relationships/hyperlink" Target="https://doi.org/10.1126/science.adq1709" TargetMode="External"/><Relationship Id="rId79" Type="http://schemas.openxmlformats.org/officeDocument/2006/relationships/hyperlink" Target="https://doi.org/10.1126/science.abn6583" TargetMode="External"/><Relationship Id="rId102" Type="http://schemas.openxmlformats.org/officeDocument/2006/relationships/hyperlink" Target="https://doi.org/10.1038/s41467-025-61749-3" TargetMode="External"/><Relationship Id="rId5" Type="http://schemas.openxmlformats.org/officeDocument/2006/relationships/footnotes" Target="footnotes.xml"/><Relationship Id="rId90" Type="http://schemas.openxmlformats.org/officeDocument/2006/relationships/hyperlink" Target="https://doi.org/10.1038/38444" TargetMode="External"/><Relationship Id="rId95" Type="http://schemas.openxmlformats.org/officeDocument/2006/relationships/hyperlink" Target="https://doi.org/10.1016/j.cell.2019.08.037" TargetMode="External"/><Relationship Id="rId22" Type="http://schemas.openxmlformats.org/officeDocument/2006/relationships/hyperlink" Target="https://doi.org/10.1073/pnas.0802336105" TargetMode="External"/><Relationship Id="rId27" Type="http://schemas.openxmlformats.org/officeDocument/2006/relationships/hyperlink" Target="https://doi.org/10.1073/pnas.97.1.127" TargetMode="External"/><Relationship Id="rId43" Type="http://schemas.openxmlformats.org/officeDocument/2006/relationships/hyperlink" Target="https://doi.org/10.1126/science.aar7831" TargetMode="External"/><Relationship Id="rId48" Type="http://schemas.openxmlformats.org/officeDocument/2006/relationships/hyperlink" Target="https://doi.org/10.1073/pnas.1302950110" TargetMode="External"/><Relationship Id="rId64" Type="http://schemas.openxmlformats.org/officeDocument/2006/relationships/hyperlink" Target="https://doi.org/10.1038/s41467-026-75087-5" TargetMode="External"/><Relationship Id="rId69" Type="http://schemas.openxmlformats.org/officeDocument/2006/relationships/hyperlink" Target="https://doi.org/10.1016/j.molcel.2020.02.005" TargetMode="External"/><Relationship Id="rId80" Type="http://schemas.openxmlformats.org/officeDocument/2006/relationships/hyperlink" Target="https://doi.org/10.1126/science.1124000" TargetMode="External"/><Relationship Id="rId85" Type="http://schemas.openxmlformats.org/officeDocument/2006/relationships/hyperlink" Target="https://doi.org/10.1126/science.aar7831" TargetMode="External"/><Relationship Id="rId12" Type="http://schemas.openxmlformats.org/officeDocument/2006/relationships/hyperlink" Target="https://doi.org/10.1038/s41467-026-75087-5" TargetMode="External"/><Relationship Id="rId17" Type="http://schemas.openxmlformats.org/officeDocument/2006/relationships/hyperlink" Target="https://doi.org/10.1038/38444" TargetMode="External"/><Relationship Id="rId33" Type="http://schemas.openxmlformats.org/officeDocument/2006/relationships/hyperlink" Target="https://doi.org/10.1091/mbc.E16-09-0653" TargetMode="External"/><Relationship Id="rId38" Type="http://schemas.openxmlformats.org/officeDocument/2006/relationships/hyperlink" Target="https://doi.org/10.1038/s41467-026-75087-5" TargetMode="External"/><Relationship Id="rId59" Type="http://schemas.openxmlformats.org/officeDocument/2006/relationships/hyperlink" Target="https://doi.org/10.1006/jmbi.1995.0606" TargetMode="External"/><Relationship Id="rId103" Type="http://schemas.openxmlformats.org/officeDocument/2006/relationships/hyperlink" Target="https://doi.org/10.1091/mbc.E16-09-0653" TargetMode="External"/><Relationship Id="rId108" Type="http://schemas.openxmlformats.org/officeDocument/2006/relationships/fontTable" Target="fontTable.xml"/><Relationship Id="rId54" Type="http://schemas.openxmlformats.org/officeDocument/2006/relationships/hyperlink" Target="https://doi.org/10.1073/pnas.97.1.127" TargetMode="External"/><Relationship Id="rId70" Type="http://schemas.openxmlformats.org/officeDocument/2006/relationships/hyperlink" Target="https://doi.org/10.1038/s41467-025-61749-3" TargetMode="External"/><Relationship Id="rId75" Type="http://schemas.openxmlformats.org/officeDocument/2006/relationships/hyperlink" Target="https://doi.org/10.1083/jcb.201801048" TargetMode="External"/><Relationship Id="rId91" Type="http://schemas.openxmlformats.org/officeDocument/2006/relationships/hyperlink" Target="https://doi.org/10.1006/jmbi.1995.0606" TargetMode="External"/><Relationship Id="rId96" Type="http://schemas.openxmlformats.org/officeDocument/2006/relationships/hyperlink" Target="https://doi.org/10.1016/j.molcel.2020.02.00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26/science.aar7831" TargetMode="External"/><Relationship Id="rId23" Type="http://schemas.openxmlformats.org/officeDocument/2006/relationships/hyperlink" Target="https://doi.org/10.1126/science.1124000" TargetMode="External"/><Relationship Id="rId28" Type="http://schemas.openxmlformats.org/officeDocument/2006/relationships/hyperlink" Target="https://doi.org/10.1073/pnas.97.1.127" TargetMode="External"/><Relationship Id="rId36" Type="http://schemas.openxmlformats.org/officeDocument/2006/relationships/hyperlink" Target="https://doi.org/10.1093/nar/gkaf763" TargetMode="External"/><Relationship Id="rId49" Type="http://schemas.openxmlformats.org/officeDocument/2006/relationships/hyperlink" Target="https://doi.org/10.1126/science.aao6135" TargetMode="External"/><Relationship Id="rId57" Type="http://schemas.openxmlformats.org/officeDocument/2006/relationships/hyperlink" Target="https://doi.org/10.1038/s41467-025-61749-3" TargetMode="External"/><Relationship Id="rId106" Type="http://schemas.openxmlformats.org/officeDocument/2006/relationships/header" Target="header1.xml"/><Relationship Id="rId10" Type="http://schemas.openxmlformats.org/officeDocument/2006/relationships/hyperlink" Target="https://doi.org/10.1126/science.1124000" TargetMode="External"/><Relationship Id="rId31" Type="http://schemas.openxmlformats.org/officeDocument/2006/relationships/hyperlink" Target="https://doi.org/10.1073/pnas.97.1.127" TargetMode="External"/><Relationship Id="rId44" Type="http://schemas.openxmlformats.org/officeDocument/2006/relationships/hyperlink" Target="https://doi.org/10.1126/science.aao6135" TargetMode="External"/><Relationship Id="rId52" Type="http://schemas.openxmlformats.org/officeDocument/2006/relationships/hyperlink" Target="https://doi.org/10.1016/j.cell.2019.08.037" TargetMode="External"/><Relationship Id="rId60" Type="http://schemas.openxmlformats.org/officeDocument/2006/relationships/hyperlink" Target="https://doi.org/10.1073/pnas.0802336105" TargetMode="External"/><Relationship Id="rId65" Type="http://schemas.openxmlformats.org/officeDocument/2006/relationships/hyperlink" Target="https://doi.org/10.1093/nsr/nwaf451" TargetMode="External"/><Relationship Id="rId73" Type="http://schemas.openxmlformats.org/officeDocument/2006/relationships/hyperlink" Target="https://doi.org/10.1126/science.aao6135" TargetMode="External"/><Relationship Id="rId78" Type="http://schemas.openxmlformats.org/officeDocument/2006/relationships/hyperlink" Target="https://doi.org/10.1038/s41467-026-75087-5" TargetMode="External"/><Relationship Id="rId81" Type="http://schemas.openxmlformats.org/officeDocument/2006/relationships/hyperlink" Target="https://doi.org/10.1126/science.aar7831" TargetMode="External"/><Relationship Id="rId86" Type="http://schemas.openxmlformats.org/officeDocument/2006/relationships/hyperlink" Target="https://doi.org/10.1126/science.aao6135" TargetMode="External"/><Relationship Id="rId94" Type="http://schemas.openxmlformats.org/officeDocument/2006/relationships/hyperlink" Target="https://doi.org/10.1126/science.1124000" TargetMode="External"/><Relationship Id="rId99" Type="http://schemas.openxmlformats.org/officeDocument/2006/relationships/hyperlink" Target="https://doi.org/10.1093/nsr/nwaf451" TargetMode="External"/><Relationship Id="rId101" Type="http://schemas.openxmlformats.org/officeDocument/2006/relationships/hyperlink" Target="https://doi.org/10.1073/pnas.1302950110" TargetMode="External"/><Relationship Id="rId4" Type="http://schemas.openxmlformats.org/officeDocument/2006/relationships/webSettings" Target="webSettings.xml"/><Relationship Id="rId9" Type="http://schemas.openxmlformats.org/officeDocument/2006/relationships/hyperlink" Target="https://doi.org/10.1073/pnas.0802336105" TargetMode="External"/><Relationship Id="rId13" Type="http://schemas.openxmlformats.org/officeDocument/2006/relationships/hyperlink" Target="https://doi.org/10.1016/j.cell.2019.08.037" TargetMode="External"/><Relationship Id="rId18" Type="http://schemas.openxmlformats.org/officeDocument/2006/relationships/hyperlink" Target="https://doi.org/10.1006/jmbi.1995.0606" TargetMode="External"/><Relationship Id="rId39" Type="http://schemas.openxmlformats.org/officeDocument/2006/relationships/hyperlink" Target="https://doi.org/10.1038/emboj.2012.35" TargetMode="External"/><Relationship Id="rId109" Type="http://schemas.openxmlformats.org/officeDocument/2006/relationships/theme" Target="theme/theme1.xml"/><Relationship Id="rId34" Type="http://schemas.openxmlformats.org/officeDocument/2006/relationships/hyperlink" Target="https://doi.org/10.1073/pnas.97.1.127" TargetMode="External"/><Relationship Id="rId50" Type="http://schemas.openxmlformats.org/officeDocument/2006/relationships/hyperlink" Target="https://doi.org/10.1126/science.abn6583" TargetMode="External"/><Relationship Id="rId55" Type="http://schemas.openxmlformats.org/officeDocument/2006/relationships/hyperlink" Target="https://doi.org/10.1016/j.cell.2019.08.037" TargetMode="External"/><Relationship Id="rId76" Type="http://schemas.openxmlformats.org/officeDocument/2006/relationships/hyperlink" Target="https://doi.org/10.1073/pnas.97.1.127" TargetMode="External"/><Relationship Id="rId97" Type="http://schemas.openxmlformats.org/officeDocument/2006/relationships/hyperlink" Target="https://doi.org/10.1038/s41467-023-42072-1" TargetMode="External"/><Relationship Id="rId104" Type="http://schemas.openxmlformats.org/officeDocument/2006/relationships/hyperlink" Target="https://doi.org/10.1016/j.celrep.2024.114852" TargetMode="External"/><Relationship Id="rId7" Type="http://schemas.openxmlformats.org/officeDocument/2006/relationships/hyperlink" Target="https://doi.org/10.1038/38444" TargetMode="External"/><Relationship Id="rId71" Type="http://schemas.openxmlformats.org/officeDocument/2006/relationships/hyperlink" Target="https://doi.org/10.1126/science.1124000" TargetMode="External"/><Relationship Id="rId92" Type="http://schemas.openxmlformats.org/officeDocument/2006/relationships/hyperlink" Target="https://doi.org/10.1073/pnas.97.1.127" TargetMode="External"/><Relationship Id="rId2" Type="http://schemas.openxmlformats.org/officeDocument/2006/relationships/styles" Target="styles.xml"/><Relationship Id="rId29" Type="http://schemas.openxmlformats.org/officeDocument/2006/relationships/hyperlink" Target="https://doi.org/10.1073/pnas.0802336105" TargetMode="External"/><Relationship Id="rId24" Type="http://schemas.openxmlformats.org/officeDocument/2006/relationships/hyperlink" Target="https://doi.org/10.1073/pnas.97.1.127" TargetMode="External"/><Relationship Id="rId40" Type="http://schemas.openxmlformats.org/officeDocument/2006/relationships/hyperlink" Target="https://doi.org/10.1038/s41467-023-42072-1" TargetMode="External"/><Relationship Id="rId45" Type="http://schemas.openxmlformats.org/officeDocument/2006/relationships/hyperlink" Target="https://doi.org/10.1083/jcb.201801048" TargetMode="External"/><Relationship Id="rId66" Type="http://schemas.openxmlformats.org/officeDocument/2006/relationships/hyperlink" Target="https://doi.org/10.1126/science.aao6135" TargetMode="External"/><Relationship Id="rId87" Type="http://schemas.openxmlformats.org/officeDocument/2006/relationships/hyperlink" Target="https://doi.org/10.1083/jcb.201801048" TargetMode="External"/><Relationship Id="rId61" Type="http://schemas.openxmlformats.org/officeDocument/2006/relationships/hyperlink" Target="https://doi.org/10.1126/science.1124000" TargetMode="External"/><Relationship Id="rId82" Type="http://schemas.openxmlformats.org/officeDocument/2006/relationships/hyperlink" Target="https://doi.org/10.1126/science.abn6583" TargetMode="External"/><Relationship Id="rId19" Type="http://schemas.openxmlformats.org/officeDocument/2006/relationships/hyperlink" Target="https://doi.org/10.1006/jmbi.1995.0606" TargetMode="External"/><Relationship Id="rId14" Type="http://schemas.openxmlformats.org/officeDocument/2006/relationships/hyperlink" Target="https://doi.org/10.1016/j.molcel.2020.02.005" TargetMode="External"/><Relationship Id="rId30" Type="http://schemas.openxmlformats.org/officeDocument/2006/relationships/hyperlink" Target="https://doi.org/10.1038/s41467-023-42072-1" TargetMode="External"/><Relationship Id="rId35" Type="http://schemas.openxmlformats.org/officeDocument/2006/relationships/hyperlink" Target="https://doi.org/10.1016/j.celrep.2024.114852" TargetMode="External"/><Relationship Id="rId56" Type="http://schemas.openxmlformats.org/officeDocument/2006/relationships/hyperlink" Target="https://doi.org/10.1016/j.molcel.2020.02.005" TargetMode="External"/><Relationship Id="rId77" Type="http://schemas.openxmlformats.org/officeDocument/2006/relationships/hyperlink" Target="https://doi.org/10.1038/s41467-023-42072-1" TargetMode="External"/><Relationship Id="rId100" Type="http://schemas.openxmlformats.org/officeDocument/2006/relationships/hyperlink" Target="https://doi.org/10.1126/science.abn6583" TargetMode="External"/><Relationship Id="rId105" Type="http://schemas.openxmlformats.org/officeDocument/2006/relationships/hyperlink" Target="https://doi.org/10.1093/nar/gkaf763" TargetMode="External"/><Relationship Id="rId8" Type="http://schemas.openxmlformats.org/officeDocument/2006/relationships/hyperlink" Target="https://doi.org/10.1006/jmbi.1995.0606" TargetMode="External"/><Relationship Id="rId51" Type="http://schemas.openxmlformats.org/officeDocument/2006/relationships/hyperlink" Target="https://doi.org/10.1126/science.abn6583" TargetMode="External"/><Relationship Id="rId72" Type="http://schemas.openxmlformats.org/officeDocument/2006/relationships/hyperlink" Target="https://doi.org/10.1038/ncb3187" TargetMode="External"/><Relationship Id="rId93" Type="http://schemas.openxmlformats.org/officeDocument/2006/relationships/hyperlink" Target="https://doi.org/10.1073/pnas.0802336105" TargetMode="External"/><Relationship Id="rId98" Type="http://schemas.openxmlformats.org/officeDocument/2006/relationships/hyperlink" Target="https://doi.org/10.1038/s41467-026-75087-5" TargetMode="External"/><Relationship Id="rId3" Type="http://schemas.openxmlformats.org/officeDocument/2006/relationships/settings" Target="settings.xml"/><Relationship Id="rId25" Type="http://schemas.openxmlformats.org/officeDocument/2006/relationships/hyperlink" Target="https://doi.org/10.1016/j.cell.2019.08.037" TargetMode="External"/><Relationship Id="rId46" Type="http://schemas.openxmlformats.org/officeDocument/2006/relationships/hyperlink" Target="https://doi.org/10.1073/pnas.1302950110" TargetMode="External"/><Relationship Id="rId67" Type="http://schemas.openxmlformats.org/officeDocument/2006/relationships/hyperlink" Target="https://doi.org/10.1126/science.abn6583" TargetMode="External"/><Relationship Id="rId20" Type="http://schemas.openxmlformats.org/officeDocument/2006/relationships/hyperlink" Target="https://doi.org/10.1073/pnas.0802336105" TargetMode="External"/><Relationship Id="rId41" Type="http://schemas.openxmlformats.org/officeDocument/2006/relationships/hyperlink" Target="https://doi.org/10.1038/s41467-026-75087-5" TargetMode="External"/><Relationship Id="rId62" Type="http://schemas.openxmlformats.org/officeDocument/2006/relationships/hyperlink" Target="https://doi.org/10.1073/pnas.97.1.127" TargetMode="External"/><Relationship Id="rId83" Type="http://schemas.openxmlformats.org/officeDocument/2006/relationships/hyperlink" Target="https://doi.org/10.1016/j.molcel.2020.02.005" TargetMode="External"/><Relationship Id="rId88" Type="http://schemas.openxmlformats.org/officeDocument/2006/relationships/hyperlink" Target="https://doi.org/10.1038/emboj.2012.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3015</Words>
  <Characters>19525</Characters>
  <Application>Microsoft Office Word</Application>
  <DocSecurity>0</DocSecurity>
  <Lines>310</Lines>
  <Paragraphs>100</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Chromatin biophysics: nucleosome interactions, genome folding and mechanical response</dc:title>
  <dc:subject>A multiscale account connecting molecular accessibility to heterogeneous structure, chromosome dynamics and force transmission.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