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9424" w14:textId="77777777" w:rsidR="00E62AB7" w:rsidRDefault="00C02931">
      <w:pPr>
        <w:pStyle w:val="Title"/>
      </w:pPr>
      <w:r>
        <w:t>Chromatin condensates: mechanisms, evidence and cellular context</w:t>
      </w:r>
    </w:p>
    <w:p w14:paraId="5869F2A8" w14:textId="77777777" w:rsidR="00E62AB7" w:rsidRDefault="00C02931">
      <w:pPr>
        <w:pStyle w:val="Subtitle"/>
      </w:pPr>
      <w:r>
        <w:t>What purified arrays and chromatin-binding proteins demonstrate, and how to distinguish phase separation from other forms of organization.</w:t>
      </w:r>
    </w:p>
    <w:p w14:paraId="738EFF1B" w14:textId="77777777" w:rsidR="00E62AB7" w:rsidRDefault="00C02931">
      <w:pPr>
        <w:spacing w:before="200" w:after="320"/>
      </w:pPr>
      <w:r>
        <w:rPr>
          <w:color w:val="087B78"/>
          <w:sz w:val="20"/>
          <w:szCs w:val="20"/>
        </w:rPr>
        <w:t>CellNucleus · Current research review · 12 October 2026</w:t>
      </w:r>
    </w:p>
    <w:p w14:paraId="4FDD941C" w14:textId="77777777" w:rsidR="00E62AB7" w:rsidRDefault="00C02931">
      <w:pPr>
        <w:pStyle w:val="Heading1"/>
      </w:pPr>
      <w:bookmarkStart w:id="0" w:name="_Toc242668331"/>
      <w:r>
        <w:t>Abstract</w:t>
      </w:r>
      <w:bookmarkEnd w:id="0"/>
    </w:p>
    <w:p w14:paraId="0287E632" w14:textId="144BCCD4" w:rsidR="00E62AB7" w:rsidRDefault="00C02931">
      <w:r>
        <w:t>Chromatin condensates are concentrated assemblies of chromatin and associated molecules whose formation can involve nucleosome interactions, multivalent proteins and polymer organization. Purified arrays and HP1 preparations demonstrate phase-separation capacity, while cellular chromocenters and evolutionary comparisons show that this capacity is not a universal explanation for heterochromatin. A current review must distinguish the assembly observed from the mechanism proposed to produce it.</w:t>
      </w:r>
      <w:hyperlink r:id="rId7" w:history="1">
        <w:r>
          <w:rPr>
            <w:color w:val="087B78"/>
            <w:sz w:val="18"/>
            <w:szCs w:val="18"/>
          </w:rPr>
          <w:t xml:space="preserve"> [3]</w:t>
        </w:r>
      </w:hyperlink>
      <w:hyperlink r:id="rId8" w:history="1">
        <w:r>
          <w:rPr>
            <w:color w:val="087B78"/>
            <w:sz w:val="18"/>
            <w:szCs w:val="18"/>
          </w:rPr>
          <w:t xml:space="preserve"> [8]</w:t>
        </w:r>
      </w:hyperlink>
      <w:hyperlink r:id="rId9" w:history="1">
        <w:r>
          <w:rPr>
            <w:color w:val="087B78"/>
            <w:sz w:val="18"/>
            <w:szCs w:val="18"/>
          </w:rPr>
          <w:t xml:space="preserve"> [9]</w:t>
        </w:r>
      </w:hyperlink>
      <w:hyperlink r:id="rId10" w:history="1">
        <w:r>
          <w:rPr>
            <w:color w:val="087B78"/>
            <w:sz w:val="18"/>
            <w:szCs w:val="18"/>
          </w:rPr>
          <w:t xml:space="preserve"> [4]</w:t>
        </w:r>
      </w:hyperlink>
      <w:hyperlink r:id="rId11" w:history="1">
        <w:r>
          <w:rPr>
            <w:color w:val="087B78"/>
            <w:sz w:val="18"/>
            <w:szCs w:val="18"/>
          </w:rPr>
          <w:t xml:space="preserve"> [11]</w:t>
        </w:r>
      </w:hyperlink>
    </w:p>
    <w:p w14:paraId="3296AE7B" w14:textId="0CE5C959" w:rsidR="00E62AB7" w:rsidRDefault="00C02931">
      <w:r>
        <w:t>Phase separation, bridging and binding-associated accumulation make different predictions about concentration, transport and perturbation response. Structural studies resolve heterogeneous native chromatin, not one obligatory liquid or canonical fiber. The strongest functional interpretation combines molecularly defined perturbation, chromatin organization and an independent biological readout; droplet appearance or sensitivity to a solvent alone cannot isolate a phase mechanism.</w:t>
      </w:r>
      <w:hyperlink r:id="rId12" w:history="1">
        <w:r>
          <w:rPr>
            <w:color w:val="087B78"/>
            <w:sz w:val="18"/>
            <w:szCs w:val="18"/>
          </w:rPr>
          <w:t xml:space="preserve"> [7]</w:t>
        </w:r>
      </w:hyperlink>
      <w:hyperlink r:id="rId13" w:history="1">
        <w:r>
          <w:rPr>
            <w:color w:val="087B78"/>
            <w:sz w:val="18"/>
            <w:szCs w:val="18"/>
          </w:rPr>
          <w:t xml:space="preserve"> [5]</w:t>
        </w:r>
      </w:hyperlink>
      <w:hyperlink r:id="rId14" w:history="1">
        <w:r>
          <w:rPr>
            <w:color w:val="087B78"/>
            <w:sz w:val="18"/>
            <w:szCs w:val="18"/>
          </w:rPr>
          <w:t xml:space="preserve"> [6]</w:t>
        </w:r>
      </w:hyperlink>
      <w:hyperlink r:id="rId15" w:history="1">
        <w:r>
          <w:rPr>
            <w:color w:val="087B78"/>
            <w:sz w:val="18"/>
            <w:szCs w:val="18"/>
          </w:rPr>
          <w:t xml:space="preserve"> [10]</w:t>
        </w:r>
      </w:hyperlink>
      <w:hyperlink r:id="rId16" w:history="1">
        <w:r>
          <w:rPr>
            <w:color w:val="087B78"/>
            <w:sz w:val="18"/>
            <w:szCs w:val="18"/>
          </w:rPr>
          <w:t xml:space="preserve"> [4]</w:t>
        </w:r>
      </w:hyperlink>
    </w:p>
    <w:p w14:paraId="59B085DE" w14:textId="77777777" w:rsidR="00E62AB7" w:rsidRDefault="00C02931">
      <w:pPr>
        <w:pageBreakBefore/>
        <w:spacing w:before="330"/>
      </w:pPr>
      <w:r>
        <w:rPr>
          <w:b/>
          <w:bCs/>
          <w:color w:val="173B4C"/>
          <w:sz w:val="32"/>
          <w:szCs w:val="32"/>
        </w:rPr>
        <w:lastRenderedPageBreak/>
        <w:t>Contents</w:t>
      </w:r>
    </w:p>
    <w:sdt>
      <w:sdtPr>
        <w:alias w:val="Contents"/>
        <w:id w:val="-1523549682"/>
      </w:sdtPr>
      <w:sdtEndPr/>
      <w:sdtContent>
        <w:p w14:paraId="64335593" w14:textId="697369E5" w:rsidR="002E598D" w:rsidRDefault="00C0293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31" w:history="1">
            <w:r w:rsidR="002E598D" w:rsidRPr="003D1A61">
              <w:rPr>
                <w:rStyle w:val="Hyperlink"/>
                <w:noProof/>
              </w:rPr>
              <w:t>Abstract</w:t>
            </w:r>
            <w:r w:rsidR="002E598D">
              <w:rPr>
                <w:noProof/>
              </w:rPr>
              <w:tab/>
            </w:r>
            <w:r w:rsidR="002E598D">
              <w:rPr>
                <w:noProof/>
              </w:rPr>
              <w:fldChar w:fldCharType="begin"/>
            </w:r>
            <w:r w:rsidR="002E598D">
              <w:rPr>
                <w:noProof/>
              </w:rPr>
              <w:instrText xml:space="preserve"> PAGEREF _Toc242668331 \h </w:instrText>
            </w:r>
            <w:r w:rsidR="002E598D">
              <w:rPr>
                <w:noProof/>
              </w:rPr>
            </w:r>
            <w:r w:rsidR="002E598D">
              <w:rPr>
                <w:noProof/>
              </w:rPr>
              <w:fldChar w:fldCharType="separate"/>
            </w:r>
            <w:r w:rsidR="002E598D">
              <w:rPr>
                <w:noProof/>
              </w:rPr>
              <w:t>1</w:t>
            </w:r>
            <w:r w:rsidR="002E598D">
              <w:rPr>
                <w:noProof/>
              </w:rPr>
              <w:fldChar w:fldCharType="end"/>
            </w:r>
          </w:hyperlink>
        </w:p>
        <w:p w14:paraId="2066E636" w14:textId="55ABF26F"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2" w:history="1">
            <w:r w:rsidRPr="003D1A61">
              <w:rPr>
                <w:rStyle w:val="Hyperlink"/>
                <w:noProof/>
              </w:rPr>
              <w:t>1. Define the assembly before naming its mechanism</w:t>
            </w:r>
            <w:r>
              <w:rPr>
                <w:noProof/>
              </w:rPr>
              <w:tab/>
            </w:r>
            <w:r>
              <w:rPr>
                <w:noProof/>
              </w:rPr>
              <w:fldChar w:fldCharType="begin"/>
            </w:r>
            <w:r>
              <w:rPr>
                <w:noProof/>
              </w:rPr>
              <w:instrText xml:space="preserve"> PAGEREF _Toc242668332 \h </w:instrText>
            </w:r>
            <w:r>
              <w:rPr>
                <w:noProof/>
              </w:rPr>
            </w:r>
            <w:r>
              <w:rPr>
                <w:noProof/>
              </w:rPr>
              <w:fldChar w:fldCharType="separate"/>
            </w:r>
            <w:r>
              <w:rPr>
                <w:noProof/>
              </w:rPr>
              <w:t>2</w:t>
            </w:r>
            <w:r>
              <w:rPr>
                <w:noProof/>
              </w:rPr>
              <w:fldChar w:fldCharType="end"/>
            </w:r>
          </w:hyperlink>
        </w:p>
        <w:p w14:paraId="269A581F" w14:textId="1C79C14A"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3" w:history="1">
            <w:r w:rsidRPr="003D1A61">
              <w:rPr>
                <w:rStyle w:val="Hyperlink"/>
                <w:noProof/>
              </w:rPr>
              <w:t>2. Nucleosome arrays have an intrinsic condensation capacity</w:t>
            </w:r>
            <w:r>
              <w:rPr>
                <w:noProof/>
              </w:rPr>
              <w:tab/>
            </w:r>
            <w:r>
              <w:rPr>
                <w:noProof/>
              </w:rPr>
              <w:fldChar w:fldCharType="begin"/>
            </w:r>
            <w:r>
              <w:rPr>
                <w:noProof/>
              </w:rPr>
              <w:instrText xml:space="preserve"> PAGEREF _Toc242668333 \h </w:instrText>
            </w:r>
            <w:r>
              <w:rPr>
                <w:noProof/>
              </w:rPr>
            </w:r>
            <w:r>
              <w:rPr>
                <w:noProof/>
              </w:rPr>
              <w:fldChar w:fldCharType="separate"/>
            </w:r>
            <w:r>
              <w:rPr>
                <w:noProof/>
              </w:rPr>
              <w:t>3</w:t>
            </w:r>
            <w:r>
              <w:rPr>
                <w:noProof/>
              </w:rPr>
              <w:fldChar w:fldCharType="end"/>
            </w:r>
          </w:hyperlink>
        </w:p>
        <w:p w14:paraId="0A336113" w14:textId="3B1AEBB6"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4" w:history="1">
            <w:r w:rsidRPr="003D1A61">
              <w:rPr>
                <w:rStyle w:val="Hyperlink"/>
                <w:noProof/>
              </w:rPr>
              <w:t>3. HP1 supplied influential reconstitution and developmental evidence</w:t>
            </w:r>
            <w:r>
              <w:rPr>
                <w:noProof/>
              </w:rPr>
              <w:tab/>
            </w:r>
            <w:r>
              <w:rPr>
                <w:noProof/>
              </w:rPr>
              <w:fldChar w:fldCharType="begin"/>
            </w:r>
            <w:r>
              <w:rPr>
                <w:noProof/>
              </w:rPr>
              <w:instrText xml:space="preserve"> PAGEREF _Toc242668334 \h </w:instrText>
            </w:r>
            <w:r>
              <w:rPr>
                <w:noProof/>
              </w:rPr>
            </w:r>
            <w:r>
              <w:rPr>
                <w:noProof/>
              </w:rPr>
              <w:fldChar w:fldCharType="separate"/>
            </w:r>
            <w:r>
              <w:rPr>
                <w:noProof/>
              </w:rPr>
              <w:t>3</w:t>
            </w:r>
            <w:r>
              <w:rPr>
                <w:noProof/>
              </w:rPr>
              <w:fldChar w:fldCharType="end"/>
            </w:r>
          </w:hyperlink>
        </w:p>
        <w:p w14:paraId="701FD823" w14:textId="0A6D89C4"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5" w:history="1">
            <w:r w:rsidRPr="003D1A61">
              <w:rPr>
                <w:rStyle w:val="Hyperlink"/>
                <w:noProof/>
              </w:rPr>
              <w:t>4. Mammalian chromocenters test a simple HP1-liquid model</w:t>
            </w:r>
            <w:r>
              <w:rPr>
                <w:noProof/>
              </w:rPr>
              <w:tab/>
            </w:r>
            <w:r>
              <w:rPr>
                <w:noProof/>
              </w:rPr>
              <w:fldChar w:fldCharType="begin"/>
            </w:r>
            <w:r>
              <w:rPr>
                <w:noProof/>
              </w:rPr>
              <w:instrText xml:space="preserve"> PAGEREF _Toc242668335 \h </w:instrText>
            </w:r>
            <w:r>
              <w:rPr>
                <w:noProof/>
              </w:rPr>
            </w:r>
            <w:r>
              <w:rPr>
                <w:noProof/>
              </w:rPr>
              <w:fldChar w:fldCharType="separate"/>
            </w:r>
            <w:r>
              <w:rPr>
                <w:noProof/>
              </w:rPr>
              <w:t>4</w:t>
            </w:r>
            <w:r>
              <w:rPr>
                <w:noProof/>
              </w:rPr>
              <w:fldChar w:fldCharType="end"/>
            </w:r>
          </w:hyperlink>
        </w:p>
        <w:p w14:paraId="10B3A670" w14:textId="7CB70616"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6" w:history="1">
            <w:r w:rsidRPr="003D1A61">
              <w:rPr>
                <w:rStyle w:val="Hyperlink"/>
                <w:noProof/>
              </w:rPr>
              <w:t>5. New evidence makes species and paralog balance explicit</w:t>
            </w:r>
            <w:r>
              <w:rPr>
                <w:noProof/>
              </w:rPr>
              <w:tab/>
            </w:r>
            <w:r>
              <w:rPr>
                <w:noProof/>
              </w:rPr>
              <w:fldChar w:fldCharType="begin"/>
            </w:r>
            <w:r>
              <w:rPr>
                <w:noProof/>
              </w:rPr>
              <w:instrText xml:space="preserve"> PAGEREF _Toc242668336 \h </w:instrText>
            </w:r>
            <w:r>
              <w:rPr>
                <w:noProof/>
              </w:rPr>
            </w:r>
            <w:r>
              <w:rPr>
                <w:noProof/>
              </w:rPr>
              <w:fldChar w:fldCharType="separate"/>
            </w:r>
            <w:r>
              <w:rPr>
                <w:noProof/>
              </w:rPr>
              <w:t>4</w:t>
            </w:r>
            <w:r>
              <w:rPr>
                <w:noProof/>
              </w:rPr>
              <w:fldChar w:fldCharType="end"/>
            </w:r>
          </w:hyperlink>
        </w:p>
        <w:p w14:paraId="5704C392" w14:textId="613E5857"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7" w:history="1">
            <w:r w:rsidRPr="003D1A61">
              <w:rPr>
                <w:rStyle w:val="Hyperlink"/>
                <w:noProof/>
              </w:rPr>
              <w:t>6. Bridging provides an alternative route to clustered organization</w:t>
            </w:r>
            <w:r>
              <w:rPr>
                <w:noProof/>
              </w:rPr>
              <w:tab/>
            </w:r>
            <w:r>
              <w:rPr>
                <w:noProof/>
              </w:rPr>
              <w:fldChar w:fldCharType="begin"/>
            </w:r>
            <w:r>
              <w:rPr>
                <w:noProof/>
              </w:rPr>
              <w:instrText xml:space="preserve"> PAGEREF _Toc242668337 \h </w:instrText>
            </w:r>
            <w:r>
              <w:rPr>
                <w:noProof/>
              </w:rPr>
            </w:r>
            <w:r>
              <w:rPr>
                <w:noProof/>
              </w:rPr>
              <w:fldChar w:fldCharType="separate"/>
            </w:r>
            <w:r>
              <w:rPr>
                <w:noProof/>
              </w:rPr>
              <w:t>5</w:t>
            </w:r>
            <w:r>
              <w:rPr>
                <w:noProof/>
              </w:rPr>
              <w:fldChar w:fldCharType="end"/>
            </w:r>
          </w:hyperlink>
        </w:p>
        <w:p w14:paraId="6CCF8A4F" w14:textId="55674779"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8" w:history="1">
            <w:r w:rsidRPr="003D1A61">
              <w:rPr>
                <w:rStyle w:val="Hyperlink"/>
                <w:noProof/>
              </w:rPr>
              <w:t>7. Diagnostic observations need orthogonal controls</w:t>
            </w:r>
            <w:r>
              <w:rPr>
                <w:noProof/>
              </w:rPr>
              <w:tab/>
            </w:r>
            <w:r>
              <w:rPr>
                <w:noProof/>
              </w:rPr>
              <w:fldChar w:fldCharType="begin"/>
            </w:r>
            <w:r>
              <w:rPr>
                <w:noProof/>
              </w:rPr>
              <w:instrText xml:space="preserve"> PAGEREF _Toc242668338 \h </w:instrText>
            </w:r>
            <w:r>
              <w:rPr>
                <w:noProof/>
              </w:rPr>
            </w:r>
            <w:r>
              <w:rPr>
                <w:noProof/>
              </w:rPr>
              <w:fldChar w:fldCharType="separate"/>
            </w:r>
            <w:r>
              <w:rPr>
                <w:noProof/>
              </w:rPr>
              <w:t>5</w:t>
            </w:r>
            <w:r>
              <w:rPr>
                <w:noProof/>
              </w:rPr>
              <w:fldChar w:fldCharType="end"/>
            </w:r>
          </w:hyperlink>
        </w:p>
        <w:p w14:paraId="70F9E378" w14:textId="5452FBBD"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39" w:history="1">
            <w:r w:rsidRPr="003D1A61">
              <w:rPr>
                <w:rStyle w:val="Hyperlink"/>
                <w:noProof/>
              </w:rPr>
              <w:t>8. Evidence comparison</w:t>
            </w:r>
            <w:r>
              <w:rPr>
                <w:noProof/>
              </w:rPr>
              <w:tab/>
            </w:r>
            <w:r>
              <w:rPr>
                <w:noProof/>
              </w:rPr>
              <w:fldChar w:fldCharType="begin"/>
            </w:r>
            <w:r>
              <w:rPr>
                <w:noProof/>
              </w:rPr>
              <w:instrText xml:space="preserve"> PAGEREF _Toc242668339 \h </w:instrText>
            </w:r>
            <w:r>
              <w:rPr>
                <w:noProof/>
              </w:rPr>
            </w:r>
            <w:r>
              <w:rPr>
                <w:noProof/>
              </w:rPr>
              <w:fldChar w:fldCharType="separate"/>
            </w:r>
            <w:r>
              <w:rPr>
                <w:noProof/>
              </w:rPr>
              <w:t>6</w:t>
            </w:r>
            <w:r>
              <w:rPr>
                <w:noProof/>
              </w:rPr>
              <w:fldChar w:fldCharType="end"/>
            </w:r>
          </w:hyperlink>
        </w:p>
        <w:p w14:paraId="3D986CA7" w14:textId="54943DD7"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0" w:history="1">
            <w:r w:rsidRPr="003D1A61">
              <w:rPr>
                <w:rStyle w:val="Hyperlink"/>
                <w:noProof/>
              </w:rPr>
              <w:t>9. From physical assembly to chromatin function</w:t>
            </w:r>
            <w:r>
              <w:rPr>
                <w:noProof/>
              </w:rPr>
              <w:tab/>
            </w:r>
            <w:r>
              <w:rPr>
                <w:noProof/>
              </w:rPr>
              <w:fldChar w:fldCharType="begin"/>
            </w:r>
            <w:r>
              <w:rPr>
                <w:noProof/>
              </w:rPr>
              <w:instrText xml:space="preserve"> PAGEREF _Toc242668340 \h </w:instrText>
            </w:r>
            <w:r>
              <w:rPr>
                <w:noProof/>
              </w:rPr>
            </w:r>
            <w:r>
              <w:rPr>
                <w:noProof/>
              </w:rPr>
              <w:fldChar w:fldCharType="separate"/>
            </w:r>
            <w:r>
              <w:rPr>
                <w:noProof/>
              </w:rPr>
              <w:t>7</w:t>
            </w:r>
            <w:r>
              <w:rPr>
                <w:noProof/>
              </w:rPr>
              <w:fldChar w:fldCharType="end"/>
            </w:r>
          </w:hyperlink>
        </w:p>
        <w:p w14:paraId="1B8D1877" w14:textId="0AED0046"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1" w:history="1">
            <w:r w:rsidRPr="003D1A61">
              <w:rPr>
                <w:rStyle w:val="Hyperlink"/>
                <w:noProof/>
              </w:rPr>
              <w:t>10. Synthesis</w:t>
            </w:r>
            <w:r>
              <w:rPr>
                <w:noProof/>
              </w:rPr>
              <w:tab/>
            </w:r>
            <w:r>
              <w:rPr>
                <w:noProof/>
              </w:rPr>
              <w:fldChar w:fldCharType="begin"/>
            </w:r>
            <w:r>
              <w:rPr>
                <w:noProof/>
              </w:rPr>
              <w:instrText xml:space="preserve"> PAGEREF _Toc242668341 \h </w:instrText>
            </w:r>
            <w:r>
              <w:rPr>
                <w:noProof/>
              </w:rPr>
            </w:r>
            <w:r>
              <w:rPr>
                <w:noProof/>
              </w:rPr>
              <w:fldChar w:fldCharType="separate"/>
            </w:r>
            <w:r>
              <w:rPr>
                <w:noProof/>
              </w:rPr>
              <w:t>7</w:t>
            </w:r>
            <w:r>
              <w:rPr>
                <w:noProof/>
              </w:rPr>
              <w:fldChar w:fldCharType="end"/>
            </w:r>
          </w:hyperlink>
        </w:p>
        <w:p w14:paraId="0EF03FE3" w14:textId="72B9AFF7"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2" w:history="1">
            <w:r w:rsidRPr="003D1A61">
              <w:rPr>
                <w:rStyle w:val="Hyperlink"/>
                <w:noProof/>
              </w:rPr>
              <w:t>References</w:t>
            </w:r>
            <w:r>
              <w:rPr>
                <w:noProof/>
              </w:rPr>
              <w:tab/>
            </w:r>
            <w:r>
              <w:rPr>
                <w:noProof/>
              </w:rPr>
              <w:fldChar w:fldCharType="begin"/>
            </w:r>
            <w:r>
              <w:rPr>
                <w:noProof/>
              </w:rPr>
              <w:instrText xml:space="preserve"> PAGEREF _Toc242668342 \h </w:instrText>
            </w:r>
            <w:r>
              <w:rPr>
                <w:noProof/>
              </w:rPr>
            </w:r>
            <w:r>
              <w:rPr>
                <w:noProof/>
              </w:rPr>
              <w:fldChar w:fldCharType="separate"/>
            </w:r>
            <w:r>
              <w:rPr>
                <w:noProof/>
              </w:rPr>
              <w:t>7</w:t>
            </w:r>
            <w:r>
              <w:rPr>
                <w:noProof/>
              </w:rPr>
              <w:fldChar w:fldCharType="end"/>
            </w:r>
          </w:hyperlink>
        </w:p>
        <w:p w14:paraId="31CF92D9" w14:textId="2238B2AE" w:rsidR="002E598D" w:rsidRDefault="002E59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43" w:history="1">
            <w:r w:rsidRPr="003D1A61">
              <w:rPr>
                <w:rStyle w:val="Hyperlink"/>
                <w:noProof/>
              </w:rPr>
              <w:t>Evidence scope</w:t>
            </w:r>
            <w:r>
              <w:rPr>
                <w:noProof/>
              </w:rPr>
              <w:tab/>
            </w:r>
            <w:r>
              <w:rPr>
                <w:noProof/>
              </w:rPr>
              <w:fldChar w:fldCharType="begin"/>
            </w:r>
            <w:r>
              <w:rPr>
                <w:noProof/>
              </w:rPr>
              <w:instrText xml:space="preserve"> PAGEREF _Toc242668343 \h </w:instrText>
            </w:r>
            <w:r>
              <w:rPr>
                <w:noProof/>
              </w:rPr>
            </w:r>
            <w:r>
              <w:rPr>
                <w:noProof/>
              </w:rPr>
              <w:fldChar w:fldCharType="separate"/>
            </w:r>
            <w:r>
              <w:rPr>
                <w:noProof/>
              </w:rPr>
              <w:t>8</w:t>
            </w:r>
            <w:r>
              <w:rPr>
                <w:noProof/>
              </w:rPr>
              <w:fldChar w:fldCharType="end"/>
            </w:r>
          </w:hyperlink>
        </w:p>
        <w:p w14:paraId="4D31D3AB" w14:textId="03416F32" w:rsidR="00E62AB7" w:rsidRDefault="00C02931">
          <w:r>
            <w:fldChar w:fldCharType="end"/>
          </w:r>
        </w:p>
      </w:sdtContent>
    </w:sdt>
    <w:p w14:paraId="0B921487" w14:textId="77777777" w:rsidR="00E62AB7" w:rsidRDefault="00C02931">
      <w:pPr>
        <w:pStyle w:val="Heading1"/>
      </w:pPr>
      <w:bookmarkStart w:id="1" w:name="_Toc242668332"/>
      <w:r>
        <w:t>1. Define the assembly before naming its mechanism</w:t>
      </w:r>
      <w:bookmarkEnd w:id="1"/>
    </w:p>
    <w:p w14:paraId="7E2A2481" w14:textId="4CE0D9E2" w:rsidR="00E62AB7" w:rsidRDefault="00C02931">
      <w:r>
        <w:t>The condensate framework describes concentrated, membraneless assemblies of proteins and nucleic acids. Liquid–liquid phase separation is a physical mechanism through which interacting components demix into dense and dilute phases; it is one organizing possibility within that framework. For chromatin, the polymer itself and its binding sites matter. A focus can contain many binding interactions, and enrichment at a genomic region should be distinguished from a demonstrated thermodynamic phase boundary.</w:t>
      </w:r>
      <w:hyperlink r:id="rId17" w:history="1">
        <w:r>
          <w:rPr>
            <w:color w:val="087B78"/>
            <w:sz w:val="18"/>
            <w:szCs w:val="18"/>
          </w:rPr>
          <w:t xml:space="preserve"> [12]</w:t>
        </w:r>
      </w:hyperlink>
      <w:hyperlink r:id="rId18" w:history="1">
        <w:r>
          <w:rPr>
            <w:color w:val="087B78"/>
            <w:sz w:val="18"/>
            <w:szCs w:val="18"/>
          </w:rPr>
          <w:t xml:space="preserve"> [7]</w:t>
        </w:r>
      </w:hyperlink>
    </w:p>
    <w:p w14:paraId="31C7622C" w14:textId="63B030D7" w:rsidR="00E62AB7" w:rsidRDefault="00C02931">
      <w:r>
        <w:t>This distinction is particularly useful for a chromatin domain, which contains connected DNA segments rather than a freely mixed solution of independent molecules. Bridging proteins can bring distant segments together and thereby create clusters. Nucleosome arrays can also condense through their own interactions under a particular composition and solution regime. A complete mechanism should identify which material supplies the interaction network and how the DNA connectivity affects it, rather than using th</w:t>
      </w:r>
      <w:r>
        <w:t>e word condensate as its own explanation.</w:t>
      </w:r>
      <w:hyperlink r:id="rId19" w:history="1">
        <w:r>
          <w:rPr>
            <w:color w:val="087B78"/>
            <w:sz w:val="18"/>
            <w:szCs w:val="18"/>
          </w:rPr>
          <w:t xml:space="preserve"> [7]</w:t>
        </w:r>
      </w:hyperlink>
      <w:hyperlink r:id="rId20" w:history="1">
        <w:r>
          <w:rPr>
            <w:color w:val="087B78"/>
            <w:sz w:val="18"/>
            <w:szCs w:val="18"/>
          </w:rPr>
          <w:t xml:space="preserve"> [3]</w:t>
        </w:r>
      </w:hyperlink>
    </w:p>
    <w:p w14:paraId="490E0ED2" w14:textId="18A5F0F0" w:rsidR="00E62AB7" w:rsidRDefault="00C02931">
      <w:r>
        <w:t>Three observations should be kept separate: increased concentration, a measured material behavior and a biological consequence. The purified-array experiments directly demonstrate concentration-dependent condensed structures and dynamics, while cellular HP1 studies test the relevance of a proposed liquid mechanism in domains with different composition and development. Connecting these observations requires a causal bridge. It is not supplied automatically by similarity between a cellular focus and a rounded</w:t>
      </w:r>
      <w:r>
        <w:t xml:space="preserve"> in-vitro droplet.</w:t>
      </w:r>
      <w:hyperlink r:id="rId21" w:history="1">
        <w:r>
          <w:rPr>
            <w:color w:val="087B78"/>
            <w:sz w:val="18"/>
            <w:szCs w:val="18"/>
          </w:rPr>
          <w:t xml:space="preserve"> [3]</w:t>
        </w:r>
      </w:hyperlink>
      <w:hyperlink r:id="rId22" w:history="1">
        <w:r>
          <w:rPr>
            <w:color w:val="087B78"/>
            <w:sz w:val="18"/>
            <w:szCs w:val="18"/>
          </w:rPr>
          <w:t xml:space="preserve"> [9]</w:t>
        </w:r>
      </w:hyperlink>
      <w:hyperlink r:id="rId23" w:history="1">
        <w:r>
          <w:rPr>
            <w:color w:val="087B78"/>
            <w:sz w:val="18"/>
            <w:szCs w:val="18"/>
          </w:rPr>
          <w:t xml:space="preserve"> [4]</w:t>
        </w:r>
      </w:hyperlink>
    </w:p>
    <w:p w14:paraId="3B5B6A27" w14:textId="77777777" w:rsidR="00E62AB7" w:rsidRDefault="00C02931">
      <w:pPr>
        <w:pStyle w:val="Heading1"/>
      </w:pPr>
      <w:bookmarkStart w:id="2" w:name="_Toc242668333"/>
      <w:r>
        <w:lastRenderedPageBreak/>
        <w:t>2. Nucleosome arrays have an intrinsic condensation capacity</w:t>
      </w:r>
      <w:bookmarkEnd w:id="2"/>
    </w:p>
    <w:p w14:paraId="3D04282B" w14:textId="221C16D6" w:rsidR="00E62AB7" w:rsidRDefault="00C02931">
      <w:r>
        <w:t>Gibson and colleagues reconstituted arrays from defined nucleosome components and observed reversible droplets whose formation depended on concentration and salt. Droplets fused and showed internal mixing, supporting liquid-like behavior in the tested regime. This is a particularly informative demonstration because it makes the chromatin substrate, rather than an arbitrary fluorescent focus, the material being tested. It establishes a physical capacity of an array with a defined composition.</w:t>
      </w:r>
      <w:hyperlink r:id="rId24" w:history="1">
        <w:r>
          <w:rPr>
            <w:color w:val="087B78"/>
            <w:sz w:val="18"/>
            <w:szCs w:val="18"/>
          </w:rPr>
          <w:t xml:space="preserve"> [3]</w:t>
        </w:r>
      </w:hyperlink>
    </w:p>
    <w:p w14:paraId="6385D6D4" w14:textId="10D04B44" w:rsidR="00E62AB7" w:rsidRDefault="00C02931">
      <w:r>
        <w:t>The distinction between internal transport and exchange emerged within the same system. Bleaching part of a droplet revealed internal rearrangement, whereas bleaching the whole droplet produced slow recovery from the surrounding dilute pool. A single recovery half-time therefore cannot characterize every molecular process in a condensate. Geometry and the available unbleached reservoir determine what the experiment reports, so recovery should be interpreted alongside the structure and bleaching arrangement.</w:t>
      </w:r>
      <w:hyperlink r:id="rId25" w:history="1">
        <w:r>
          <w:rPr>
            <w:color w:val="087B78"/>
            <w:sz w:val="18"/>
            <w:szCs w:val="18"/>
          </w:rPr>
          <w:t xml:space="preserve"> [3]</w:t>
        </w:r>
      </w:hyperlink>
    </w:p>
    <w:p w14:paraId="208F81B9" w14:textId="4CADC5EE" w:rsidR="00E62AB7" w:rsidRDefault="00C02931">
      <w:r>
        <w:t>Linker histones and histone acetylation changed the array phase behavior. Related defined-array experiments showed that H4K16 acetylation inhibited folding and cross-fiber association, while repeat length and H5 stoichiometry altered array geometry. These comparisons connect molecular chemistry to interaction strength and connectivity. They also indicate that chromatin condensation can be regulated at more than one level: by the histones themselves, their modifications and the proteins attached to the conne</w:t>
      </w:r>
      <w:r>
        <w:t>cting DNA.</w:t>
      </w:r>
      <w:hyperlink r:id="rId26" w:history="1">
        <w:r>
          <w:rPr>
            <w:color w:val="087B78"/>
            <w:sz w:val="18"/>
            <w:szCs w:val="18"/>
          </w:rPr>
          <w:t xml:space="preserve"> [3]</w:t>
        </w:r>
      </w:hyperlink>
      <w:hyperlink r:id="rId27" w:history="1">
        <w:r>
          <w:rPr>
            <w:color w:val="087B78"/>
            <w:sz w:val="18"/>
            <w:szCs w:val="18"/>
          </w:rPr>
          <w:t xml:space="preserve"> [2]</w:t>
        </w:r>
      </w:hyperlink>
      <w:hyperlink r:id="rId28" w:history="1">
        <w:r>
          <w:rPr>
            <w:color w:val="087B78"/>
            <w:sz w:val="18"/>
            <w:szCs w:val="18"/>
          </w:rPr>
          <w:t xml:space="preserve"> [1]</w:t>
        </w:r>
      </w:hyperlink>
    </w:p>
    <w:p w14:paraId="3C704F9A" w14:textId="77777777" w:rsidR="00E62AB7" w:rsidRDefault="00C02931">
      <w:pPr>
        <w:pStyle w:val="Heading1"/>
      </w:pPr>
      <w:bookmarkStart w:id="3" w:name="_Toc242668334"/>
      <w:r>
        <w:t>3. HP1 supplied influential reconstitution and developmental evidence</w:t>
      </w:r>
      <w:bookmarkEnd w:id="3"/>
    </w:p>
    <w:p w14:paraId="3BAAA608" w14:textId="28FA5F1A" w:rsidR="00E62AB7" w:rsidRDefault="00C02931">
      <w:r>
        <w:t>Purified human HP1α formed droplets in phosphorylation- and DNA-dependent comparisons and concentrated selected interacting partners. This showed that HP1α can participate in a multicomponent condensed phase and couple its interactions to DNA compaction. The claim is conditional on the examined components and concentrations. It does not establish that every HP1 paralog independently condenses at its endogenous concentration or that the purified behavior is necessary for every mammalian heterochromatin domai</w:t>
      </w:r>
      <w:r>
        <w:t>n.</w:t>
      </w:r>
      <w:hyperlink r:id="rId29" w:history="1">
        <w:r>
          <w:rPr>
            <w:color w:val="087B78"/>
            <w:sz w:val="18"/>
            <w:szCs w:val="18"/>
          </w:rPr>
          <w:t xml:space="preserve"> [8]</w:t>
        </w:r>
      </w:hyperlink>
    </w:p>
    <w:p w14:paraId="1CB047A4" w14:textId="4A364211" w:rsidR="00E62AB7" w:rsidRDefault="00C02931">
      <w:r>
        <w:t>Strom and colleagues studied Drosophila HP1a and early embryonic heterochromatin formation, combining in-vitro demixing with liquid-like cellular observations. This linked a physical hypothesis to a defined developmental context. The early domain-formation stage is part of the finding: it should not be replaced by an unspecified mature mammalian nucleus in a summary. The study and the human reconstitution are related evidence, but they do not test identical molecules, substrates or cellular states.</w:t>
      </w:r>
      <w:hyperlink r:id="rId30" w:history="1">
        <w:r>
          <w:rPr>
            <w:color w:val="087B78"/>
            <w:sz w:val="18"/>
            <w:szCs w:val="18"/>
          </w:rPr>
          <w:t xml:space="preserve"> [9]</w:t>
        </w:r>
      </w:hyperlink>
      <w:hyperlink r:id="rId31" w:history="1">
        <w:r>
          <w:rPr>
            <w:color w:val="087B78"/>
            <w:sz w:val="18"/>
            <w:szCs w:val="18"/>
          </w:rPr>
          <w:t xml:space="preserve"> [8]</w:t>
        </w:r>
      </w:hyperlink>
    </w:p>
    <w:p w14:paraId="31B9240A" w14:textId="3F810574" w:rsidR="00E62AB7" w:rsidRDefault="00C02931">
      <w:r>
        <w:t xml:space="preserve">Taken together, these studies make HP1 interactions a legitimate candidate mechanism rather than a universal verdict. Their biochemical and cellular components motivate testing whether the same phase-dependent behavior survives native concentrations, partner mixtures and domain </w:t>
      </w:r>
      <w:r>
        <w:lastRenderedPageBreak/>
        <w:t>age. Such tests are especially important because the HP1 family contains proteins with distinct interaction chemistry. The newer comparative work demonstrates that the family name alone is insufficient to predict chromatin coalescence.</w:t>
      </w:r>
      <w:hyperlink r:id="rId32" w:history="1">
        <w:r>
          <w:rPr>
            <w:color w:val="087B78"/>
            <w:sz w:val="18"/>
            <w:szCs w:val="18"/>
          </w:rPr>
          <w:t xml:space="preserve"> [8]</w:t>
        </w:r>
      </w:hyperlink>
      <w:hyperlink r:id="rId33" w:history="1">
        <w:r>
          <w:rPr>
            <w:color w:val="087B78"/>
            <w:sz w:val="18"/>
            <w:szCs w:val="18"/>
          </w:rPr>
          <w:t xml:space="preserve"> [9]</w:t>
        </w:r>
      </w:hyperlink>
      <w:hyperlink r:id="rId34" w:history="1">
        <w:r>
          <w:rPr>
            <w:color w:val="087B78"/>
            <w:sz w:val="18"/>
            <w:szCs w:val="18"/>
          </w:rPr>
          <w:t xml:space="preserve"> [11]</w:t>
        </w:r>
      </w:hyperlink>
    </w:p>
    <w:p w14:paraId="26A855B9" w14:textId="7EC71C7D" w:rsidR="00E62AB7" w:rsidRDefault="00C02931">
      <w:r>
        <w:t>HP1 enrichment also has a directly demonstrated chemical-recognition route. Foundational experiments showed that its chromodomain binds methylated H3K9 and that changing the relevant methyltransferase affects cellular recruitment. This means a focus can become HP1-rich because it supplies binding sites, before deciding whether the accumulated protein forms a distinct phase. Recruitment and a proposed phase boundary are therefore separable causal steps that can be tested with reader-domain, mark-state and tr</w:t>
      </w:r>
      <w:r>
        <w:t>ansport comparisons.</w:t>
      </w:r>
      <w:hyperlink r:id="rId35" w:history="1">
        <w:r>
          <w:rPr>
            <w:color w:val="087B78"/>
            <w:sz w:val="18"/>
            <w:szCs w:val="18"/>
          </w:rPr>
          <w:t xml:space="preserve"> [13]</w:t>
        </w:r>
      </w:hyperlink>
      <w:hyperlink r:id="rId36" w:history="1">
        <w:r>
          <w:rPr>
            <w:color w:val="087B78"/>
            <w:sz w:val="18"/>
            <w:szCs w:val="18"/>
          </w:rPr>
          <w:t xml:space="preserve"> [14]</w:t>
        </w:r>
      </w:hyperlink>
      <w:hyperlink r:id="rId37" w:history="1">
        <w:r>
          <w:rPr>
            <w:color w:val="087B78"/>
            <w:sz w:val="18"/>
            <w:szCs w:val="18"/>
          </w:rPr>
          <w:t xml:space="preserve"> [4]</w:t>
        </w:r>
      </w:hyperlink>
    </w:p>
    <w:p w14:paraId="22ED55A1" w14:textId="77777777" w:rsidR="00E62AB7" w:rsidRDefault="00C02931">
      <w:pPr>
        <w:pStyle w:val="Heading1"/>
      </w:pPr>
      <w:bookmarkStart w:id="4" w:name="_Toc242668335"/>
      <w:r>
        <w:t>4. Mammalian chromocenters test a simple HP1-liquid model</w:t>
      </w:r>
      <w:bookmarkEnd w:id="4"/>
    </w:p>
    <w:p w14:paraId="05FAB68B" w14:textId="179F78AE" w:rsidR="00E62AB7" w:rsidRDefault="00C02931">
      <w:r>
        <w:t>Erdel and colleagues investigated pericentric chromocenters in mouse fibroblasts using imaging, fluorescence transport and HP1 perturbation. They found compact states without the tested hallmarks of a separate HP1 liquid pool. Gross domain size, compaction and accessibility were not controlled by HP1 enrichment in the manner predicted by the simple phase picture. This supplies a direct cellular counterweight to the idea that an HP1-positive dense region must be an HP1 droplet.</w:t>
      </w:r>
      <w:hyperlink r:id="rId38" w:history="1">
        <w:r>
          <w:rPr>
            <w:color w:val="087B78"/>
            <w:sz w:val="18"/>
            <w:szCs w:val="18"/>
          </w:rPr>
          <w:t xml:space="preserve"> [4]</w:t>
        </w:r>
      </w:hyperlink>
    </w:p>
    <w:p w14:paraId="7E3996AF" w14:textId="0A193FD9" w:rsidR="00E62AB7" w:rsidRDefault="00C02931">
      <w:r>
        <w:t>The finding is mechanistically narrower than the statement that heterochromatin can never phase separate. It concerns particular mouse fibroblast domains and a particular candidate driver. DNA connectivity, nucleosome contacts and other binding interactions can still support compact organization. What it changes is the causal assignment: in this context, observed HP1 enrichment and chromatin compaction did not establish that a distinct HP1 liquid phase organized the domain.</w:t>
      </w:r>
      <w:hyperlink r:id="rId39" w:history="1">
        <w:r>
          <w:rPr>
            <w:color w:val="087B78"/>
            <w:sz w:val="18"/>
            <w:szCs w:val="18"/>
          </w:rPr>
          <w:t xml:space="preserve"> [4]</w:t>
        </w:r>
      </w:hyperlink>
      <w:hyperlink r:id="rId40" w:history="1">
        <w:r>
          <w:rPr>
            <w:color w:val="087B78"/>
            <w:sz w:val="18"/>
            <w:szCs w:val="18"/>
          </w:rPr>
          <w:t xml:space="preserve"> [7]</w:t>
        </w:r>
      </w:hyperlink>
      <w:hyperlink r:id="rId41" w:history="1">
        <w:r>
          <w:rPr>
            <w:color w:val="087B78"/>
            <w:sz w:val="18"/>
            <w:szCs w:val="18"/>
          </w:rPr>
          <w:t xml:space="preserve"> [3]</w:t>
        </w:r>
      </w:hyperlink>
    </w:p>
    <w:p w14:paraId="0256AD84" w14:textId="287DB4E2" w:rsidR="00E62AB7" w:rsidRDefault="00C02931">
      <w:r>
        <w:t>This is why a negative transport or perturbation result should be integrated into the model rather than treated as a technical footnote. The experimentally tested mechanism must explain molecular movement as well as morphology. A model of a cellular condensate that only explains a focus but conflicts with its exchange behavior is incomplete. Comparing candidate mechanisms against the same observations can preserve the genuine physical findings while revising their interpretation.</w:t>
      </w:r>
      <w:hyperlink r:id="rId42" w:history="1">
        <w:r>
          <w:rPr>
            <w:color w:val="087B78"/>
            <w:sz w:val="18"/>
            <w:szCs w:val="18"/>
          </w:rPr>
          <w:t xml:space="preserve"> [4]</w:t>
        </w:r>
      </w:hyperlink>
      <w:hyperlink r:id="rId43" w:history="1">
        <w:r>
          <w:rPr>
            <w:color w:val="087B78"/>
            <w:sz w:val="18"/>
            <w:szCs w:val="18"/>
          </w:rPr>
          <w:t xml:space="preserve"> [3]</w:t>
        </w:r>
      </w:hyperlink>
    </w:p>
    <w:p w14:paraId="524B50D5" w14:textId="77777777" w:rsidR="00E62AB7" w:rsidRDefault="00C02931">
      <w:pPr>
        <w:pStyle w:val="Heading1"/>
      </w:pPr>
      <w:bookmarkStart w:id="5" w:name="_Toc242668336"/>
      <w:r>
        <w:t>5. New evidence makes species and paralog balance explicit</w:t>
      </w:r>
      <w:bookmarkEnd w:id="5"/>
    </w:p>
    <w:p w14:paraId="2E68D7D8" w14:textId="4BA83ABB" w:rsidR="00E62AB7" w:rsidRDefault="00C02931">
      <w:r>
        <w:t>Bensaha and colleagues compared fission-yeast Swi6, fly HP1a and mouse HP1α in matched reconstitution conditions. Their phase diagrams differed with ionic strength and DNA, and the proteins differed in disorder. This avoids the ambiguity of comparing unrelated experiments performed in different buffers. The conclusion is a graded difference in physical capacity across the tested homologs, not that all evolutionary change is explained by one sequence feature.</w:t>
      </w:r>
      <w:hyperlink r:id="rId44" w:history="1">
        <w:r>
          <w:rPr>
            <w:color w:val="087B78"/>
            <w:sz w:val="18"/>
            <w:szCs w:val="18"/>
          </w:rPr>
          <w:t xml:space="preserve"> [11]</w:t>
        </w:r>
      </w:hyperlink>
    </w:p>
    <w:p w14:paraId="072D497F" w14:textId="697B10CF" w:rsidR="00E62AB7" w:rsidRDefault="00C02931">
      <w:r>
        <w:t xml:space="preserve">The same study examined interactions with mammalian HP1β. HP1β antagonized mouse HP1α condensation in the tested mixtures, with evidence connecting that effect to dimer disruption. </w:t>
      </w:r>
      <w:r>
        <w:lastRenderedPageBreak/>
        <w:t>Composition therefore includes relative paralog abundance and compatibility, not simply total HP1 concentration. A cell may express an intrinsically condensation-capable component together with partners that reduce that capacity, so purified behavior of one isolated protein is insufficient to specify the complete cellular mixture.</w:t>
      </w:r>
      <w:hyperlink r:id="rId45" w:history="1">
        <w:r>
          <w:rPr>
            <w:color w:val="087B78"/>
            <w:sz w:val="18"/>
            <w:szCs w:val="18"/>
          </w:rPr>
          <w:t xml:space="preserve"> [11]</w:t>
        </w:r>
      </w:hyperlink>
    </w:p>
    <w:p w14:paraId="6F69404F" w14:textId="067DA5CE" w:rsidR="00E62AB7" w:rsidRDefault="00C02931">
      <w:r>
        <w:t>When homologs were expressed in mammalian cells, Swi6 and fly HP1a drove stronger heterochromatin coalescence than mouse HP1α and showed different transport-boundary behavior. These heterologous-expression experiments identify transferable molecular capacities, but they also introduce expression level and host context as variables. Together with the fibroblast study, they favor context-specific physical organization and directly challenge summaries that attribute the same HP1-liquid mechanism to all eukaryo</w:t>
      </w:r>
      <w:r>
        <w:t>tic heterochromatin.</w:t>
      </w:r>
      <w:hyperlink r:id="rId46" w:history="1">
        <w:r>
          <w:rPr>
            <w:color w:val="087B78"/>
            <w:sz w:val="18"/>
            <w:szCs w:val="18"/>
          </w:rPr>
          <w:t xml:space="preserve"> [11]</w:t>
        </w:r>
      </w:hyperlink>
      <w:hyperlink r:id="rId47" w:history="1">
        <w:r>
          <w:rPr>
            <w:color w:val="087B78"/>
            <w:sz w:val="18"/>
            <w:szCs w:val="18"/>
          </w:rPr>
          <w:t xml:space="preserve"> [4]</w:t>
        </w:r>
      </w:hyperlink>
    </w:p>
    <w:p w14:paraId="33D5193A" w14:textId="77777777" w:rsidR="00E62AB7" w:rsidRDefault="00C02931">
      <w:pPr>
        <w:pStyle w:val="Heading1"/>
      </w:pPr>
      <w:bookmarkStart w:id="6" w:name="_Toc242668337"/>
      <w:r>
        <w:t>6. Bridging provides an alternative route to clustered organization</w:t>
      </w:r>
      <w:bookmarkEnd w:id="6"/>
    </w:p>
    <w:p w14:paraId="113589BC" w14:textId="672A7014" w:rsidR="00E62AB7" w:rsidRDefault="00C02931">
      <w:r>
        <w:t>In the Brackley model, proteins reversibly bind more than one site on a polymer. Clustering occurs even without direct attractive protein–protein interactions, because bridges bring polymer segments into proximity and create opportunities for further binding. The example is important conceptually: a high local concentration does not by itself identify the attractive interaction responsible. DNA-associated clustering can be produced by the organization of the binding substrate.</w:t>
      </w:r>
      <w:hyperlink r:id="rId48" w:history="1">
        <w:r>
          <w:rPr>
            <w:color w:val="087B78"/>
            <w:sz w:val="18"/>
            <w:szCs w:val="18"/>
          </w:rPr>
          <w:t xml:space="preserve"> [7]</w:t>
        </w:r>
      </w:hyperlink>
    </w:p>
    <w:p w14:paraId="4DF1A599" w14:textId="17E55D8E" w:rsidR="00E62AB7" w:rsidRDefault="00C02931">
      <w:r>
        <w:t>A bridging model and bulk phase separation are therefore not interchangeable descriptions, even when both generate dense domains. Their concentration dependencies, domain boundaries and response to altered binding valency can differ. The simulation demonstrates feasibility rather than the identity of an endogenous bridge. To apply it to chromatin, one must identify the relevant protein or nucleosome interactions and test whether changing those interactions changes the predicted cellular organization.</w:t>
      </w:r>
      <w:hyperlink r:id="rId49" w:history="1">
        <w:r>
          <w:rPr>
            <w:color w:val="087B78"/>
            <w:sz w:val="18"/>
            <w:szCs w:val="18"/>
          </w:rPr>
          <w:t xml:space="preserve"> [7]</w:t>
        </w:r>
      </w:hyperlink>
      <w:hyperlink r:id="rId50" w:history="1">
        <w:r>
          <w:rPr>
            <w:color w:val="087B78"/>
            <w:sz w:val="18"/>
            <w:szCs w:val="18"/>
          </w:rPr>
          <w:t xml:space="preserve"> [4]</w:t>
        </w:r>
      </w:hyperlink>
    </w:p>
    <w:p w14:paraId="4A6AB02E" w14:textId="343DF52B" w:rsidR="00E62AB7" w:rsidRDefault="00C02931">
      <w:r>
        <w:t>The possibility of multiple mechanisms also allows mixtures. A polymer can be bridged while some associated molecules exchange rapidly; another component may demix under a different concentration regime. Native structural studies show heterogeneous arrangements that are compatible with several kinds of local contact. The useful question is therefore the relative contribution of each interaction in a specified domain, supported by perturbation and transport measurements, rather than assigning a single materi</w:t>
      </w:r>
      <w:r>
        <w:t>al word to the entire nucleus.</w:t>
      </w:r>
      <w:hyperlink r:id="rId51" w:history="1">
        <w:r>
          <w:rPr>
            <w:color w:val="087B78"/>
            <w:sz w:val="18"/>
            <w:szCs w:val="18"/>
          </w:rPr>
          <w:t xml:space="preserve"> [7]</w:t>
        </w:r>
      </w:hyperlink>
      <w:hyperlink r:id="rId52" w:history="1">
        <w:r>
          <w:rPr>
            <w:color w:val="087B78"/>
            <w:sz w:val="18"/>
            <w:szCs w:val="18"/>
          </w:rPr>
          <w:t xml:space="preserve"> [5]</w:t>
        </w:r>
      </w:hyperlink>
      <w:hyperlink r:id="rId53" w:history="1">
        <w:r>
          <w:rPr>
            <w:color w:val="087B78"/>
            <w:sz w:val="18"/>
            <w:szCs w:val="18"/>
          </w:rPr>
          <w:t xml:space="preserve"> [6]</w:t>
        </w:r>
      </w:hyperlink>
      <w:hyperlink r:id="rId54" w:history="1">
        <w:r>
          <w:rPr>
            <w:color w:val="087B78"/>
            <w:sz w:val="18"/>
            <w:szCs w:val="18"/>
          </w:rPr>
          <w:t xml:space="preserve"> [11]</w:t>
        </w:r>
      </w:hyperlink>
    </w:p>
    <w:p w14:paraId="79F5A721" w14:textId="77777777" w:rsidR="00E62AB7" w:rsidRDefault="00C02931">
      <w:pPr>
        <w:pStyle w:val="Heading1"/>
      </w:pPr>
      <w:bookmarkStart w:id="7" w:name="_Toc242668338"/>
      <w:r>
        <w:t>7. Diagnostic observations need orthogonal controls</w:t>
      </w:r>
      <w:bookmarkEnd w:id="7"/>
    </w:p>
    <w:p w14:paraId="601995B2" w14:textId="68D0DA83" w:rsidR="00E62AB7" w:rsidRDefault="00C02931">
      <w:r>
        <w:t xml:space="preserve">Fusion, rounding and fluorescence recovery can support a liquid-like interpretation, but their specificity depends on the experimental system. The defined-array study combines several such observations with reversible concentration and salt dependence. The mouse chromocenter study instead tested whether the cellular focus showed the expected transport and perturbation </w:t>
      </w:r>
      <w:r>
        <w:lastRenderedPageBreak/>
        <w:t>behavior of an HP1 liquid. The comparison illustrates how orthogonal readouts can distinguish an attractive analogy from an experimentally constrained physical mechanism.</w:t>
      </w:r>
      <w:hyperlink r:id="rId55" w:history="1">
        <w:r>
          <w:rPr>
            <w:color w:val="087B78"/>
            <w:sz w:val="18"/>
            <w:szCs w:val="18"/>
          </w:rPr>
          <w:t xml:space="preserve"> [3]</w:t>
        </w:r>
      </w:hyperlink>
      <w:hyperlink r:id="rId56" w:history="1">
        <w:r>
          <w:rPr>
            <w:color w:val="087B78"/>
            <w:sz w:val="18"/>
            <w:szCs w:val="18"/>
          </w:rPr>
          <w:t xml:space="preserve"> [4]</w:t>
        </w:r>
      </w:hyperlink>
    </w:p>
    <w:p w14:paraId="5090BF7B" w14:textId="6D272EF7" w:rsidR="00E62AB7" w:rsidRDefault="00C02931">
      <w:r>
        <w:t>Chemical dissolution is especially easy to overinterpret. Itoh and colleagues found that 1,6-hexanediol rapidly immobilized and condensed chromatin in living human cell models. An agent used to probe weak interactions can therefore alter the chromatin substrate and its motion directly. Loss or persistence of a focus after treatment cannot be assigned uniquely to loss or persistence of phase separation unless those concurrent effects are measured and excluded.</w:t>
      </w:r>
      <w:hyperlink r:id="rId57" w:history="1">
        <w:r>
          <w:rPr>
            <w:color w:val="087B78"/>
            <w:sz w:val="18"/>
            <w:szCs w:val="18"/>
          </w:rPr>
          <w:t xml:space="preserve"> [10]</w:t>
        </w:r>
      </w:hyperlink>
    </w:p>
    <w:p w14:paraId="5C0EA826" w14:textId="042EF65C" w:rsidR="00E62AB7" w:rsidRDefault="00C02931">
      <w:r>
        <w:t>A useful perturbation analysis also keeps concentration and recruitment distinct. If a mutation changes binding to DNA or another component, altered focus formation may follow even without a changed phase boundary. The reconstitution studies show how defined mixtures permit direct tests of composition and salt; the cellular comparisons show why transport and domain-size measurements should accompany them. This is a practical route to mechanism-specific evidence without treating every perturbation as phase-s</w:t>
      </w:r>
      <w:r>
        <w:t>elective.</w:t>
      </w:r>
      <w:hyperlink r:id="rId58" w:history="1">
        <w:r>
          <w:rPr>
            <w:color w:val="087B78"/>
            <w:sz w:val="18"/>
            <w:szCs w:val="18"/>
          </w:rPr>
          <w:t xml:space="preserve"> [8]</w:t>
        </w:r>
      </w:hyperlink>
      <w:hyperlink r:id="rId59" w:history="1">
        <w:r>
          <w:rPr>
            <w:color w:val="087B78"/>
            <w:sz w:val="18"/>
            <w:szCs w:val="18"/>
          </w:rPr>
          <w:t xml:space="preserve"> [11]</w:t>
        </w:r>
      </w:hyperlink>
      <w:hyperlink r:id="rId60" w:history="1">
        <w:r>
          <w:rPr>
            <w:color w:val="087B78"/>
            <w:sz w:val="18"/>
            <w:szCs w:val="18"/>
          </w:rPr>
          <w:t xml:space="preserve"> [4]</w:t>
        </w:r>
      </w:hyperlink>
    </w:p>
    <w:p w14:paraId="3955AB2C" w14:textId="77777777" w:rsidR="00E62AB7" w:rsidRDefault="00C02931">
      <w:pPr>
        <w:pStyle w:val="Heading1"/>
      </w:pPr>
      <w:bookmarkStart w:id="8" w:name="_Toc242668339"/>
      <w:r>
        <w:t>8. Evidence comparison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2AB7" w14:paraId="3E016545"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26948A02" w14:textId="77777777" w:rsidR="00E62AB7" w:rsidRDefault="00C02931">
            <w:pPr>
              <w:spacing w:after="50" w:line="255" w:lineRule="auto"/>
            </w:pPr>
            <w:r>
              <w:rPr>
                <w:b/>
                <w:bCs/>
                <w:color w:val="173B4C"/>
                <w:sz w:val="19"/>
                <w:szCs w:val="19"/>
              </w:rPr>
              <w:t>System</w:t>
            </w:r>
          </w:p>
        </w:tc>
        <w:tc>
          <w:tcPr>
            <w:tcW w:w="3120" w:type="dxa"/>
            <w:shd w:val="clear" w:color="auto" w:fill="EAF3F3"/>
            <w:tcMar>
              <w:top w:w="105" w:type="dxa"/>
              <w:left w:w="125" w:type="dxa"/>
              <w:bottom w:w="105" w:type="dxa"/>
              <w:right w:w="125" w:type="dxa"/>
            </w:tcMar>
          </w:tcPr>
          <w:p w14:paraId="2B7F2C18" w14:textId="77777777" w:rsidR="00E62AB7" w:rsidRDefault="00C02931">
            <w:pPr>
              <w:spacing w:after="50" w:line="255" w:lineRule="auto"/>
            </w:pPr>
            <w:r>
              <w:rPr>
                <w:b/>
                <w:bCs/>
                <w:color w:val="173B4C"/>
                <w:sz w:val="19"/>
                <w:szCs w:val="19"/>
              </w:rPr>
              <w:t>Supported observation</w:t>
            </w:r>
          </w:p>
        </w:tc>
        <w:tc>
          <w:tcPr>
            <w:tcW w:w="3120" w:type="dxa"/>
            <w:shd w:val="clear" w:color="auto" w:fill="EAF3F3"/>
            <w:tcMar>
              <w:top w:w="105" w:type="dxa"/>
              <w:left w:w="125" w:type="dxa"/>
              <w:bottom w:w="105" w:type="dxa"/>
              <w:right w:w="125" w:type="dxa"/>
            </w:tcMar>
          </w:tcPr>
          <w:p w14:paraId="48CB657E" w14:textId="77777777" w:rsidR="00E62AB7" w:rsidRDefault="00C02931">
            <w:pPr>
              <w:spacing w:after="50" w:line="255" w:lineRule="auto"/>
            </w:pPr>
            <w:r>
              <w:rPr>
                <w:b/>
                <w:bCs/>
                <w:color w:val="173B4C"/>
                <w:sz w:val="19"/>
                <w:szCs w:val="19"/>
              </w:rPr>
              <w:t>Boundary of inference</w:t>
            </w:r>
          </w:p>
        </w:tc>
      </w:tr>
      <w:tr w:rsidR="00E62AB7" w14:paraId="62BEB3DC" w14:textId="77777777">
        <w:tblPrEx>
          <w:tblCellMar>
            <w:top w:w="0" w:type="dxa"/>
            <w:bottom w:w="0" w:type="dxa"/>
          </w:tblCellMar>
        </w:tblPrEx>
        <w:trPr>
          <w:cantSplit/>
        </w:trPr>
        <w:tc>
          <w:tcPr>
            <w:tcW w:w="3120" w:type="dxa"/>
            <w:tcMar>
              <w:top w:w="105" w:type="dxa"/>
              <w:left w:w="125" w:type="dxa"/>
              <w:bottom w:w="105" w:type="dxa"/>
              <w:right w:w="125" w:type="dxa"/>
            </w:tcMar>
          </w:tcPr>
          <w:p w14:paraId="5696E161" w14:textId="77777777" w:rsidR="00E62AB7" w:rsidRDefault="00C02931">
            <w:pPr>
              <w:spacing w:after="50" w:line="255" w:lineRule="auto"/>
            </w:pPr>
            <w:r>
              <w:rPr>
                <w:sz w:val="19"/>
                <w:szCs w:val="19"/>
              </w:rPr>
              <w:t>Purified nucleosome arrays</w:t>
            </w:r>
          </w:p>
        </w:tc>
        <w:tc>
          <w:tcPr>
            <w:tcW w:w="3120" w:type="dxa"/>
            <w:tcMar>
              <w:top w:w="105" w:type="dxa"/>
              <w:left w:w="125" w:type="dxa"/>
              <w:bottom w:w="105" w:type="dxa"/>
              <w:right w:w="125" w:type="dxa"/>
            </w:tcMar>
          </w:tcPr>
          <w:p w14:paraId="755133DB" w14:textId="77777777" w:rsidR="00E62AB7" w:rsidRDefault="00C02931">
            <w:pPr>
              <w:spacing w:after="50" w:line="255" w:lineRule="auto"/>
            </w:pPr>
            <w:r>
              <w:rPr>
                <w:sz w:val="19"/>
                <w:szCs w:val="19"/>
              </w:rPr>
              <w:t>Reversible liquid-like droplets regulated by concentration, salt, linker histones and acetylation.</w:t>
            </w:r>
          </w:p>
        </w:tc>
        <w:tc>
          <w:tcPr>
            <w:tcW w:w="3120" w:type="dxa"/>
            <w:tcMar>
              <w:top w:w="105" w:type="dxa"/>
              <w:left w:w="125" w:type="dxa"/>
              <w:bottom w:w="105" w:type="dxa"/>
              <w:right w:w="125" w:type="dxa"/>
            </w:tcMar>
          </w:tcPr>
          <w:p w14:paraId="473F4ECC" w14:textId="63347E63" w:rsidR="00E62AB7" w:rsidRDefault="00C02931">
            <w:pPr>
              <w:spacing w:after="50" w:line="255" w:lineRule="auto"/>
            </w:pPr>
            <w:r>
              <w:rPr>
                <w:sz w:val="19"/>
                <w:szCs w:val="19"/>
              </w:rPr>
              <w:t>Demonstrates array capacity; not a universal mechanism for intact chromatin.</w:t>
            </w:r>
            <w:hyperlink r:id="rId61" w:history="1">
              <w:r>
                <w:rPr>
                  <w:color w:val="087B78"/>
                  <w:sz w:val="18"/>
                  <w:szCs w:val="18"/>
                </w:rPr>
                <w:t xml:space="preserve"> [3]</w:t>
              </w:r>
            </w:hyperlink>
          </w:p>
        </w:tc>
      </w:tr>
      <w:tr w:rsidR="00E62AB7" w14:paraId="1FDB41B7" w14:textId="77777777">
        <w:tblPrEx>
          <w:tblCellMar>
            <w:top w:w="0" w:type="dxa"/>
            <w:bottom w:w="0" w:type="dxa"/>
          </w:tblCellMar>
        </w:tblPrEx>
        <w:trPr>
          <w:cantSplit/>
        </w:trPr>
        <w:tc>
          <w:tcPr>
            <w:tcW w:w="3120" w:type="dxa"/>
            <w:tcMar>
              <w:top w:w="105" w:type="dxa"/>
              <w:left w:w="125" w:type="dxa"/>
              <w:bottom w:w="105" w:type="dxa"/>
              <w:right w:w="125" w:type="dxa"/>
            </w:tcMar>
          </w:tcPr>
          <w:p w14:paraId="4906F143" w14:textId="77777777" w:rsidR="00E62AB7" w:rsidRDefault="00C02931">
            <w:pPr>
              <w:spacing w:after="50" w:line="255" w:lineRule="auto"/>
            </w:pPr>
            <w:r>
              <w:rPr>
                <w:sz w:val="19"/>
                <w:szCs w:val="19"/>
              </w:rPr>
              <w:t>Purified human HP1α</w:t>
            </w:r>
          </w:p>
        </w:tc>
        <w:tc>
          <w:tcPr>
            <w:tcW w:w="3120" w:type="dxa"/>
            <w:tcMar>
              <w:top w:w="105" w:type="dxa"/>
              <w:left w:w="125" w:type="dxa"/>
              <w:bottom w:w="105" w:type="dxa"/>
              <w:right w:w="125" w:type="dxa"/>
            </w:tcMar>
          </w:tcPr>
          <w:p w14:paraId="2A627839" w14:textId="77777777" w:rsidR="00E62AB7" w:rsidRDefault="00C02931">
            <w:pPr>
              <w:spacing w:after="50" w:line="255" w:lineRule="auto"/>
            </w:pPr>
            <w:r>
              <w:rPr>
                <w:sz w:val="19"/>
                <w:szCs w:val="19"/>
              </w:rPr>
              <w:t>Condition-dependent droplets, DNA compaction and partner partitioning.</w:t>
            </w:r>
          </w:p>
        </w:tc>
        <w:tc>
          <w:tcPr>
            <w:tcW w:w="3120" w:type="dxa"/>
            <w:tcMar>
              <w:top w:w="105" w:type="dxa"/>
              <w:left w:w="125" w:type="dxa"/>
              <w:bottom w:w="105" w:type="dxa"/>
              <w:right w:w="125" w:type="dxa"/>
            </w:tcMar>
          </w:tcPr>
          <w:p w14:paraId="1EAAF73A" w14:textId="227BABF2" w:rsidR="00E62AB7" w:rsidRDefault="00C02931">
            <w:pPr>
              <w:spacing w:after="50" w:line="255" w:lineRule="auto"/>
            </w:pPr>
            <w:r>
              <w:rPr>
                <w:sz w:val="19"/>
                <w:szCs w:val="19"/>
              </w:rPr>
              <w:t>Protein and mixture-specific result; native paralog balance remains relevant.</w:t>
            </w:r>
            <w:hyperlink r:id="rId62" w:history="1">
              <w:r>
                <w:rPr>
                  <w:color w:val="087B78"/>
                  <w:sz w:val="18"/>
                  <w:szCs w:val="18"/>
                </w:rPr>
                <w:t xml:space="preserve"> [8]</w:t>
              </w:r>
            </w:hyperlink>
            <w:hyperlink r:id="rId63" w:history="1">
              <w:r>
                <w:rPr>
                  <w:color w:val="087B78"/>
                  <w:sz w:val="18"/>
                  <w:szCs w:val="18"/>
                </w:rPr>
                <w:t xml:space="preserve"> [11]</w:t>
              </w:r>
            </w:hyperlink>
          </w:p>
        </w:tc>
      </w:tr>
      <w:tr w:rsidR="00E62AB7" w14:paraId="71EA0441" w14:textId="77777777">
        <w:tblPrEx>
          <w:tblCellMar>
            <w:top w:w="0" w:type="dxa"/>
            <w:bottom w:w="0" w:type="dxa"/>
          </w:tblCellMar>
        </w:tblPrEx>
        <w:trPr>
          <w:cantSplit/>
        </w:trPr>
        <w:tc>
          <w:tcPr>
            <w:tcW w:w="3120" w:type="dxa"/>
            <w:tcMar>
              <w:top w:w="105" w:type="dxa"/>
              <w:left w:w="125" w:type="dxa"/>
              <w:bottom w:w="105" w:type="dxa"/>
              <w:right w:w="125" w:type="dxa"/>
            </w:tcMar>
          </w:tcPr>
          <w:p w14:paraId="3974D48F" w14:textId="77777777" w:rsidR="00E62AB7" w:rsidRDefault="00C02931">
            <w:pPr>
              <w:spacing w:after="50" w:line="255" w:lineRule="auto"/>
            </w:pPr>
            <w:r>
              <w:rPr>
                <w:sz w:val="19"/>
                <w:szCs w:val="19"/>
              </w:rPr>
              <w:t>Early Drosophila heterochromatin</w:t>
            </w:r>
          </w:p>
        </w:tc>
        <w:tc>
          <w:tcPr>
            <w:tcW w:w="3120" w:type="dxa"/>
            <w:tcMar>
              <w:top w:w="105" w:type="dxa"/>
              <w:left w:w="125" w:type="dxa"/>
              <w:bottom w:w="105" w:type="dxa"/>
              <w:right w:w="125" w:type="dxa"/>
            </w:tcMar>
          </w:tcPr>
          <w:p w14:paraId="520B4BF0" w14:textId="77777777" w:rsidR="00E62AB7" w:rsidRDefault="00C02931">
            <w:pPr>
              <w:spacing w:after="50" w:line="255" w:lineRule="auto"/>
            </w:pPr>
            <w:r>
              <w:rPr>
                <w:sz w:val="19"/>
                <w:szCs w:val="19"/>
              </w:rPr>
              <w:t>In-vitro demixing and developmental liquid-like domain observations.</w:t>
            </w:r>
          </w:p>
        </w:tc>
        <w:tc>
          <w:tcPr>
            <w:tcW w:w="3120" w:type="dxa"/>
            <w:tcMar>
              <w:top w:w="105" w:type="dxa"/>
              <w:left w:w="125" w:type="dxa"/>
              <w:bottom w:w="105" w:type="dxa"/>
              <w:right w:w="125" w:type="dxa"/>
            </w:tcMar>
          </w:tcPr>
          <w:p w14:paraId="166D15CD" w14:textId="35B40E54" w:rsidR="00E62AB7" w:rsidRDefault="00C02931">
            <w:pPr>
              <w:spacing w:after="50" w:line="255" w:lineRule="auto"/>
            </w:pPr>
            <w:r>
              <w:rPr>
                <w:sz w:val="19"/>
                <w:szCs w:val="19"/>
              </w:rPr>
              <w:t>A defined early cellular context rather than all mature domains.</w:t>
            </w:r>
            <w:hyperlink r:id="rId64" w:history="1">
              <w:r>
                <w:rPr>
                  <w:color w:val="087B78"/>
                  <w:sz w:val="18"/>
                  <w:szCs w:val="18"/>
                </w:rPr>
                <w:t xml:space="preserve"> [9]</w:t>
              </w:r>
            </w:hyperlink>
          </w:p>
        </w:tc>
      </w:tr>
      <w:tr w:rsidR="00E62AB7" w14:paraId="0729E312" w14:textId="77777777">
        <w:tblPrEx>
          <w:tblCellMar>
            <w:top w:w="0" w:type="dxa"/>
            <w:bottom w:w="0" w:type="dxa"/>
          </w:tblCellMar>
        </w:tblPrEx>
        <w:trPr>
          <w:cantSplit/>
        </w:trPr>
        <w:tc>
          <w:tcPr>
            <w:tcW w:w="3120" w:type="dxa"/>
            <w:tcMar>
              <w:top w:w="105" w:type="dxa"/>
              <w:left w:w="125" w:type="dxa"/>
              <w:bottom w:w="105" w:type="dxa"/>
              <w:right w:w="125" w:type="dxa"/>
            </w:tcMar>
          </w:tcPr>
          <w:p w14:paraId="39B226F4" w14:textId="77777777" w:rsidR="00E62AB7" w:rsidRDefault="00C02931">
            <w:pPr>
              <w:spacing w:after="50" w:line="255" w:lineRule="auto"/>
            </w:pPr>
            <w:r>
              <w:rPr>
                <w:sz w:val="19"/>
                <w:szCs w:val="19"/>
              </w:rPr>
              <w:t>Mouse fibroblast chromocenters</w:t>
            </w:r>
          </w:p>
        </w:tc>
        <w:tc>
          <w:tcPr>
            <w:tcW w:w="3120" w:type="dxa"/>
            <w:tcMar>
              <w:top w:w="105" w:type="dxa"/>
              <w:left w:w="125" w:type="dxa"/>
              <w:bottom w:w="105" w:type="dxa"/>
              <w:right w:w="125" w:type="dxa"/>
            </w:tcMar>
          </w:tcPr>
          <w:p w14:paraId="028D2381" w14:textId="77777777" w:rsidR="00E62AB7" w:rsidRDefault="00C02931">
            <w:pPr>
              <w:spacing w:after="50" w:line="255" w:lineRule="auto"/>
            </w:pPr>
            <w:r>
              <w:rPr>
                <w:sz w:val="19"/>
                <w:szCs w:val="19"/>
              </w:rPr>
              <w:t>Compaction states without tested hallmarks of a separated HP1 liquid.</w:t>
            </w:r>
          </w:p>
        </w:tc>
        <w:tc>
          <w:tcPr>
            <w:tcW w:w="3120" w:type="dxa"/>
            <w:tcMar>
              <w:top w:w="105" w:type="dxa"/>
              <w:left w:w="125" w:type="dxa"/>
              <w:bottom w:w="105" w:type="dxa"/>
              <w:right w:w="125" w:type="dxa"/>
            </w:tcMar>
          </w:tcPr>
          <w:p w14:paraId="7B97BC90" w14:textId="443A27E7" w:rsidR="00E62AB7" w:rsidRDefault="00C02931">
            <w:pPr>
              <w:spacing w:after="50" w:line="255" w:lineRule="auto"/>
            </w:pPr>
            <w:r>
              <w:rPr>
                <w:sz w:val="19"/>
                <w:szCs w:val="19"/>
              </w:rPr>
              <w:t>Counterexample to a simple HP1-liquid model; not proof against every condensation mechanism.</w:t>
            </w:r>
            <w:hyperlink r:id="rId65" w:history="1">
              <w:r>
                <w:rPr>
                  <w:color w:val="087B78"/>
                  <w:sz w:val="18"/>
                  <w:szCs w:val="18"/>
                </w:rPr>
                <w:t xml:space="preserve"> [4]</w:t>
              </w:r>
            </w:hyperlink>
          </w:p>
        </w:tc>
      </w:tr>
      <w:tr w:rsidR="00E62AB7" w14:paraId="5B403F00" w14:textId="77777777">
        <w:tblPrEx>
          <w:tblCellMar>
            <w:top w:w="0" w:type="dxa"/>
            <w:bottom w:w="0" w:type="dxa"/>
          </w:tblCellMar>
        </w:tblPrEx>
        <w:trPr>
          <w:cantSplit/>
        </w:trPr>
        <w:tc>
          <w:tcPr>
            <w:tcW w:w="3120" w:type="dxa"/>
            <w:tcMar>
              <w:top w:w="105" w:type="dxa"/>
              <w:left w:w="125" w:type="dxa"/>
              <w:bottom w:w="105" w:type="dxa"/>
              <w:right w:w="125" w:type="dxa"/>
            </w:tcMar>
          </w:tcPr>
          <w:p w14:paraId="6CF8CC3A" w14:textId="77777777" w:rsidR="00E62AB7" w:rsidRDefault="00C02931">
            <w:pPr>
              <w:spacing w:after="50" w:line="255" w:lineRule="auto"/>
            </w:pPr>
            <w:r>
              <w:rPr>
                <w:sz w:val="19"/>
                <w:szCs w:val="19"/>
              </w:rPr>
              <w:t>Multivalent polymer-bridging simulation</w:t>
            </w:r>
          </w:p>
        </w:tc>
        <w:tc>
          <w:tcPr>
            <w:tcW w:w="3120" w:type="dxa"/>
            <w:tcMar>
              <w:top w:w="105" w:type="dxa"/>
              <w:left w:w="125" w:type="dxa"/>
              <w:bottom w:w="105" w:type="dxa"/>
              <w:right w:w="125" w:type="dxa"/>
            </w:tcMar>
          </w:tcPr>
          <w:p w14:paraId="1FBFD119" w14:textId="77777777" w:rsidR="00E62AB7" w:rsidRDefault="00C02931">
            <w:pPr>
              <w:spacing w:after="50" w:line="255" w:lineRule="auto"/>
            </w:pPr>
            <w:r>
              <w:rPr>
                <w:sz w:val="19"/>
                <w:szCs w:val="19"/>
              </w:rPr>
              <w:t>Clustering without direct protein attraction.</w:t>
            </w:r>
          </w:p>
        </w:tc>
        <w:tc>
          <w:tcPr>
            <w:tcW w:w="3120" w:type="dxa"/>
            <w:tcMar>
              <w:top w:w="105" w:type="dxa"/>
              <w:left w:w="125" w:type="dxa"/>
              <w:bottom w:w="105" w:type="dxa"/>
              <w:right w:w="125" w:type="dxa"/>
            </w:tcMar>
          </w:tcPr>
          <w:p w14:paraId="1CC561A9" w14:textId="22296B45" w:rsidR="00E62AB7" w:rsidRDefault="00C02931">
            <w:pPr>
              <w:spacing w:after="50" w:line="255" w:lineRule="auto"/>
            </w:pPr>
            <w:r>
              <w:rPr>
                <w:sz w:val="19"/>
                <w:szCs w:val="19"/>
              </w:rPr>
              <w:t>Model feasibility, requiring identification and testing of native bridges.</w:t>
            </w:r>
            <w:hyperlink r:id="rId66" w:history="1">
              <w:r>
                <w:rPr>
                  <w:color w:val="087B78"/>
                  <w:sz w:val="18"/>
                  <w:szCs w:val="18"/>
                </w:rPr>
                <w:t xml:space="preserve"> [7]</w:t>
              </w:r>
            </w:hyperlink>
          </w:p>
        </w:tc>
      </w:tr>
      <w:tr w:rsidR="00E62AB7" w14:paraId="1FA3C1D9" w14:textId="77777777">
        <w:tblPrEx>
          <w:tblCellMar>
            <w:top w:w="0" w:type="dxa"/>
            <w:bottom w:w="0" w:type="dxa"/>
          </w:tblCellMar>
        </w:tblPrEx>
        <w:trPr>
          <w:cantSplit/>
        </w:trPr>
        <w:tc>
          <w:tcPr>
            <w:tcW w:w="3120" w:type="dxa"/>
            <w:tcMar>
              <w:top w:w="105" w:type="dxa"/>
              <w:left w:w="125" w:type="dxa"/>
              <w:bottom w:w="105" w:type="dxa"/>
              <w:right w:w="125" w:type="dxa"/>
            </w:tcMar>
          </w:tcPr>
          <w:p w14:paraId="4ABDBC17" w14:textId="77777777" w:rsidR="00E62AB7" w:rsidRDefault="00C02931">
            <w:pPr>
              <w:spacing w:after="50" w:line="255" w:lineRule="auto"/>
            </w:pPr>
            <w:r>
              <w:rPr>
                <w:sz w:val="19"/>
                <w:szCs w:val="19"/>
              </w:rPr>
              <w:t>Matched HP1 homolog/paralog comparison</w:t>
            </w:r>
          </w:p>
        </w:tc>
        <w:tc>
          <w:tcPr>
            <w:tcW w:w="3120" w:type="dxa"/>
            <w:tcMar>
              <w:top w:w="105" w:type="dxa"/>
              <w:left w:w="125" w:type="dxa"/>
              <w:bottom w:w="105" w:type="dxa"/>
              <w:right w:w="125" w:type="dxa"/>
            </w:tcMar>
          </w:tcPr>
          <w:p w14:paraId="6BE59711" w14:textId="77777777" w:rsidR="00E62AB7" w:rsidRDefault="00C02931">
            <w:pPr>
              <w:spacing w:after="50" w:line="255" w:lineRule="auto"/>
            </w:pPr>
            <w:r>
              <w:rPr>
                <w:sz w:val="19"/>
                <w:szCs w:val="19"/>
              </w:rPr>
              <w:t>Different phase capacities and mammalian-cell coalescence; HP1β antagonism.</w:t>
            </w:r>
          </w:p>
        </w:tc>
        <w:tc>
          <w:tcPr>
            <w:tcW w:w="3120" w:type="dxa"/>
            <w:tcMar>
              <w:top w:w="105" w:type="dxa"/>
              <w:left w:w="125" w:type="dxa"/>
              <w:bottom w:w="105" w:type="dxa"/>
              <w:right w:w="125" w:type="dxa"/>
            </w:tcMar>
          </w:tcPr>
          <w:p w14:paraId="61E169C6" w14:textId="1B40B6FF" w:rsidR="00E62AB7" w:rsidRDefault="00C02931">
            <w:pPr>
              <w:spacing w:after="50" w:line="255" w:lineRule="auto"/>
            </w:pPr>
            <w:r>
              <w:rPr>
                <w:sz w:val="19"/>
                <w:szCs w:val="19"/>
              </w:rPr>
              <w:t>Expression, species and mixture context bound the generalization.</w:t>
            </w:r>
            <w:hyperlink r:id="rId67" w:history="1">
              <w:r>
                <w:rPr>
                  <w:color w:val="087B78"/>
                  <w:sz w:val="18"/>
                  <w:szCs w:val="18"/>
                </w:rPr>
                <w:t xml:space="preserve"> [11]</w:t>
              </w:r>
            </w:hyperlink>
          </w:p>
        </w:tc>
      </w:tr>
    </w:tbl>
    <w:p w14:paraId="68507167" w14:textId="77777777" w:rsidR="00E62AB7" w:rsidRDefault="00E62AB7">
      <w:pPr>
        <w:spacing w:after="170"/>
      </w:pPr>
    </w:p>
    <w:p w14:paraId="711B78DF" w14:textId="77777777" w:rsidR="00E62AB7" w:rsidRDefault="00C02931">
      <w:pPr>
        <w:pStyle w:val="Heading1"/>
      </w:pPr>
      <w:bookmarkStart w:id="9" w:name="_Toc242668340"/>
      <w:r>
        <w:lastRenderedPageBreak/>
        <w:t>9. From physical assembly to chromatin function</w:t>
      </w:r>
      <w:bookmarkEnd w:id="9"/>
    </w:p>
    <w:p w14:paraId="45F8F7E6" w14:textId="19EBF2FC" w:rsidR="00E62AB7" w:rsidRDefault="00C02931">
      <w:r>
        <w:t>Defined modifications and proteins can change the physical organization of an array, but a biological function needs its own readout. H4K16 acetylation altered both fiber interactions and remodeling, illustrating why changing a single chemical feature can have more than one consequence. Likewise, identifying an HP1-dependent focus does not specify which role of HP1 has changed. Structural organization, molecular recruitment and a transcriptional or segregation outcome should be interpreted as connected meas</w:t>
      </w:r>
      <w:r>
        <w:t>urements rather than the same result.</w:t>
      </w:r>
      <w:hyperlink r:id="rId68" w:history="1">
        <w:r>
          <w:rPr>
            <w:color w:val="087B78"/>
            <w:sz w:val="18"/>
            <w:szCs w:val="18"/>
          </w:rPr>
          <w:t xml:space="preserve"> [2]</w:t>
        </w:r>
      </w:hyperlink>
      <w:hyperlink r:id="rId69" w:history="1">
        <w:r>
          <w:rPr>
            <w:color w:val="087B78"/>
            <w:sz w:val="18"/>
            <w:szCs w:val="18"/>
          </w:rPr>
          <w:t xml:space="preserve"> [8]</w:t>
        </w:r>
      </w:hyperlink>
      <w:hyperlink r:id="rId70" w:history="1">
        <w:r>
          <w:rPr>
            <w:color w:val="087B78"/>
            <w:sz w:val="18"/>
            <w:szCs w:val="18"/>
          </w:rPr>
          <w:t xml:space="preserve"> [4]</w:t>
        </w:r>
      </w:hyperlink>
    </w:p>
    <w:p w14:paraId="7B4B1A2D" w14:textId="20785E4C" w:rsidR="00E62AB7" w:rsidRDefault="00C02931">
      <w:r>
        <w:t xml:space="preserve">The most informative functional test would retain ordinary molecular recruitment while selectively altering the proposed interaction network, then measure the domain and its biological output together. Current reconstitution and homolog comparisons motivate such separation, but do not guarantee that a given mutant achieves it. This is an evidence-based experimental priority: phase capacity is a meaningful property, while necessity for a particular cellular function requires a comparison designed to isolate </w:t>
      </w:r>
      <w:r>
        <w:t>that property.</w:t>
      </w:r>
      <w:hyperlink r:id="rId71" w:history="1">
        <w:r>
          <w:rPr>
            <w:color w:val="087B78"/>
            <w:sz w:val="18"/>
            <w:szCs w:val="18"/>
          </w:rPr>
          <w:t xml:space="preserve"> [11]</w:t>
        </w:r>
      </w:hyperlink>
      <w:hyperlink r:id="rId72" w:history="1">
        <w:r>
          <w:rPr>
            <w:color w:val="087B78"/>
            <w:sz w:val="18"/>
            <w:szCs w:val="18"/>
          </w:rPr>
          <w:t xml:space="preserve"> [3]</w:t>
        </w:r>
      </w:hyperlink>
      <w:hyperlink r:id="rId73" w:history="1">
        <w:r>
          <w:rPr>
            <w:color w:val="087B78"/>
            <w:sz w:val="18"/>
            <w:szCs w:val="18"/>
          </w:rPr>
          <w:t xml:space="preserve"> [4]</w:t>
        </w:r>
      </w:hyperlink>
    </w:p>
    <w:p w14:paraId="0B383892" w14:textId="5D7362C8" w:rsidR="00E62AB7" w:rsidRDefault="00C02931">
      <w:r>
        <w:t>An informative design would vary the recognition sites while holding the tested protein mixture and concentration constant, then compare binding, phase behavior and chromatin organization. The biochemical H3K9-recognition studies and matched homolog experiments motivate this approach. It can reveal whether a change in coalescence follows altered recruitment or altered interactions among already recruited molecules. The result would assign function to an identified physical step rather than only to the prese</w:t>
      </w:r>
      <w:r>
        <w:t>nce or absence of an enriched focus.</w:t>
      </w:r>
      <w:hyperlink r:id="rId74" w:history="1">
        <w:r>
          <w:rPr>
            <w:color w:val="087B78"/>
            <w:sz w:val="18"/>
            <w:szCs w:val="18"/>
          </w:rPr>
          <w:t xml:space="preserve"> [13]</w:t>
        </w:r>
      </w:hyperlink>
      <w:hyperlink r:id="rId75" w:history="1">
        <w:r>
          <w:rPr>
            <w:color w:val="087B78"/>
            <w:sz w:val="18"/>
            <w:szCs w:val="18"/>
          </w:rPr>
          <w:t xml:space="preserve"> [11]</w:t>
        </w:r>
      </w:hyperlink>
    </w:p>
    <w:p w14:paraId="06DEF536" w14:textId="77777777" w:rsidR="00E62AB7" w:rsidRDefault="00C02931">
      <w:pPr>
        <w:pStyle w:val="Heading1"/>
      </w:pPr>
      <w:bookmarkStart w:id="10" w:name="_Toc242668341"/>
      <w:r>
        <w:t>10. Synthesis</w:t>
      </w:r>
      <w:bookmarkEnd w:id="10"/>
    </w:p>
    <w:p w14:paraId="3271C6A0" w14:textId="5B768C63" w:rsidR="00E62AB7" w:rsidRDefault="00C02931">
      <w:r>
        <w:t>Chromatin condensation is established in particular purified systems and supported as an interpretation of certain cellular observations. Mammalian cellular counterexamples and the recent evolutionary comparison make the limits explicit. A mature synthesis includes nucleosome contacts, bridging, partner composition and active organization alongside phase separation. The current research task is to allocate these contributions in defined domains, with source-linked observations and mechanisms stated separate</w:t>
      </w:r>
      <w:r>
        <w:t>ly.</w:t>
      </w:r>
      <w:hyperlink r:id="rId76" w:history="1">
        <w:r>
          <w:rPr>
            <w:color w:val="087B78"/>
            <w:sz w:val="18"/>
            <w:szCs w:val="18"/>
          </w:rPr>
          <w:t xml:space="preserve"> [3]</w:t>
        </w:r>
      </w:hyperlink>
      <w:hyperlink r:id="rId77" w:history="1">
        <w:r>
          <w:rPr>
            <w:color w:val="087B78"/>
            <w:sz w:val="18"/>
            <w:szCs w:val="18"/>
          </w:rPr>
          <w:t xml:space="preserve"> [9]</w:t>
        </w:r>
      </w:hyperlink>
      <w:hyperlink r:id="rId78" w:history="1">
        <w:r>
          <w:rPr>
            <w:color w:val="087B78"/>
            <w:sz w:val="18"/>
            <w:szCs w:val="18"/>
          </w:rPr>
          <w:t xml:space="preserve"> [4]</w:t>
        </w:r>
      </w:hyperlink>
      <w:hyperlink r:id="rId79" w:history="1">
        <w:r>
          <w:rPr>
            <w:color w:val="087B78"/>
            <w:sz w:val="18"/>
            <w:szCs w:val="18"/>
          </w:rPr>
          <w:t xml:space="preserve"> [11]</w:t>
        </w:r>
      </w:hyperlink>
      <w:hyperlink r:id="rId80" w:history="1">
        <w:r>
          <w:rPr>
            <w:color w:val="087B78"/>
            <w:sz w:val="18"/>
            <w:szCs w:val="18"/>
          </w:rPr>
          <w:t xml:space="preserve"> [7]</w:t>
        </w:r>
      </w:hyperlink>
    </w:p>
    <w:p w14:paraId="51DDAFD5" w14:textId="77777777" w:rsidR="00E62AB7" w:rsidRDefault="00C02931">
      <w:pPr>
        <w:pStyle w:val="Heading1"/>
      </w:pPr>
      <w:bookmarkStart w:id="11" w:name="_Toc242668342"/>
      <w:r>
        <w:t>References</w:t>
      </w:r>
      <w:bookmarkEnd w:id="11"/>
    </w:p>
    <w:p w14:paraId="40AF51B3" w14:textId="5A8A2529" w:rsidR="00E62AB7" w:rsidRDefault="00C02931">
      <w:pPr>
        <w:keepLines/>
        <w:spacing w:after="90" w:line="245" w:lineRule="auto"/>
      </w:pPr>
      <w:r>
        <w:rPr>
          <w:b/>
          <w:bCs/>
          <w:sz w:val="20"/>
          <w:szCs w:val="20"/>
        </w:rPr>
        <w:t xml:space="preserve">[1] Routh A, Sandin S, Rhodes D (2008). </w:t>
      </w:r>
      <w:r>
        <w:rPr>
          <w:sz w:val="20"/>
          <w:szCs w:val="20"/>
        </w:rPr>
        <w:t xml:space="preserve">Nucleosome repeat length and linker histone stoichiometry determine chromatin fiber structure. PNAS 105:8872–8877. </w:t>
      </w:r>
      <w:hyperlink r:id="rId81" w:history="1">
        <w:r>
          <w:rPr>
            <w:color w:val="087B78"/>
            <w:sz w:val="20"/>
            <w:szCs w:val="20"/>
            <w:u w:val="single"/>
          </w:rPr>
          <w:t>10.1073/pnas.0802336105</w:t>
        </w:r>
      </w:hyperlink>
    </w:p>
    <w:p w14:paraId="20DE1945" w14:textId="73D5B695" w:rsidR="00E62AB7" w:rsidRDefault="00C02931">
      <w:pPr>
        <w:keepLines/>
        <w:spacing w:after="90" w:line="245" w:lineRule="auto"/>
      </w:pPr>
      <w:r>
        <w:rPr>
          <w:b/>
          <w:bCs/>
          <w:sz w:val="20"/>
          <w:szCs w:val="20"/>
        </w:rPr>
        <w:t xml:space="preserve">[2] Shogren-Knaak M, Ishii H, Sun JM, Pazin MJ, Davie JR, Peterson CL (2006). </w:t>
      </w:r>
      <w:r>
        <w:rPr>
          <w:sz w:val="20"/>
          <w:szCs w:val="20"/>
        </w:rPr>
        <w:t xml:space="preserve">Histone H4-K16 Acetylation Controls Chromatin Structure and Protein Interactions. Science 311:844–847. </w:t>
      </w:r>
      <w:hyperlink r:id="rId82" w:history="1">
        <w:r>
          <w:rPr>
            <w:color w:val="087B78"/>
            <w:sz w:val="20"/>
            <w:szCs w:val="20"/>
            <w:u w:val="single"/>
          </w:rPr>
          <w:t>10.1126/science.1124000</w:t>
        </w:r>
      </w:hyperlink>
    </w:p>
    <w:p w14:paraId="037C2C5C" w14:textId="39FE3F40" w:rsidR="00E62AB7" w:rsidRDefault="00C02931">
      <w:pPr>
        <w:keepLines/>
        <w:spacing w:after="90" w:line="245" w:lineRule="auto"/>
      </w:pPr>
      <w:r>
        <w:rPr>
          <w:b/>
          <w:bCs/>
          <w:sz w:val="20"/>
          <w:szCs w:val="20"/>
        </w:rPr>
        <w:t xml:space="preserve">[3] Gibson BA, Doolittle LK, Schneider MWG, et al. (2019). </w:t>
      </w:r>
      <w:r>
        <w:rPr>
          <w:sz w:val="20"/>
          <w:szCs w:val="20"/>
        </w:rPr>
        <w:t xml:space="preserve">Organization of Chromatin by Intrinsic and Regulated Phase Separation. Cell 179:470–484.e21. </w:t>
      </w:r>
      <w:hyperlink r:id="rId83" w:history="1">
        <w:r>
          <w:rPr>
            <w:color w:val="087B78"/>
            <w:sz w:val="20"/>
            <w:szCs w:val="20"/>
            <w:u w:val="single"/>
          </w:rPr>
          <w:t>10.1016/j.cell.2019.08.037</w:t>
        </w:r>
      </w:hyperlink>
    </w:p>
    <w:p w14:paraId="4DBE730D" w14:textId="0578E406" w:rsidR="00E62AB7" w:rsidRDefault="00C02931">
      <w:pPr>
        <w:keepLines/>
        <w:spacing w:after="90" w:line="245" w:lineRule="auto"/>
      </w:pPr>
      <w:r>
        <w:rPr>
          <w:b/>
          <w:bCs/>
          <w:sz w:val="20"/>
          <w:szCs w:val="20"/>
        </w:rPr>
        <w:t xml:space="preserve">[4] Erdel F, Rademacher A, Vlijm R, et al. (2020). </w:t>
      </w:r>
      <w:r>
        <w:rPr>
          <w:sz w:val="20"/>
          <w:szCs w:val="20"/>
        </w:rPr>
        <w:t xml:space="preserve">Mouse Heterochromatin Adopts Digital Compaction States without Showing Hallmarks of HP1-Driven Liquid-Liquid Phase Separation. Molecular Cell 78:236–249.e7. </w:t>
      </w:r>
      <w:hyperlink r:id="rId84" w:history="1">
        <w:r>
          <w:rPr>
            <w:color w:val="087B78"/>
            <w:sz w:val="20"/>
            <w:szCs w:val="20"/>
            <w:u w:val="single"/>
          </w:rPr>
          <w:t>10.1016/j.molcel.2020.02.005</w:t>
        </w:r>
      </w:hyperlink>
    </w:p>
    <w:p w14:paraId="1E50AB51" w14:textId="1A148E56" w:rsidR="00E62AB7" w:rsidRDefault="00C02931">
      <w:pPr>
        <w:keepLines/>
        <w:spacing w:after="90" w:line="245" w:lineRule="auto"/>
      </w:pPr>
      <w:r>
        <w:rPr>
          <w:b/>
          <w:bCs/>
          <w:sz w:val="20"/>
          <w:szCs w:val="20"/>
        </w:rPr>
        <w:lastRenderedPageBreak/>
        <w:t xml:space="preserve">[5] Hou Z, Nightingale F, Zhu Y, MacGregor-Chatwin C, Zhang P (2023). </w:t>
      </w:r>
      <w:r>
        <w:rPr>
          <w:sz w:val="20"/>
          <w:szCs w:val="20"/>
        </w:rPr>
        <w:t xml:space="preserve">Structure of native chromatin fibres revealed by Cryo-ET in situ. Nature Communications 14:6324. </w:t>
      </w:r>
      <w:hyperlink r:id="rId85" w:history="1">
        <w:r>
          <w:rPr>
            <w:color w:val="087B78"/>
            <w:sz w:val="20"/>
            <w:szCs w:val="20"/>
            <w:u w:val="single"/>
          </w:rPr>
          <w:t>10.1038/s41467-023-42072-1</w:t>
        </w:r>
      </w:hyperlink>
    </w:p>
    <w:p w14:paraId="17C903FE" w14:textId="5D37CC65" w:rsidR="00E62AB7" w:rsidRDefault="00C02931">
      <w:pPr>
        <w:keepLines/>
        <w:spacing w:after="90" w:line="245" w:lineRule="auto"/>
      </w:pPr>
      <w:r>
        <w:rPr>
          <w:b/>
          <w:bCs/>
          <w:sz w:val="20"/>
          <w:szCs w:val="20"/>
        </w:rPr>
        <w:t xml:space="preserve">[6] Kreysing JP, Cruz-León S, Betz J, et al. (2026). </w:t>
      </w:r>
      <w:r>
        <w:rPr>
          <w:sz w:val="20"/>
          <w:szCs w:val="20"/>
        </w:rPr>
        <w:t xml:space="preserve">Molecular architecture of heterochromatin at the nuclear periphery of primary human cells. Nature Communications 17:5844. </w:t>
      </w:r>
      <w:hyperlink r:id="rId86" w:history="1">
        <w:r>
          <w:rPr>
            <w:color w:val="087B78"/>
            <w:sz w:val="20"/>
            <w:szCs w:val="20"/>
            <w:u w:val="single"/>
          </w:rPr>
          <w:t>10.1038/s41467-026-75087-5</w:t>
        </w:r>
      </w:hyperlink>
    </w:p>
    <w:p w14:paraId="15AAD848" w14:textId="36211CE9" w:rsidR="00E62AB7" w:rsidRDefault="00C02931">
      <w:pPr>
        <w:keepLines/>
        <w:spacing w:after="90" w:line="245" w:lineRule="auto"/>
      </w:pPr>
      <w:r>
        <w:rPr>
          <w:b/>
          <w:bCs/>
          <w:sz w:val="20"/>
          <w:szCs w:val="20"/>
        </w:rPr>
        <w:t xml:space="preserve">[7] Brackley CA, Taylor S, Papantonis A, Cook PR, Marenduzzo D (2013). </w:t>
      </w:r>
      <w:r>
        <w:rPr>
          <w:sz w:val="20"/>
          <w:szCs w:val="20"/>
        </w:rPr>
        <w:t xml:space="preserve">Nonspecific bridging-induced attraction drives clustering of DNA-binding proteins and genome organization. PNAS 110:E3605–E3611. </w:t>
      </w:r>
      <w:hyperlink r:id="rId87" w:history="1">
        <w:r>
          <w:rPr>
            <w:color w:val="087B78"/>
            <w:sz w:val="20"/>
            <w:szCs w:val="20"/>
            <w:u w:val="single"/>
          </w:rPr>
          <w:t>10.1073/pnas.1302950110</w:t>
        </w:r>
      </w:hyperlink>
    </w:p>
    <w:p w14:paraId="5637EDB0" w14:textId="6628CEA4" w:rsidR="00E62AB7" w:rsidRDefault="00C02931">
      <w:pPr>
        <w:keepLines/>
        <w:spacing w:after="90" w:line="245" w:lineRule="auto"/>
      </w:pPr>
      <w:r>
        <w:rPr>
          <w:b/>
          <w:bCs/>
          <w:sz w:val="20"/>
          <w:szCs w:val="20"/>
        </w:rPr>
        <w:t xml:space="preserve">[8] Larson AG, Elnatan D, Keenen MM, et al. (2017). </w:t>
      </w:r>
      <w:r>
        <w:rPr>
          <w:sz w:val="20"/>
          <w:szCs w:val="20"/>
        </w:rPr>
        <w:t xml:space="preserve">Liquid droplet formation by HP1α suggests a role for phase separation in heterochromatin. Nature 547:236–240. </w:t>
      </w:r>
      <w:hyperlink r:id="rId88" w:history="1">
        <w:r>
          <w:rPr>
            <w:color w:val="087B78"/>
            <w:sz w:val="20"/>
            <w:szCs w:val="20"/>
            <w:u w:val="single"/>
          </w:rPr>
          <w:t>10.1038/nature22822</w:t>
        </w:r>
      </w:hyperlink>
    </w:p>
    <w:p w14:paraId="3AA6673C" w14:textId="12F6D883" w:rsidR="00E62AB7" w:rsidRDefault="00C02931">
      <w:pPr>
        <w:keepLines/>
        <w:spacing w:after="90" w:line="245" w:lineRule="auto"/>
      </w:pPr>
      <w:r>
        <w:rPr>
          <w:b/>
          <w:bCs/>
          <w:sz w:val="20"/>
          <w:szCs w:val="20"/>
        </w:rPr>
        <w:t xml:space="preserve">[9] Strom AR, Emelyanov AV, Mir M, et al. (2017). </w:t>
      </w:r>
      <w:r>
        <w:rPr>
          <w:sz w:val="20"/>
          <w:szCs w:val="20"/>
        </w:rPr>
        <w:t xml:space="preserve">Phase separation drives heterochromatin domain formation. Nature 547:241–245. </w:t>
      </w:r>
      <w:hyperlink r:id="rId89" w:history="1">
        <w:r>
          <w:rPr>
            <w:color w:val="087B78"/>
            <w:sz w:val="20"/>
            <w:szCs w:val="20"/>
            <w:u w:val="single"/>
          </w:rPr>
          <w:t>10.1038/nature22989</w:t>
        </w:r>
      </w:hyperlink>
    </w:p>
    <w:p w14:paraId="1CD32AA9" w14:textId="0F3D4E1D" w:rsidR="00E62AB7" w:rsidRDefault="00C02931">
      <w:pPr>
        <w:keepLines/>
        <w:spacing w:after="90" w:line="245" w:lineRule="auto"/>
      </w:pPr>
      <w:r>
        <w:rPr>
          <w:b/>
          <w:bCs/>
          <w:sz w:val="20"/>
          <w:szCs w:val="20"/>
        </w:rPr>
        <w:t xml:space="preserve">[10] Itoh Y, Iida S, Tamura S, et al. (2021). </w:t>
      </w:r>
      <w:r>
        <w:rPr>
          <w:sz w:val="20"/>
          <w:szCs w:val="20"/>
        </w:rPr>
        <w:t xml:space="preserve">1,6-hexanediol rapidly immobilizes and condenses chromatin in living human cells. Life Science Alliance 4:e202001005. </w:t>
      </w:r>
      <w:hyperlink r:id="rId90" w:history="1">
        <w:r>
          <w:rPr>
            <w:color w:val="087B78"/>
            <w:sz w:val="20"/>
            <w:szCs w:val="20"/>
            <w:u w:val="single"/>
          </w:rPr>
          <w:t>10.26508/lsa.202001005</w:t>
        </w:r>
      </w:hyperlink>
    </w:p>
    <w:p w14:paraId="6C186245" w14:textId="649C34CD" w:rsidR="00E62AB7" w:rsidRDefault="00C02931">
      <w:pPr>
        <w:keepLines/>
        <w:spacing w:after="90" w:line="245" w:lineRule="auto"/>
      </w:pPr>
      <w:r>
        <w:rPr>
          <w:b/>
          <w:bCs/>
          <w:sz w:val="20"/>
          <w:szCs w:val="20"/>
        </w:rPr>
        <w:t xml:space="preserve">[11] Bensaha S, Lewandowska D, Muzzopappa F, et al. (2025). </w:t>
      </w:r>
      <w:r>
        <w:rPr>
          <w:sz w:val="20"/>
          <w:szCs w:val="20"/>
        </w:rPr>
        <w:t xml:space="preserve">HP1 loses its chromatin clustering and phase separation function across evolution. Nature Communications 16:6375. </w:t>
      </w:r>
      <w:hyperlink r:id="rId91" w:history="1">
        <w:r>
          <w:rPr>
            <w:color w:val="087B78"/>
            <w:sz w:val="20"/>
            <w:szCs w:val="20"/>
            <w:u w:val="single"/>
          </w:rPr>
          <w:t>10.1038/s41467-025-61749-3</w:t>
        </w:r>
      </w:hyperlink>
    </w:p>
    <w:p w14:paraId="7E7ED8D7" w14:textId="12C09D46" w:rsidR="00E62AB7" w:rsidRDefault="00C02931">
      <w:pPr>
        <w:keepLines/>
        <w:spacing w:after="90" w:line="245" w:lineRule="auto"/>
      </w:pPr>
      <w:r>
        <w:rPr>
          <w:b/>
          <w:bCs/>
          <w:sz w:val="20"/>
          <w:szCs w:val="20"/>
        </w:rPr>
        <w:t xml:space="preserve">[12] Banani SF, Lee HO, Hyman AA, Rosen MK (2017). </w:t>
      </w:r>
      <w:r>
        <w:rPr>
          <w:sz w:val="20"/>
          <w:szCs w:val="20"/>
        </w:rPr>
        <w:t xml:space="preserve">Biomolecular condensates: organizers of cellular biochemistry. Nature Reviews Molecular Cell Biology 18:285–298. </w:t>
      </w:r>
      <w:hyperlink r:id="rId92" w:history="1">
        <w:r>
          <w:rPr>
            <w:color w:val="087B78"/>
            <w:sz w:val="20"/>
            <w:szCs w:val="20"/>
            <w:u w:val="single"/>
          </w:rPr>
          <w:t>10.1038/nrm.2017.7</w:t>
        </w:r>
      </w:hyperlink>
    </w:p>
    <w:p w14:paraId="63519FF9" w14:textId="771F0593" w:rsidR="00E62AB7" w:rsidRDefault="00C02931">
      <w:pPr>
        <w:keepLines/>
        <w:spacing w:after="90" w:line="245" w:lineRule="auto"/>
      </w:pPr>
      <w:r>
        <w:rPr>
          <w:b/>
          <w:bCs/>
          <w:sz w:val="20"/>
          <w:szCs w:val="20"/>
        </w:rPr>
        <w:t xml:space="preserve">[13] Lachner M, O’Carroll D, Rea S, Mechtler K, Jenuwein T (2001). </w:t>
      </w:r>
      <w:r>
        <w:rPr>
          <w:sz w:val="20"/>
          <w:szCs w:val="20"/>
        </w:rPr>
        <w:t xml:space="preserve">Methylation of histone H3 lysine 9 creates a binding site for HP1 proteins. Nature 410:116–120. </w:t>
      </w:r>
      <w:hyperlink r:id="rId93" w:history="1">
        <w:r>
          <w:rPr>
            <w:color w:val="087B78"/>
            <w:sz w:val="20"/>
            <w:szCs w:val="20"/>
            <w:u w:val="single"/>
          </w:rPr>
          <w:t>10.1038/35065132</w:t>
        </w:r>
      </w:hyperlink>
    </w:p>
    <w:p w14:paraId="4D72F4A3" w14:textId="52A03ECF" w:rsidR="00E62AB7" w:rsidRDefault="00C02931">
      <w:pPr>
        <w:keepLines/>
        <w:spacing w:after="90" w:line="245" w:lineRule="auto"/>
      </w:pPr>
      <w:r>
        <w:rPr>
          <w:b/>
          <w:bCs/>
          <w:sz w:val="20"/>
          <w:szCs w:val="20"/>
        </w:rPr>
        <w:t xml:space="preserve">[14] Bannister AJ, Zegerman P, Partridge JF, et al. (2001). </w:t>
      </w:r>
      <w:r>
        <w:rPr>
          <w:sz w:val="20"/>
          <w:szCs w:val="20"/>
        </w:rPr>
        <w:t xml:space="preserve">Selective recognition of methylated lysine 9 on histone H3 by the HP1 chromo domain. Nature 410:120–124. </w:t>
      </w:r>
      <w:hyperlink r:id="rId94" w:history="1">
        <w:r>
          <w:rPr>
            <w:color w:val="087B78"/>
            <w:sz w:val="20"/>
            <w:szCs w:val="20"/>
            <w:u w:val="single"/>
          </w:rPr>
          <w:t>10.1038/35065138</w:t>
        </w:r>
      </w:hyperlink>
    </w:p>
    <w:p w14:paraId="4E20019B" w14:textId="77777777" w:rsidR="00E62AB7" w:rsidRDefault="00C02931">
      <w:pPr>
        <w:pStyle w:val="Heading1"/>
      </w:pPr>
      <w:bookmarkStart w:id="12" w:name="_Toc242668343"/>
      <w:r>
        <w:t>Evidence scope</w:t>
      </w:r>
      <w:bookmarkEnd w:id="12"/>
    </w:p>
    <w:p w14:paraId="3CEA82D5" w14:textId="77777777" w:rsidR="00E62AB7" w:rsidRDefault="00C02931">
      <w:pPr>
        <w:keepLines/>
        <w:spacing w:after="160" w:line="270" w:lineRule="auto"/>
      </w:pPr>
      <w:r>
        <w:t>This narrative integrates foundational and recent primary studies available by 12 October 2026. Source access ranges from original abstracts to selected Results, figure captions and Methods, as specified for each reference. It is a scholarly synthesis of the measured systems; it does not independently reproduce their experiments, analyze their raw data or establish exhaustive literature coverage.</w:t>
      </w:r>
    </w:p>
    <w:sectPr w:rsidR="00E62AB7">
      <w:headerReference w:type="default" r:id="rId95"/>
      <w:footerReference w:type="default" r:id="rId96"/>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E5E84" w14:textId="77777777" w:rsidR="00C02931" w:rsidRDefault="00C02931">
      <w:pPr>
        <w:spacing w:after="0" w:line="240" w:lineRule="auto"/>
      </w:pPr>
      <w:r>
        <w:separator/>
      </w:r>
    </w:p>
  </w:endnote>
  <w:endnote w:type="continuationSeparator" w:id="0">
    <w:p w14:paraId="3CAF5D0A" w14:textId="77777777" w:rsidR="00C02931" w:rsidRDefault="00C02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B912" w14:textId="77777777" w:rsidR="00E62AB7" w:rsidRDefault="00C02931">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2E598D">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2E598D">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66356" w14:textId="77777777" w:rsidR="00C02931" w:rsidRDefault="00C02931">
      <w:pPr>
        <w:spacing w:after="0" w:line="240" w:lineRule="auto"/>
      </w:pPr>
      <w:r>
        <w:separator/>
      </w:r>
    </w:p>
  </w:footnote>
  <w:footnote w:type="continuationSeparator" w:id="0">
    <w:p w14:paraId="317F984A" w14:textId="77777777" w:rsidR="00C02931" w:rsidRDefault="00C02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D305" w14:textId="77777777" w:rsidR="00E62AB7" w:rsidRDefault="00C02931">
    <w:pPr>
      <w:pBdr>
        <w:bottom w:val="single" w:sz="4" w:space="0" w:color="B8D1D0"/>
      </w:pBdr>
    </w:pPr>
    <w:r>
      <w:rPr>
        <w:color w:val="527077"/>
        <w:sz w:val="17"/>
        <w:szCs w:val="17"/>
      </w:rPr>
      <w:t>Chromatin condensates: mechanisms, evidence and cellular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4638"/>
    <w:multiLevelType w:val="hybridMultilevel"/>
    <w:tmpl w:val="E006DF8E"/>
    <w:lvl w:ilvl="0" w:tplc="CB7CDD34">
      <w:start w:val="1"/>
      <w:numFmt w:val="bullet"/>
      <w:lvlText w:val="●"/>
      <w:lvlJc w:val="left"/>
      <w:pPr>
        <w:ind w:left="720" w:hanging="360"/>
      </w:pPr>
    </w:lvl>
    <w:lvl w:ilvl="1" w:tplc="C2188A66">
      <w:start w:val="1"/>
      <w:numFmt w:val="bullet"/>
      <w:lvlText w:val="○"/>
      <w:lvlJc w:val="left"/>
      <w:pPr>
        <w:ind w:left="1440" w:hanging="360"/>
      </w:pPr>
    </w:lvl>
    <w:lvl w:ilvl="2" w:tplc="F0B85E14">
      <w:start w:val="1"/>
      <w:numFmt w:val="bullet"/>
      <w:lvlText w:val="■"/>
      <w:lvlJc w:val="left"/>
      <w:pPr>
        <w:ind w:left="2160" w:hanging="360"/>
      </w:pPr>
    </w:lvl>
    <w:lvl w:ilvl="3" w:tplc="A2703910">
      <w:start w:val="1"/>
      <w:numFmt w:val="bullet"/>
      <w:lvlText w:val="●"/>
      <w:lvlJc w:val="left"/>
      <w:pPr>
        <w:ind w:left="2880" w:hanging="360"/>
      </w:pPr>
    </w:lvl>
    <w:lvl w:ilvl="4" w:tplc="8FA413DE">
      <w:start w:val="1"/>
      <w:numFmt w:val="bullet"/>
      <w:lvlText w:val="○"/>
      <w:lvlJc w:val="left"/>
      <w:pPr>
        <w:ind w:left="3600" w:hanging="360"/>
      </w:pPr>
    </w:lvl>
    <w:lvl w:ilvl="5" w:tplc="6C1C0F72">
      <w:start w:val="1"/>
      <w:numFmt w:val="bullet"/>
      <w:lvlText w:val="■"/>
      <w:lvlJc w:val="left"/>
      <w:pPr>
        <w:ind w:left="4320" w:hanging="360"/>
      </w:pPr>
    </w:lvl>
    <w:lvl w:ilvl="6" w:tplc="FA8217BC">
      <w:start w:val="1"/>
      <w:numFmt w:val="bullet"/>
      <w:lvlText w:val="●"/>
      <w:lvlJc w:val="left"/>
      <w:pPr>
        <w:ind w:left="5040" w:hanging="360"/>
      </w:pPr>
    </w:lvl>
    <w:lvl w:ilvl="7" w:tplc="D8BA09B0">
      <w:start w:val="1"/>
      <w:numFmt w:val="bullet"/>
      <w:lvlText w:val="●"/>
      <w:lvlJc w:val="left"/>
      <w:pPr>
        <w:ind w:left="5760" w:hanging="360"/>
      </w:pPr>
    </w:lvl>
    <w:lvl w:ilvl="8" w:tplc="17C09DA8">
      <w:start w:val="1"/>
      <w:numFmt w:val="bullet"/>
      <w:lvlText w:val="●"/>
      <w:lvlJc w:val="left"/>
      <w:pPr>
        <w:ind w:left="6480" w:hanging="360"/>
      </w:pPr>
    </w:lvl>
  </w:abstractNum>
  <w:abstractNum w:abstractNumId="1" w15:restartNumberingAfterBreak="0">
    <w:nsid w:val="4DA204AD"/>
    <w:multiLevelType w:val="hybridMultilevel"/>
    <w:tmpl w:val="12DE1E72"/>
    <w:lvl w:ilvl="0" w:tplc="6810875E">
      <w:start w:val="1"/>
      <w:numFmt w:val="bullet"/>
      <w:lvlText w:val="•"/>
      <w:lvlJc w:val="left"/>
      <w:pPr>
        <w:ind w:left="340" w:hanging="170"/>
      </w:pPr>
    </w:lvl>
    <w:lvl w:ilvl="1" w:tplc="9D845AB4">
      <w:numFmt w:val="decimal"/>
      <w:lvlText w:val=""/>
      <w:lvlJc w:val="left"/>
    </w:lvl>
    <w:lvl w:ilvl="2" w:tplc="24F2A050">
      <w:numFmt w:val="decimal"/>
      <w:lvlText w:val=""/>
      <w:lvlJc w:val="left"/>
    </w:lvl>
    <w:lvl w:ilvl="3" w:tplc="C2FCBBDC">
      <w:numFmt w:val="decimal"/>
      <w:lvlText w:val=""/>
      <w:lvlJc w:val="left"/>
    </w:lvl>
    <w:lvl w:ilvl="4" w:tplc="6EE851E4">
      <w:numFmt w:val="decimal"/>
      <w:lvlText w:val=""/>
      <w:lvlJc w:val="left"/>
    </w:lvl>
    <w:lvl w:ilvl="5" w:tplc="2EC6DDF8">
      <w:numFmt w:val="decimal"/>
      <w:lvlText w:val=""/>
      <w:lvlJc w:val="left"/>
    </w:lvl>
    <w:lvl w:ilvl="6" w:tplc="10E20E08">
      <w:numFmt w:val="decimal"/>
      <w:lvlText w:val=""/>
      <w:lvlJc w:val="left"/>
    </w:lvl>
    <w:lvl w:ilvl="7" w:tplc="B97C654A">
      <w:numFmt w:val="decimal"/>
      <w:lvlText w:val=""/>
      <w:lvlJc w:val="left"/>
    </w:lvl>
    <w:lvl w:ilvl="8" w:tplc="4214836A">
      <w:numFmt w:val="decimal"/>
      <w:lvlText w:val=""/>
      <w:lvlJc w:val="left"/>
    </w:lvl>
  </w:abstractNum>
  <w:num w:numId="1" w16cid:durableId="1557274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B7"/>
    <w:rsid w:val="00213B94"/>
    <w:rsid w:val="002E598D"/>
    <w:rsid w:val="00C02931"/>
    <w:rsid w:val="00E62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9B909C"/>
  <w15:docId w15:val="{80FE1EA4-6B9C-46F6-AB95-B6C0B8ABE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2E598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16/j.cell.2019.08.037" TargetMode="External"/><Relationship Id="rId21" Type="http://schemas.openxmlformats.org/officeDocument/2006/relationships/hyperlink" Target="https://doi.org/10.1016/j.cell.2019.08.037" TargetMode="External"/><Relationship Id="rId42" Type="http://schemas.openxmlformats.org/officeDocument/2006/relationships/hyperlink" Target="https://doi.org/10.1016/j.molcel.2020.02.005" TargetMode="External"/><Relationship Id="rId47" Type="http://schemas.openxmlformats.org/officeDocument/2006/relationships/hyperlink" Target="https://doi.org/10.1016/j.molcel.2020.02.005" TargetMode="External"/><Relationship Id="rId63" Type="http://schemas.openxmlformats.org/officeDocument/2006/relationships/hyperlink" Target="https://doi.org/10.1038/s41467-025-61749-3" TargetMode="External"/><Relationship Id="rId68" Type="http://schemas.openxmlformats.org/officeDocument/2006/relationships/hyperlink" Target="https://doi.org/10.1126/science.1124000" TargetMode="External"/><Relationship Id="rId84" Type="http://schemas.openxmlformats.org/officeDocument/2006/relationships/hyperlink" Target="https://doi.org/10.1016/j.molcel.2020.02.005" TargetMode="External"/><Relationship Id="rId89" Type="http://schemas.openxmlformats.org/officeDocument/2006/relationships/hyperlink" Target="https://doi.org/10.1038/nature22989" TargetMode="External"/><Relationship Id="rId16" Type="http://schemas.openxmlformats.org/officeDocument/2006/relationships/hyperlink" Target="https://doi.org/10.1016/j.molcel.2020.02.005" TargetMode="External"/><Relationship Id="rId11" Type="http://schemas.openxmlformats.org/officeDocument/2006/relationships/hyperlink" Target="https://doi.org/10.1038/s41467-025-61749-3" TargetMode="External"/><Relationship Id="rId32" Type="http://schemas.openxmlformats.org/officeDocument/2006/relationships/hyperlink" Target="https://doi.org/10.1038/nature22822" TargetMode="External"/><Relationship Id="rId37" Type="http://schemas.openxmlformats.org/officeDocument/2006/relationships/hyperlink" Target="https://doi.org/10.1016/j.molcel.2020.02.005" TargetMode="External"/><Relationship Id="rId53" Type="http://schemas.openxmlformats.org/officeDocument/2006/relationships/hyperlink" Target="https://doi.org/10.1038/s41467-026-75087-5" TargetMode="External"/><Relationship Id="rId58" Type="http://schemas.openxmlformats.org/officeDocument/2006/relationships/hyperlink" Target="https://doi.org/10.1038/nature22822" TargetMode="External"/><Relationship Id="rId74" Type="http://schemas.openxmlformats.org/officeDocument/2006/relationships/hyperlink" Target="https://doi.org/10.1038/35065132" TargetMode="External"/><Relationship Id="rId79" Type="http://schemas.openxmlformats.org/officeDocument/2006/relationships/hyperlink" Target="https://doi.org/10.1038/s41467-025-61749-3" TargetMode="External"/><Relationship Id="rId5" Type="http://schemas.openxmlformats.org/officeDocument/2006/relationships/footnotes" Target="footnotes.xml"/><Relationship Id="rId90" Type="http://schemas.openxmlformats.org/officeDocument/2006/relationships/hyperlink" Target="https://doi.org/10.26508/lsa.202001005" TargetMode="External"/><Relationship Id="rId95" Type="http://schemas.openxmlformats.org/officeDocument/2006/relationships/header" Target="header1.xml"/><Relationship Id="rId22" Type="http://schemas.openxmlformats.org/officeDocument/2006/relationships/hyperlink" Target="https://doi.org/10.1038/nature22989" TargetMode="External"/><Relationship Id="rId27" Type="http://schemas.openxmlformats.org/officeDocument/2006/relationships/hyperlink" Target="https://doi.org/10.1126/science.1124000" TargetMode="External"/><Relationship Id="rId43" Type="http://schemas.openxmlformats.org/officeDocument/2006/relationships/hyperlink" Target="https://doi.org/10.1016/j.cell.2019.08.037" TargetMode="External"/><Relationship Id="rId48" Type="http://schemas.openxmlformats.org/officeDocument/2006/relationships/hyperlink" Target="https://doi.org/10.1073/pnas.1302950110" TargetMode="External"/><Relationship Id="rId64" Type="http://schemas.openxmlformats.org/officeDocument/2006/relationships/hyperlink" Target="https://doi.org/10.1038/nature22989" TargetMode="External"/><Relationship Id="rId69" Type="http://schemas.openxmlformats.org/officeDocument/2006/relationships/hyperlink" Target="https://doi.org/10.1038/nature22822" TargetMode="External"/><Relationship Id="rId80" Type="http://schemas.openxmlformats.org/officeDocument/2006/relationships/hyperlink" Target="https://doi.org/10.1073/pnas.1302950110" TargetMode="External"/><Relationship Id="rId85" Type="http://schemas.openxmlformats.org/officeDocument/2006/relationships/hyperlink" Target="https://doi.org/10.1038/s41467-023-42072-1" TargetMode="External"/><Relationship Id="rId3" Type="http://schemas.openxmlformats.org/officeDocument/2006/relationships/settings" Target="settings.xml"/><Relationship Id="rId12" Type="http://schemas.openxmlformats.org/officeDocument/2006/relationships/hyperlink" Target="https://doi.org/10.1073/pnas.1302950110" TargetMode="External"/><Relationship Id="rId17" Type="http://schemas.openxmlformats.org/officeDocument/2006/relationships/hyperlink" Target="https://doi.org/10.1038/nrm.2017.7" TargetMode="External"/><Relationship Id="rId25" Type="http://schemas.openxmlformats.org/officeDocument/2006/relationships/hyperlink" Target="https://doi.org/10.1016/j.cell.2019.08.037" TargetMode="External"/><Relationship Id="rId33" Type="http://schemas.openxmlformats.org/officeDocument/2006/relationships/hyperlink" Target="https://doi.org/10.1038/nature22989" TargetMode="External"/><Relationship Id="rId38" Type="http://schemas.openxmlformats.org/officeDocument/2006/relationships/hyperlink" Target="https://doi.org/10.1016/j.molcel.2020.02.005" TargetMode="External"/><Relationship Id="rId46" Type="http://schemas.openxmlformats.org/officeDocument/2006/relationships/hyperlink" Target="https://doi.org/10.1038/s41467-025-61749-3" TargetMode="External"/><Relationship Id="rId59" Type="http://schemas.openxmlformats.org/officeDocument/2006/relationships/hyperlink" Target="https://doi.org/10.1038/s41467-025-61749-3" TargetMode="External"/><Relationship Id="rId67" Type="http://schemas.openxmlformats.org/officeDocument/2006/relationships/hyperlink" Target="https://doi.org/10.1038/s41467-025-61749-3" TargetMode="External"/><Relationship Id="rId20" Type="http://schemas.openxmlformats.org/officeDocument/2006/relationships/hyperlink" Target="https://doi.org/10.1016/j.cell.2019.08.037" TargetMode="External"/><Relationship Id="rId41" Type="http://schemas.openxmlformats.org/officeDocument/2006/relationships/hyperlink" Target="https://doi.org/10.1016/j.cell.2019.08.037" TargetMode="External"/><Relationship Id="rId54" Type="http://schemas.openxmlformats.org/officeDocument/2006/relationships/hyperlink" Target="https://doi.org/10.1038/s41467-025-61749-3" TargetMode="External"/><Relationship Id="rId62" Type="http://schemas.openxmlformats.org/officeDocument/2006/relationships/hyperlink" Target="https://doi.org/10.1038/nature22822" TargetMode="External"/><Relationship Id="rId70" Type="http://schemas.openxmlformats.org/officeDocument/2006/relationships/hyperlink" Target="https://doi.org/10.1016/j.molcel.2020.02.005" TargetMode="External"/><Relationship Id="rId75" Type="http://schemas.openxmlformats.org/officeDocument/2006/relationships/hyperlink" Target="https://doi.org/10.1038/s41467-025-61749-3" TargetMode="External"/><Relationship Id="rId83" Type="http://schemas.openxmlformats.org/officeDocument/2006/relationships/hyperlink" Target="https://doi.org/10.1016/j.cell.2019.08.037" TargetMode="External"/><Relationship Id="rId88" Type="http://schemas.openxmlformats.org/officeDocument/2006/relationships/hyperlink" Target="https://doi.org/10.1038/nature22822" TargetMode="External"/><Relationship Id="rId91" Type="http://schemas.openxmlformats.org/officeDocument/2006/relationships/hyperlink" Target="https://doi.org/10.1038/s41467-025-61749-3"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6508/lsa.202001005" TargetMode="External"/><Relationship Id="rId23" Type="http://schemas.openxmlformats.org/officeDocument/2006/relationships/hyperlink" Target="https://doi.org/10.1016/j.molcel.2020.02.005" TargetMode="External"/><Relationship Id="rId28" Type="http://schemas.openxmlformats.org/officeDocument/2006/relationships/hyperlink" Target="https://doi.org/10.1073/pnas.0802336105" TargetMode="External"/><Relationship Id="rId36" Type="http://schemas.openxmlformats.org/officeDocument/2006/relationships/hyperlink" Target="https://doi.org/10.1038/35065138" TargetMode="External"/><Relationship Id="rId49" Type="http://schemas.openxmlformats.org/officeDocument/2006/relationships/hyperlink" Target="https://doi.org/10.1073/pnas.1302950110" TargetMode="External"/><Relationship Id="rId57" Type="http://schemas.openxmlformats.org/officeDocument/2006/relationships/hyperlink" Target="https://doi.org/10.26508/lsa.202001005" TargetMode="External"/><Relationship Id="rId10" Type="http://schemas.openxmlformats.org/officeDocument/2006/relationships/hyperlink" Target="https://doi.org/10.1016/j.molcel.2020.02.005" TargetMode="External"/><Relationship Id="rId31" Type="http://schemas.openxmlformats.org/officeDocument/2006/relationships/hyperlink" Target="https://doi.org/10.1038/nature22822" TargetMode="External"/><Relationship Id="rId44" Type="http://schemas.openxmlformats.org/officeDocument/2006/relationships/hyperlink" Target="https://doi.org/10.1038/s41467-025-61749-3" TargetMode="External"/><Relationship Id="rId52" Type="http://schemas.openxmlformats.org/officeDocument/2006/relationships/hyperlink" Target="https://doi.org/10.1038/s41467-023-42072-1" TargetMode="External"/><Relationship Id="rId60" Type="http://schemas.openxmlformats.org/officeDocument/2006/relationships/hyperlink" Target="https://doi.org/10.1016/j.molcel.2020.02.005" TargetMode="External"/><Relationship Id="rId65" Type="http://schemas.openxmlformats.org/officeDocument/2006/relationships/hyperlink" Target="https://doi.org/10.1016/j.molcel.2020.02.005" TargetMode="External"/><Relationship Id="rId73" Type="http://schemas.openxmlformats.org/officeDocument/2006/relationships/hyperlink" Target="https://doi.org/10.1016/j.molcel.2020.02.005" TargetMode="External"/><Relationship Id="rId78" Type="http://schemas.openxmlformats.org/officeDocument/2006/relationships/hyperlink" Target="https://doi.org/10.1016/j.molcel.2020.02.005" TargetMode="External"/><Relationship Id="rId81" Type="http://schemas.openxmlformats.org/officeDocument/2006/relationships/hyperlink" Target="https://doi.org/10.1073/pnas.0802336105" TargetMode="External"/><Relationship Id="rId86" Type="http://schemas.openxmlformats.org/officeDocument/2006/relationships/hyperlink" Target="https://doi.org/10.1038/s41467-026-75087-5" TargetMode="External"/><Relationship Id="rId94" Type="http://schemas.openxmlformats.org/officeDocument/2006/relationships/hyperlink" Target="https://doi.org/10.1038/35065138" TargetMode="External"/><Relationship Id="rId4" Type="http://schemas.openxmlformats.org/officeDocument/2006/relationships/webSettings" Target="webSettings.xml"/><Relationship Id="rId9" Type="http://schemas.openxmlformats.org/officeDocument/2006/relationships/hyperlink" Target="https://doi.org/10.1038/nature22989" TargetMode="External"/><Relationship Id="rId13" Type="http://schemas.openxmlformats.org/officeDocument/2006/relationships/hyperlink" Target="https://doi.org/10.1038/s41467-023-42072-1" TargetMode="External"/><Relationship Id="rId18" Type="http://schemas.openxmlformats.org/officeDocument/2006/relationships/hyperlink" Target="https://doi.org/10.1073/pnas.1302950110" TargetMode="External"/><Relationship Id="rId39" Type="http://schemas.openxmlformats.org/officeDocument/2006/relationships/hyperlink" Target="https://doi.org/10.1016/j.molcel.2020.02.005" TargetMode="External"/><Relationship Id="rId34" Type="http://schemas.openxmlformats.org/officeDocument/2006/relationships/hyperlink" Target="https://doi.org/10.1038/s41467-025-61749-3" TargetMode="External"/><Relationship Id="rId50" Type="http://schemas.openxmlformats.org/officeDocument/2006/relationships/hyperlink" Target="https://doi.org/10.1016/j.molcel.2020.02.005" TargetMode="External"/><Relationship Id="rId55" Type="http://schemas.openxmlformats.org/officeDocument/2006/relationships/hyperlink" Target="https://doi.org/10.1016/j.cell.2019.08.037" TargetMode="External"/><Relationship Id="rId76" Type="http://schemas.openxmlformats.org/officeDocument/2006/relationships/hyperlink" Target="https://doi.org/10.1016/j.cell.2019.08.037" TargetMode="External"/><Relationship Id="rId97" Type="http://schemas.openxmlformats.org/officeDocument/2006/relationships/fontTable" Target="fontTable.xml"/><Relationship Id="rId7" Type="http://schemas.openxmlformats.org/officeDocument/2006/relationships/hyperlink" Target="https://doi.org/10.1016/j.cell.2019.08.037" TargetMode="External"/><Relationship Id="rId71" Type="http://schemas.openxmlformats.org/officeDocument/2006/relationships/hyperlink" Target="https://doi.org/10.1038/s41467-025-61749-3" TargetMode="External"/><Relationship Id="rId92" Type="http://schemas.openxmlformats.org/officeDocument/2006/relationships/hyperlink" Target="https://doi.org/10.1038/nrm.2017.7" TargetMode="External"/><Relationship Id="rId2" Type="http://schemas.openxmlformats.org/officeDocument/2006/relationships/styles" Target="styles.xml"/><Relationship Id="rId29" Type="http://schemas.openxmlformats.org/officeDocument/2006/relationships/hyperlink" Target="https://doi.org/10.1038/nature22822" TargetMode="External"/><Relationship Id="rId24" Type="http://schemas.openxmlformats.org/officeDocument/2006/relationships/hyperlink" Target="https://doi.org/10.1016/j.cell.2019.08.037" TargetMode="External"/><Relationship Id="rId40" Type="http://schemas.openxmlformats.org/officeDocument/2006/relationships/hyperlink" Target="https://doi.org/10.1073/pnas.1302950110" TargetMode="External"/><Relationship Id="rId45" Type="http://schemas.openxmlformats.org/officeDocument/2006/relationships/hyperlink" Target="https://doi.org/10.1038/s41467-025-61749-3" TargetMode="External"/><Relationship Id="rId66" Type="http://schemas.openxmlformats.org/officeDocument/2006/relationships/hyperlink" Target="https://doi.org/10.1073/pnas.1302950110" TargetMode="External"/><Relationship Id="rId87" Type="http://schemas.openxmlformats.org/officeDocument/2006/relationships/hyperlink" Target="https://doi.org/10.1073/pnas.1302950110" TargetMode="External"/><Relationship Id="rId61" Type="http://schemas.openxmlformats.org/officeDocument/2006/relationships/hyperlink" Target="https://doi.org/10.1016/j.cell.2019.08.037" TargetMode="External"/><Relationship Id="rId82" Type="http://schemas.openxmlformats.org/officeDocument/2006/relationships/hyperlink" Target="https://doi.org/10.1126/science.1124000" TargetMode="External"/><Relationship Id="rId19" Type="http://schemas.openxmlformats.org/officeDocument/2006/relationships/hyperlink" Target="https://doi.org/10.1073/pnas.1302950110" TargetMode="External"/><Relationship Id="rId14" Type="http://schemas.openxmlformats.org/officeDocument/2006/relationships/hyperlink" Target="https://doi.org/10.1038/s41467-026-75087-5" TargetMode="External"/><Relationship Id="rId30" Type="http://schemas.openxmlformats.org/officeDocument/2006/relationships/hyperlink" Target="https://doi.org/10.1038/nature22989" TargetMode="External"/><Relationship Id="rId35" Type="http://schemas.openxmlformats.org/officeDocument/2006/relationships/hyperlink" Target="https://doi.org/10.1038/35065132" TargetMode="External"/><Relationship Id="rId56" Type="http://schemas.openxmlformats.org/officeDocument/2006/relationships/hyperlink" Target="https://doi.org/10.1016/j.molcel.2020.02.005" TargetMode="External"/><Relationship Id="rId77" Type="http://schemas.openxmlformats.org/officeDocument/2006/relationships/hyperlink" Target="https://doi.org/10.1038/nature22989" TargetMode="External"/><Relationship Id="rId8" Type="http://schemas.openxmlformats.org/officeDocument/2006/relationships/hyperlink" Target="https://doi.org/10.1038/nature22822" TargetMode="External"/><Relationship Id="rId51" Type="http://schemas.openxmlformats.org/officeDocument/2006/relationships/hyperlink" Target="https://doi.org/10.1073/pnas.1302950110" TargetMode="External"/><Relationship Id="rId72" Type="http://schemas.openxmlformats.org/officeDocument/2006/relationships/hyperlink" Target="https://doi.org/10.1016/j.cell.2019.08.037" TargetMode="External"/><Relationship Id="rId93" Type="http://schemas.openxmlformats.org/officeDocument/2006/relationships/hyperlink" Target="https://doi.org/10.1038/35065132"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2733</Words>
  <Characters>17507</Characters>
  <Application>Microsoft Office Word</Application>
  <DocSecurity>0</DocSecurity>
  <Lines>285</Lines>
  <Paragraphs>94</Paragraphs>
  <ScaleCrop>false</ScaleCrop>
  <Company/>
  <LinksUpToDate>false</LinksUpToDate>
  <CharactersWithSpaces>20134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Chromatin condensates: mechanisms, evidence and cellular context</dc:title>
  <dc:subject>What purified arrays and chromatin-binding proteins demonstrate, and how to distinguish phase separation from other forms of organization.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2026-10-12T09:31:00Z</dcterms:modified>
</cp:coreProperties>
</file>