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88F20" w14:textId="77777777" w:rsidR="00490FC3" w:rsidRDefault="00DA557E">
      <w:pPr>
        <w:pStyle w:val="Title"/>
      </w:pPr>
      <w:r>
        <w:t>Heterochromatin: establishment, inheritance and heterogeneous physical organization</w:t>
      </w:r>
    </w:p>
    <w:p w14:paraId="295775D9" w14:textId="77777777" w:rsidR="00490FC3" w:rsidRDefault="00DA557E">
      <w:pPr>
        <w:pStyle w:val="Subtitle"/>
      </w:pPr>
      <w:r>
        <w:t>Repressive chromatin as a regulated domain system, with current evidence for molecular recognition, maintenance dynamics and local architecture.</w:t>
      </w:r>
    </w:p>
    <w:p w14:paraId="1B50DAA7" w14:textId="77777777" w:rsidR="00490FC3" w:rsidRDefault="00DA557E">
      <w:pPr>
        <w:spacing w:before="200" w:after="320"/>
      </w:pPr>
      <w:r>
        <w:rPr>
          <w:color w:val="087B78"/>
          <w:sz w:val="20"/>
          <w:szCs w:val="20"/>
        </w:rPr>
        <w:t>CellNucleus · Current research review · 12 October 2026</w:t>
      </w:r>
    </w:p>
    <w:p w14:paraId="07E103D3" w14:textId="77777777" w:rsidR="00490FC3" w:rsidRDefault="00DA557E">
      <w:pPr>
        <w:pStyle w:val="Heading1"/>
      </w:pPr>
      <w:bookmarkStart w:id="0" w:name="_Toc242668344"/>
      <w:r>
        <w:t>Abstract</w:t>
      </w:r>
      <w:bookmarkEnd w:id="0"/>
    </w:p>
    <w:p w14:paraId="5E5C703F" w14:textId="4D30083B" w:rsidR="00490FC3" w:rsidRDefault="00DA557E">
      <w:r>
        <w:t>Heterochromatin restricts genomic activity through mechanisms that couple chromatin chemistry, molecular recognition and domain organization. Establishment, spreading and maintenance are distinct processes. H3K9 methylation can recruit HP1, while Polycomb-associated H3K27 methylation uses a different reader–writer network. These pathways should not be collapsed into one mark, one liquid phase or an absolute state of transcriptional absence.</w:t>
      </w:r>
      <w:hyperlink r:id="rId7" w:history="1">
        <w:r>
          <w:rPr>
            <w:color w:val="087B78"/>
            <w:sz w:val="18"/>
            <w:szCs w:val="18"/>
          </w:rPr>
          <w:t xml:space="preserve"> [13]</w:t>
        </w:r>
      </w:hyperlink>
      <w:hyperlink r:id="rId8" w:history="1">
        <w:r>
          <w:rPr>
            <w:color w:val="087B78"/>
            <w:sz w:val="18"/>
            <w:szCs w:val="18"/>
          </w:rPr>
          <w:t xml:space="preserve"> [10]</w:t>
        </w:r>
      </w:hyperlink>
      <w:hyperlink r:id="rId9" w:history="1">
        <w:r>
          <w:rPr>
            <w:color w:val="087B78"/>
            <w:sz w:val="18"/>
            <w:szCs w:val="18"/>
          </w:rPr>
          <w:t xml:space="preserve"> [11]</w:t>
        </w:r>
      </w:hyperlink>
      <w:hyperlink r:id="rId10" w:history="1">
        <w:r>
          <w:rPr>
            <w:color w:val="087B78"/>
            <w:sz w:val="18"/>
            <w:szCs w:val="18"/>
          </w:rPr>
          <w:t xml:space="preserve"> [12]</w:t>
        </w:r>
      </w:hyperlink>
    </w:p>
    <w:p w14:paraId="1B4AFC60" w14:textId="795831AC" w:rsidR="00490FC3" w:rsidRDefault="00DA557E">
      <w:r>
        <w:t>Recent work shows heterogeneous H3K9me3 maintenance dynamics in pluripotent cells, species- and paralog-specific HP1 behavior, and heterogeneous peripheral nucleosome arrangements in primary human cells. These findings connect repression to dynamic molecular and physical organization. They also show why biochemical reconstitution, native structure and cellular perturbation must be compared in their actual contexts rather than extrapolated to all heterochromatin.</w:t>
      </w:r>
      <w:hyperlink r:id="rId11" w:history="1">
        <w:r>
          <w:rPr>
            <w:color w:val="087B78"/>
            <w:sz w:val="18"/>
            <w:szCs w:val="18"/>
          </w:rPr>
          <w:t xml:space="preserve"> [14]</w:t>
        </w:r>
      </w:hyperlink>
      <w:hyperlink r:id="rId12" w:history="1">
        <w:r>
          <w:rPr>
            <w:color w:val="087B78"/>
            <w:sz w:val="18"/>
            <w:szCs w:val="18"/>
          </w:rPr>
          <w:t xml:space="preserve"> [9]</w:t>
        </w:r>
      </w:hyperlink>
      <w:hyperlink r:id="rId13" w:history="1">
        <w:r>
          <w:rPr>
            <w:color w:val="087B78"/>
            <w:sz w:val="18"/>
            <w:szCs w:val="18"/>
          </w:rPr>
          <w:t xml:space="preserve"> [4]</w:t>
        </w:r>
      </w:hyperlink>
      <w:hyperlink r:id="rId14" w:history="1">
        <w:r>
          <w:rPr>
            <w:color w:val="087B78"/>
            <w:sz w:val="18"/>
            <w:szCs w:val="18"/>
          </w:rPr>
          <w:t xml:space="preserve"> [2]</w:t>
        </w:r>
      </w:hyperlink>
    </w:p>
    <w:p w14:paraId="26C0C066" w14:textId="77777777" w:rsidR="00490FC3" w:rsidRDefault="00DA557E">
      <w:pPr>
        <w:pageBreakBefore/>
        <w:spacing w:before="330"/>
      </w:pPr>
      <w:r>
        <w:rPr>
          <w:b/>
          <w:bCs/>
          <w:color w:val="173B4C"/>
          <w:sz w:val="32"/>
          <w:szCs w:val="32"/>
        </w:rPr>
        <w:lastRenderedPageBreak/>
        <w:t>Contents</w:t>
      </w:r>
    </w:p>
    <w:sdt>
      <w:sdtPr>
        <w:alias w:val="Contents"/>
        <w:id w:val="-533571989"/>
      </w:sdtPr>
      <w:sdtEndPr/>
      <w:sdtContent>
        <w:p w14:paraId="7568906C" w14:textId="747E77E0" w:rsidR="00F857D2" w:rsidRDefault="00DA557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44" w:history="1">
            <w:r w:rsidR="00F857D2" w:rsidRPr="006B6CAB">
              <w:rPr>
                <w:rStyle w:val="Hyperlink"/>
                <w:noProof/>
              </w:rPr>
              <w:t>Abstract</w:t>
            </w:r>
            <w:r w:rsidR="00F857D2">
              <w:rPr>
                <w:noProof/>
              </w:rPr>
              <w:tab/>
            </w:r>
            <w:r w:rsidR="00F857D2">
              <w:rPr>
                <w:noProof/>
              </w:rPr>
              <w:fldChar w:fldCharType="begin"/>
            </w:r>
            <w:r w:rsidR="00F857D2">
              <w:rPr>
                <w:noProof/>
              </w:rPr>
              <w:instrText xml:space="preserve"> PAGEREF _Toc242668344 \h </w:instrText>
            </w:r>
            <w:r w:rsidR="00F857D2">
              <w:rPr>
                <w:noProof/>
              </w:rPr>
            </w:r>
            <w:r w:rsidR="00F857D2">
              <w:rPr>
                <w:noProof/>
              </w:rPr>
              <w:fldChar w:fldCharType="separate"/>
            </w:r>
            <w:r w:rsidR="00F857D2">
              <w:rPr>
                <w:noProof/>
              </w:rPr>
              <w:t>1</w:t>
            </w:r>
            <w:r w:rsidR="00F857D2">
              <w:rPr>
                <w:noProof/>
              </w:rPr>
              <w:fldChar w:fldCharType="end"/>
            </w:r>
          </w:hyperlink>
        </w:p>
        <w:p w14:paraId="477987D4" w14:textId="7E7E6C57" w:rsidR="00F857D2" w:rsidRDefault="00F857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5" w:history="1">
            <w:r w:rsidRPr="006B6CAB">
              <w:rPr>
                <w:rStyle w:val="Hyperlink"/>
                <w:noProof/>
              </w:rPr>
              <w:t>1. A domain system with multiple forms and functions</w:t>
            </w:r>
            <w:r>
              <w:rPr>
                <w:noProof/>
              </w:rPr>
              <w:tab/>
            </w:r>
            <w:r>
              <w:rPr>
                <w:noProof/>
              </w:rPr>
              <w:fldChar w:fldCharType="begin"/>
            </w:r>
            <w:r>
              <w:rPr>
                <w:noProof/>
              </w:rPr>
              <w:instrText xml:space="preserve"> PAGEREF _Toc242668345 \h </w:instrText>
            </w:r>
            <w:r>
              <w:rPr>
                <w:noProof/>
              </w:rPr>
            </w:r>
            <w:r>
              <w:rPr>
                <w:noProof/>
              </w:rPr>
              <w:fldChar w:fldCharType="separate"/>
            </w:r>
            <w:r>
              <w:rPr>
                <w:noProof/>
              </w:rPr>
              <w:t>2</w:t>
            </w:r>
            <w:r>
              <w:rPr>
                <w:noProof/>
              </w:rPr>
              <w:fldChar w:fldCharType="end"/>
            </w:r>
          </w:hyperlink>
        </w:p>
        <w:p w14:paraId="1C5CAEF4" w14:textId="0B1891FC" w:rsidR="00F857D2" w:rsidRDefault="00F857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6" w:history="1">
            <w:r w:rsidRPr="006B6CAB">
              <w:rPr>
                <w:rStyle w:val="Hyperlink"/>
                <w:noProof/>
              </w:rPr>
              <w:t>2. H3K9 methylation and HP1 recognition</w:t>
            </w:r>
            <w:r>
              <w:rPr>
                <w:noProof/>
              </w:rPr>
              <w:tab/>
            </w:r>
            <w:r>
              <w:rPr>
                <w:noProof/>
              </w:rPr>
              <w:fldChar w:fldCharType="begin"/>
            </w:r>
            <w:r>
              <w:rPr>
                <w:noProof/>
              </w:rPr>
              <w:instrText xml:space="preserve"> PAGEREF _Toc242668346 \h </w:instrText>
            </w:r>
            <w:r>
              <w:rPr>
                <w:noProof/>
              </w:rPr>
            </w:r>
            <w:r>
              <w:rPr>
                <w:noProof/>
              </w:rPr>
              <w:fldChar w:fldCharType="separate"/>
            </w:r>
            <w:r>
              <w:rPr>
                <w:noProof/>
              </w:rPr>
              <w:t>3</w:t>
            </w:r>
            <w:r>
              <w:rPr>
                <w:noProof/>
              </w:rPr>
              <w:fldChar w:fldCharType="end"/>
            </w:r>
          </w:hyperlink>
        </w:p>
        <w:p w14:paraId="2AB07F70" w14:textId="003904D1" w:rsidR="00F857D2" w:rsidRDefault="00F857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7" w:history="1">
            <w:r w:rsidRPr="006B6CAB">
              <w:rPr>
                <w:rStyle w:val="Hyperlink"/>
                <w:noProof/>
              </w:rPr>
              <w:t>3. Polycomb uses distinct repressive feedback</w:t>
            </w:r>
            <w:r>
              <w:rPr>
                <w:noProof/>
              </w:rPr>
              <w:tab/>
            </w:r>
            <w:r>
              <w:rPr>
                <w:noProof/>
              </w:rPr>
              <w:fldChar w:fldCharType="begin"/>
            </w:r>
            <w:r>
              <w:rPr>
                <w:noProof/>
              </w:rPr>
              <w:instrText xml:space="preserve"> PAGEREF _Toc242668347 \h </w:instrText>
            </w:r>
            <w:r>
              <w:rPr>
                <w:noProof/>
              </w:rPr>
            </w:r>
            <w:r>
              <w:rPr>
                <w:noProof/>
              </w:rPr>
              <w:fldChar w:fldCharType="separate"/>
            </w:r>
            <w:r>
              <w:rPr>
                <w:noProof/>
              </w:rPr>
              <w:t>3</w:t>
            </w:r>
            <w:r>
              <w:rPr>
                <w:noProof/>
              </w:rPr>
              <w:fldChar w:fldCharType="end"/>
            </w:r>
          </w:hyperlink>
        </w:p>
        <w:p w14:paraId="5015B963" w14:textId="41F52896" w:rsidR="00F857D2" w:rsidRDefault="00F857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8" w:history="1">
            <w:r w:rsidRPr="006B6CAB">
              <w:rPr>
                <w:rStyle w:val="Hyperlink"/>
                <w:noProof/>
              </w:rPr>
              <w:t>4. New measurements expose heterogeneous maintenance dynamics</w:t>
            </w:r>
            <w:r>
              <w:rPr>
                <w:noProof/>
              </w:rPr>
              <w:tab/>
            </w:r>
            <w:r>
              <w:rPr>
                <w:noProof/>
              </w:rPr>
              <w:fldChar w:fldCharType="begin"/>
            </w:r>
            <w:r>
              <w:rPr>
                <w:noProof/>
              </w:rPr>
              <w:instrText xml:space="preserve"> PAGEREF _Toc242668348 \h </w:instrText>
            </w:r>
            <w:r>
              <w:rPr>
                <w:noProof/>
              </w:rPr>
            </w:r>
            <w:r>
              <w:rPr>
                <w:noProof/>
              </w:rPr>
              <w:fldChar w:fldCharType="separate"/>
            </w:r>
            <w:r>
              <w:rPr>
                <w:noProof/>
              </w:rPr>
              <w:t>4</w:t>
            </w:r>
            <w:r>
              <w:rPr>
                <w:noProof/>
              </w:rPr>
              <w:fldChar w:fldCharType="end"/>
            </w:r>
          </w:hyperlink>
        </w:p>
        <w:p w14:paraId="6C75F2AA" w14:textId="53D62CC9" w:rsidR="00F857D2" w:rsidRDefault="00F857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9" w:history="1">
            <w:r w:rsidRPr="006B6CAB">
              <w:rPr>
                <w:rStyle w:val="Hyperlink"/>
                <w:noProof/>
              </w:rPr>
              <w:t>5. Replication requires reconstruction and recycling</w:t>
            </w:r>
            <w:r>
              <w:rPr>
                <w:noProof/>
              </w:rPr>
              <w:tab/>
            </w:r>
            <w:r>
              <w:rPr>
                <w:noProof/>
              </w:rPr>
              <w:fldChar w:fldCharType="begin"/>
            </w:r>
            <w:r>
              <w:rPr>
                <w:noProof/>
              </w:rPr>
              <w:instrText xml:space="preserve"> PAGEREF _Toc242668349 \h </w:instrText>
            </w:r>
            <w:r>
              <w:rPr>
                <w:noProof/>
              </w:rPr>
            </w:r>
            <w:r>
              <w:rPr>
                <w:noProof/>
              </w:rPr>
              <w:fldChar w:fldCharType="separate"/>
            </w:r>
            <w:r>
              <w:rPr>
                <w:noProof/>
              </w:rPr>
              <w:t>4</w:t>
            </w:r>
            <w:r>
              <w:rPr>
                <w:noProof/>
              </w:rPr>
              <w:fldChar w:fldCharType="end"/>
            </w:r>
          </w:hyperlink>
        </w:p>
        <w:p w14:paraId="03EB4C96" w14:textId="2107A48B" w:rsidR="00F857D2" w:rsidRDefault="00F857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0" w:history="1">
            <w:r w:rsidRPr="006B6CAB">
              <w:rPr>
                <w:rStyle w:val="Hyperlink"/>
                <w:noProof/>
              </w:rPr>
              <w:t>6. Physical compaction does not imply one HP1 liquid</w:t>
            </w:r>
            <w:r>
              <w:rPr>
                <w:noProof/>
              </w:rPr>
              <w:tab/>
            </w:r>
            <w:r>
              <w:rPr>
                <w:noProof/>
              </w:rPr>
              <w:fldChar w:fldCharType="begin"/>
            </w:r>
            <w:r>
              <w:rPr>
                <w:noProof/>
              </w:rPr>
              <w:instrText xml:space="preserve"> PAGEREF _Toc242668350 \h </w:instrText>
            </w:r>
            <w:r>
              <w:rPr>
                <w:noProof/>
              </w:rPr>
            </w:r>
            <w:r>
              <w:rPr>
                <w:noProof/>
              </w:rPr>
              <w:fldChar w:fldCharType="separate"/>
            </w:r>
            <w:r>
              <w:rPr>
                <w:noProof/>
              </w:rPr>
              <w:t>5</w:t>
            </w:r>
            <w:r>
              <w:rPr>
                <w:noProof/>
              </w:rPr>
              <w:fldChar w:fldCharType="end"/>
            </w:r>
          </w:hyperlink>
        </w:p>
        <w:p w14:paraId="74E5CE76" w14:textId="622FD217" w:rsidR="00F857D2" w:rsidRDefault="00F857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1" w:history="1">
            <w:r w:rsidRPr="006B6CAB">
              <w:rPr>
                <w:rStyle w:val="Hyperlink"/>
                <w:noProof/>
              </w:rPr>
              <w:t>7. Native heterochromatin contains heterogeneous local arrangements</w:t>
            </w:r>
            <w:r>
              <w:rPr>
                <w:noProof/>
              </w:rPr>
              <w:tab/>
            </w:r>
            <w:r>
              <w:rPr>
                <w:noProof/>
              </w:rPr>
              <w:fldChar w:fldCharType="begin"/>
            </w:r>
            <w:r>
              <w:rPr>
                <w:noProof/>
              </w:rPr>
              <w:instrText xml:space="preserve"> PAGEREF _Toc242668351 \h </w:instrText>
            </w:r>
            <w:r>
              <w:rPr>
                <w:noProof/>
              </w:rPr>
            </w:r>
            <w:r>
              <w:rPr>
                <w:noProof/>
              </w:rPr>
              <w:fldChar w:fldCharType="separate"/>
            </w:r>
            <w:r>
              <w:rPr>
                <w:noProof/>
              </w:rPr>
              <w:t>5</w:t>
            </w:r>
            <w:r>
              <w:rPr>
                <w:noProof/>
              </w:rPr>
              <w:fldChar w:fldCharType="end"/>
            </w:r>
          </w:hyperlink>
        </w:p>
        <w:p w14:paraId="2F2E7902" w14:textId="700E8020" w:rsidR="00F857D2" w:rsidRDefault="00F857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2" w:history="1">
            <w:r w:rsidRPr="006B6CAB">
              <w:rPr>
                <w:rStyle w:val="Hyperlink"/>
                <w:noProof/>
              </w:rPr>
              <w:t>8. Repression, repeats and genome stability are related outputs</w:t>
            </w:r>
            <w:r>
              <w:rPr>
                <w:noProof/>
              </w:rPr>
              <w:tab/>
            </w:r>
            <w:r>
              <w:rPr>
                <w:noProof/>
              </w:rPr>
              <w:fldChar w:fldCharType="begin"/>
            </w:r>
            <w:r>
              <w:rPr>
                <w:noProof/>
              </w:rPr>
              <w:instrText xml:space="preserve"> PAGEREF _Toc242668352 \h </w:instrText>
            </w:r>
            <w:r>
              <w:rPr>
                <w:noProof/>
              </w:rPr>
            </w:r>
            <w:r>
              <w:rPr>
                <w:noProof/>
              </w:rPr>
              <w:fldChar w:fldCharType="separate"/>
            </w:r>
            <w:r>
              <w:rPr>
                <w:noProof/>
              </w:rPr>
              <w:t>6</w:t>
            </w:r>
            <w:r>
              <w:rPr>
                <w:noProof/>
              </w:rPr>
              <w:fldChar w:fldCharType="end"/>
            </w:r>
          </w:hyperlink>
        </w:p>
        <w:p w14:paraId="24E50A2F" w14:textId="425D7025" w:rsidR="00F857D2" w:rsidRDefault="00F857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3" w:history="1">
            <w:r w:rsidRPr="006B6CAB">
              <w:rPr>
                <w:rStyle w:val="Hyperlink"/>
                <w:noProof/>
              </w:rPr>
              <w:t>9. Evidence at complementary scales</w:t>
            </w:r>
            <w:r>
              <w:rPr>
                <w:noProof/>
              </w:rPr>
              <w:tab/>
            </w:r>
            <w:r>
              <w:rPr>
                <w:noProof/>
              </w:rPr>
              <w:fldChar w:fldCharType="begin"/>
            </w:r>
            <w:r>
              <w:rPr>
                <w:noProof/>
              </w:rPr>
              <w:instrText xml:space="preserve"> PAGEREF _Toc242668353 \h </w:instrText>
            </w:r>
            <w:r>
              <w:rPr>
                <w:noProof/>
              </w:rPr>
            </w:r>
            <w:r>
              <w:rPr>
                <w:noProof/>
              </w:rPr>
              <w:fldChar w:fldCharType="separate"/>
            </w:r>
            <w:r>
              <w:rPr>
                <w:noProof/>
              </w:rPr>
              <w:t>7</w:t>
            </w:r>
            <w:r>
              <w:rPr>
                <w:noProof/>
              </w:rPr>
              <w:fldChar w:fldCharType="end"/>
            </w:r>
          </w:hyperlink>
        </w:p>
        <w:p w14:paraId="01C4795B" w14:textId="534FB723" w:rsidR="00F857D2" w:rsidRDefault="00F857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4" w:history="1">
            <w:r w:rsidRPr="006B6CAB">
              <w:rPr>
                <w:rStyle w:val="Hyperlink"/>
                <w:noProof/>
              </w:rPr>
              <w:t>10. Synthesis</w:t>
            </w:r>
            <w:r>
              <w:rPr>
                <w:noProof/>
              </w:rPr>
              <w:tab/>
            </w:r>
            <w:r>
              <w:rPr>
                <w:noProof/>
              </w:rPr>
              <w:fldChar w:fldCharType="begin"/>
            </w:r>
            <w:r>
              <w:rPr>
                <w:noProof/>
              </w:rPr>
              <w:instrText xml:space="preserve"> PAGEREF _Toc242668354 \h </w:instrText>
            </w:r>
            <w:r>
              <w:rPr>
                <w:noProof/>
              </w:rPr>
            </w:r>
            <w:r>
              <w:rPr>
                <w:noProof/>
              </w:rPr>
              <w:fldChar w:fldCharType="separate"/>
            </w:r>
            <w:r>
              <w:rPr>
                <w:noProof/>
              </w:rPr>
              <w:t>7</w:t>
            </w:r>
            <w:r>
              <w:rPr>
                <w:noProof/>
              </w:rPr>
              <w:fldChar w:fldCharType="end"/>
            </w:r>
          </w:hyperlink>
        </w:p>
        <w:p w14:paraId="69704816" w14:textId="6E77AEED" w:rsidR="00F857D2" w:rsidRDefault="00F857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5" w:history="1">
            <w:r w:rsidRPr="006B6CAB">
              <w:rPr>
                <w:rStyle w:val="Hyperlink"/>
                <w:noProof/>
              </w:rPr>
              <w:t>References</w:t>
            </w:r>
            <w:r>
              <w:rPr>
                <w:noProof/>
              </w:rPr>
              <w:tab/>
            </w:r>
            <w:r>
              <w:rPr>
                <w:noProof/>
              </w:rPr>
              <w:fldChar w:fldCharType="begin"/>
            </w:r>
            <w:r>
              <w:rPr>
                <w:noProof/>
              </w:rPr>
              <w:instrText xml:space="preserve"> PAGEREF _Toc242668355 \h </w:instrText>
            </w:r>
            <w:r>
              <w:rPr>
                <w:noProof/>
              </w:rPr>
            </w:r>
            <w:r>
              <w:rPr>
                <w:noProof/>
              </w:rPr>
              <w:fldChar w:fldCharType="separate"/>
            </w:r>
            <w:r>
              <w:rPr>
                <w:noProof/>
              </w:rPr>
              <w:t>7</w:t>
            </w:r>
            <w:r>
              <w:rPr>
                <w:noProof/>
              </w:rPr>
              <w:fldChar w:fldCharType="end"/>
            </w:r>
          </w:hyperlink>
        </w:p>
        <w:p w14:paraId="138A5E65" w14:textId="1668089F" w:rsidR="00F857D2" w:rsidRDefault="00F857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6" w:history="1">
            <w:r w:rsidRPr="006B6CAB">
              <w:rPr>
                <w:rStyle w:val="Hyperlink"/>
                <w:noProof/>
              </w:rPr>
              <w:t>Evidence scope</w:t>
            </w:r>
            <w:r>
              <w:rPr>
                <w:noProof/>
              </w:rPr>
              <w:tab/>
            </w:r>
            <w:r>
              <w:rPr>
                <w:noProof/>
              </w:rPr>
              <w:fldChar w:fldCharType="begin"/>
            </w:r>
            <w:r>
              <w:rPr>
                <w:noProof/>
              </w:rPr>
              <w:instrText xml:space="preserve"> PAGEREF _Toc242668356 \h </w:instrText>
            </w:r>
            <w:r>
              <w:rPr>
                <w:noProof/>
              </w:rPr>
            </w:r>
            <w:r>
              <w:rPr>
                <w:noProof/>
              </w:rPr>
              <w:fldChar w:fldCharType="separate"/>
            </w:r>
            <w:r>
              <w:rPr>
                <w:noProof/>
              </w:rPr>
              <w:t>8</w:t>
            </w:r>
            <w:r>
              <w:rPr>
                <w:noProof/>
              </w:rPr>
              <w:fldChar w:fldCharType="end"/>
            </w:r>
          </w:hyperlink>
        </w:p>
        <w:p w14:paraId="1A6255B2" w14:textId="3E541079" w:rsidR="00490FC3" w:rsidRDefault="00DA557E">
          <w:r>
            <w:fldChar w:fldCharType="end"/>
          </w:r>
        </w:p>
      </w:sdtContent>
    </w:sdt>
    <w:p w14:paraId="497E58AB" w14:textId="77777777" w:rsidR="00490FC3" w:rsidRDefault="00DA557E">
      <w:pPr>
        <w:pStyle w:val="Heading1"/>
      </w:pPr>
      <w:bookmarkStart w:id="1" w:name="_Toc242668345"/>
      <w:r>
        <w:t>1. A domain system with multiple forms and functions</w:t>
      </w:r>
      <w:bookmarkEnd w:id="1"/>
    </w:p>
    <w:p w14:paraId="0F1C6B25" w14:textId="4AEBB698" w:rsidR="00490FC3" w:rsidRDefault="00DA557E">
      <w:r>
        <w:t>Heterochromatin is useful as a description of domains that acquire characteristic repressive molecular and functional properties. The seminal cross-species synthesis by Allshire and Madhani distinguishes nucleation, spreading and maintenance and connects heterochromatin to repeat regulation, chromosome stability and lineage-specific gene restriction. A domain is therefore not defined completely by dark staining. Its genomic content, regulators and functional effects are needed to specify what kind of repres</w:t>
      </w:r>
      <w:r>
        <w:t>sion is being examined.</w:t>
      </w:r>
      <w:hyperlink r:id="rId15" w:history="1">
        <w:r>
          <w:rPr>
            <w:color w:val="087B78"/>
            <w:sz w:val="18"/>
            <w:szCs w:val="18"/>
          </w:rPr>
          <w:t xml:space="preserve"> [13]</w:t>
        </w:r>
      </w:hyperlink>
    </w:p>
    <w:p w14:paraId="504727CF" w14:textId="1CF042C2" w:rsidR="00490FC3" w:rsidRDefault="00DA557E">
      <w:r>
        <w:t>H3K9-associated heterochromatin and Polycomb-associated H3K27 methylation share aspects of chromatin repression but have distinct recognition systems. HP1 binds methylated H3K9 through its chromodomain, whereas EED can recognize repressive trimethyl-lysine marks and stimulate PRC2. These are molecularly defined interactions. Their similarity as reader–writer logic should not obscure the difference in proteins, substrates and regulatory programs, nor imply that all domains use both pathways.</w:t>
      </w:r>
      <w:hyperlink r:id="rId16" w:history="1">
        <w:r>
          <w:rPr>
            <w:color w:val="087B78"/>
            <w:sz w:val="18"/>
            <w:szCs w:val="18"/>
          </w:rPr>
          <w:t xml:space="preserve"> [10]</w:t>
        </w:r>
      </w:hyperlink>
      <w:hyperlink r:id="rId17" w:history="1">
        <w:r>
          <w:rPr>
            <w:color w:val="087B78"/>
            <w:sz w:val="18"/>
            <w:szCs w:val="18"/>
          </w:rPr>
          <w:t xml:space="preserve"> [11]</w:t>
        </w:r>
      </w:hyperlink>
      <w:hyperlink r:id="rId18" w:history="1">
        <w:r>
          <w:rPr>
            <w:color w:val="087B78"/>
            <w:sz w:val="18"/>
            <w:szCs w:val="18"/>
          </w:rPr>
          <w:t xml:space="preserve"> [12]</w:t>
        </w:r>
      </w:hyperlink>
    </w:p>
    <w:p w14:paraId="54CF00F9" w14:textId="030B0C90" w:rsidR="00490FC3" w:rsidRDefault="00DA557E">
      <w:r>
        <w:t>The classical contrast between constitutive and facultative heterochromatin is best retained as a framework for different genomic and developmental contexts, not a claim that one is permanently immutable. Recent acute perturbation of H3K9 methyltransferases showed multiple rates of mark decay across genes and repeats in pluripotent cells. Stability must therefore be measured rather than assigned from a domain label. The biological state includes active maintenance and opposing activities.</w:t>
      </w:r>
      <w:hyperlink r:id="rId19" w:history="1">
        <w:r>
          <w:rPr>
            <w:color w:val="087B78"/>
            <w:sz w:val="18"/>
            <w:szCs w:val="18"/>
          </w:rPr>
          <w:t xml:space="preserve"> [13]</w:t>
        </w:r>
      </w:hyperlink>
      <w:hyperlink r:id="rId20" w:history="1">
        <w:r>
          <w:rPr>
            <w:color w:val="087B78"/>
            <w:sz w:val="18"/>
            <w:szCs w:val="18"/>
          </w:rPr>
          <w:t xml:space="preserve"> [14]</w:t>
        </w:r>
      </w:hyperlink>
    </w:p>
    <w:p w14:paraId="246522F5" w14:textId="77777777" w:rsidR="00490FC3" w:rsidRDefault="00DA557E">
      <w:pPr>
        <w:pStyle w:val="Heading1"/>
      </w:pPr>
      <w:bookmarkStart w:id="2" w:name="_Toc242668346"/>
      <w:r>
        <w:lastRenderedPageBreak/>
        <w:t>2. H3K9 methylation and HP1 recognition</w:t>
      </w:r>
      <w:bookmarkEnd w:id="2"/>
    </w:p>
    <w:p w14:paraId="56FAC3F4" w14:textId="0EF31411" w:rsidR="00490FC3" w:rsidRDefault="00DA557E">
      <w:r>
        <w:t>Lachner and colleagues demonstrated that Suv39h-generated H3K9 methylation creates an HP1 binding site. A functional HP1 chromodomain was required for high-affinity recognition of methylated histone peptides, and HP1 heterochromatin association was lost in Suv39h-double-null primary mouse fibroblasts and restored by catalytically active enzyme. This connected a defined chemical epitope to protein recruitment in biochemical and cellular comparisons.</w:t>
      </w:r>
      <w:hyperlink r:id="rId21" w:history="1">
        <w:r>
          <w:rPr>
            <w:color w:val="087B78"/>
            <w:sz w:val="18"/>
            <w:szCs w:val="18"/>
          </w:rPr>
          <w:t xml:space="preserve"> [10]</w:t>
        </w:r>
      </w:hyperlink>
    </w:p>
    <w:p w14:paraId="6D3C5542" w14:textId="51A2AF99" w:rsidR="00490FC3" w:rsidRDefault="00DA557E">
      <w:r>
        <w:t>Bannister and colleagues independently demonstrated HP1 recognition of methylated H3K9 rather than methylated H3K4. A chromodomain mutation disrupted methyl-lysine binding, and fission-yeast comparisons connected Clr4 methylase activity to Swi6 localization and silencing. These findings explain specificity at the recognition step. They do not mean that HP1 binding alone constitutes all later repression or that every H3K9-associated protein interaction is captured by one peptide assay.</w:t>
      </w:r>
      <w:hyperlink r:id="rId22" w:history="1">
        <w:r>
          <w:rPr>
            <w:color w:val="087B78"/>
            <w:sz w:val="18"/>
            <w:szCs w:val="18"/>
          </w:rPr>
          <w:t xml:space="preserve"> [11]</w:t>
        </w:r>
      </w:hyperlink>
    </w:p>
    <w:p w14:paraId="3E9FBB37" w14:textId="36F52942" w:rsidR="00490FC3" w:rsidRDefault="00DA557E">
      <w:r>
        <w:t>Recruitment provides a plausible route to cooperative maintenance: a modified nucleosome recruits proteins that can support further modification or local organization. The actual maintenance behavior, however, depends on more than the affinity of a single reader. Acute H3K9me3 perturbation and HP1 homolog comparisons show the importance of opposing removal, protein thresholds and partner chemistry. The biochemical recognition module is a foundation on which a context-dependent domain is built.</w:t>
      </w:r>
      <w:hyperlink r:id="rId23" w:history="1">
        <w:r>
          <w:rPr>
            <w:color w:val="087B78"/>
            <w:sz w:val="18"/>
            <w:szCs w:val="18"/>
          </w:rPr>
          <w:t xml:space="preserve"> [10]</w:t>
        </w:r>
      </w:hyperlink>
      <w:hyperlink r:id="rId24" w:history="1">
        <w:r>
          <w:rPr>
            <w:color w:val="087B78"/>
            <w:sz w:val="18"/>
            <w:szCs w:val="18"/>
          </w:rPr>
          <w:t xml:space="preserve"> [14]</w:t>
        </w:r>
      </w:hyperlink>
      <w:hyperlink r:id="rId25" w:history="1">
        <w:r>
          <w:rPr>
            <w:color w:val="087B78"/>
            <w:sz w:val="18"/>
            <w:szCs w:val="18"/>
          </w:rPr>
          <w:t xml:space="preserve"> [9]</w:t>
        </w:r>
      </w:hyperlink>
    </w:p>
    <w:p w14:paraId="10DDF8BC" w14:textId="3CC4ACDA" w:rsidR="00490FC3" w:rsidRDefault="00DA557E">
      <w:r>
        <w:t>HP1’s mark recognition and material behavior are also experimentally separable. A protein can retain localization at methylated chromatin while showing different condensation or coalescence capacity in a matched comparison. The 2025 homolog study makes this distinction concrete: related proteins recognized heterochromatin in the mammalian host but differed in clustering and transport behavior. Recruitment is therefore necessary information for a domain description, but it is not sufficient to assign the dom</w:t>
      </w:r>
      <w:r>
        <w:t>ain’s physical mechanism.</w:t>
      </w:r>
      <w:hyperlink r:id="rId26" w:history="1">
        <w:r>
          <w:rPr>
            <w:color w:val="087B78"/>
            <w:sz w:val="18"/>
            <w:szCs w:val="18"/>
          </w:rPr>
          <w:t xml:space="preserve"> [10]</w:t>
        </w:r>
      </w:hyperlink>
      <w:hyperlink r:id="rId27" w:history="1">
        <w:r>
          <w:rPr>
            <w:color w:val="087B78"/>
            <w:sz w:val="18"/>
            <w:szCs w:val="18"/>
          </w:rPr>
          <w:t xml:space="preserve"> [9]</w:t>
        </w:r>
      </w:hyperlink>
    </w:p>
    <w:p w14:paraId="2E9C1047" w14:textId="77777777" w:rsidR="00490FC3" w:rsidRDefault="00DA557E">
      <w:pPr>
        <w:pStyle w:val="Heading1"/>
      </w:pPr>
      <w:bookmarkStart w:id="3" w:name="_Toc242668347"/>
      <w:r>
        <w:t>3. Polycomb uses distinct repressive feedback</w:t>
      </w:r>
      <w:bookmarkEnd w:id="3"/>
    </w:p>
    <w:p w14:paraId="34292E50" w14:textId="7BA531F4" w:rsidR="00490FC3" w:rsidRDefault="00DA557E">
      <w:r>
        <w:t>Margueron and colleagues showed that EED recognition of repressive trimethyl-lysine marks allosterically activates PRC2 methyltransferase activity. Recognition-defective EED mutants prevented activation in vitro and altered methylation and development in the fly comparison. This established a direct biochemical reader–writer link and motivated a propagation model for H3K27 methylation. It is more specific than assigning repression to methylation in general, because the regulatory effect depends on a defined</w:t>
      </w:r>
      <w:r>
        <w:t xml:space="preserve"> protein interaction.</w:t>
      </w:r>
      <w:hyperlink r:id="rId28" w:history="1">
        <w:r>
          <w:rPr>
            <w:color w:val="087B78"/>
            <w:sz w:val="18"/>
            <w:szCs w:val="18"/>
          </w:rPr>
          <w:t xml:space="preserve"> [12]</w:t>
        </w:r>
      </w:hyperlink>
    </w:p>
    <w:p w14:paraId="2AE28795" w14:textId="46A08A39" w:rsidR="00490FC3" w:rsidRDefault="00DA557E">
      <w:r>
        <w:t>Propagation capacity and inherited domain identity remain distinct questions. A reaction that enhances methyltransferase activity can amplify a mark, but chromatin must also be rebuilt after replication and maintained at the appropriate genomic sites. Alabert’s histone-labeling study showed that H3K27me3 accumulates with kinetics different from many other modifications. Liu’s H1-depletion comparison further linked compaction to restoration on replicated DNA. Inheritance therefore includes substrate handling</w:t>
      </w:r>
      <w:r>
        <w:t>, local environment and modification kinetics.</w:t>
      </w:r>
      <w:hyperlink r:id="rId29" w:history="1">
        <w:r>
          <w:rPr>
            <w:color w:val="087B78"/>
            <w:sz w:val="18"/>
            <w:szCs w:val="18"/>
          </w:rPr>
          <w:t xml:space="preserve"> [12]</w:t>
        </w:r>
      </w:hyperlink>
      <w:hyperlink r:id="rId30" w:history="1">
        <w:r>
          <w:rPr>
            <w:color w:val="087B78"/>
            <w:sz w:val="18"/>
            <w:szCs w:val="18"/>
          </w:rPr>
          <w:t xml:space="preserve"> [15]</w:t>
        </w:r>
      </w:hyperlink>
      <w:hyperlink r:id="rId31" w:history="1">
        <w:r>
          <w:rPr>
            <w:color w:val="087B78"/>
            <w:sz w:val="18"/>
            <w:szCs w:val="18"/>
          </w:rPr>
          <w:t xml:space="preserve"> [16]</w:t>
        </w:r>
      </w:hyperlink>
    </w:p>
    <w:p w14:paraId="4F7834C5" w14:textId="763597C0" w:rsidR="00490FC3" w:rsidRDefault="00DA557E">
      <w:r>
        <w:lastRenderedPageBreak/>
        <w:t>These comparisons also caution against treating every repressive-mark change as loss of the entire domain. A genomic occupancy profile and a global peptide abundance are different measurements, and a physical compaction phenotype adds another layer. A mechanistic account should ask whether a perturbation changes the enzyme, the reader, the local substrate or the restoration process. Similar reductions in a mark can arise from different stages of that network.</w:t>
      </w:r>
      <w:hyperlink r:id="rId32" w:history="1">
        <w:r>
          <w:rPr>
            <w:color w:val="087B78"/>
            <w:sz w:val="18"/>
            <w:szCs w:val="18"/>
          </w:rPr>
          <w:t xml:space="preserve"> [15]</w:t>
        </w:r>
      </w:hyperlink>
      <w:hyperlink r:id="rId33" w:history="1">
        <w:r>
          <w:rPr>
            <w:color w:val="087B78"/>
            <w:sz w:val="18"/>
            <w:szCs w:val="18"/>
          </w:rPr>
          <w:t xml:space="preserve"> [16]</w:t>
        </w:r>
      </w:hyperlink>
      <w:hyperlink r:id="rId34" w:history="1">
        <w:r>
          <w:rPr>
            <w:color w:val="087B78"/>
            <w:sz w:val="18"/>
            <w:szCs w:val="18"/>
          </w:rPr>
          <w:t xml:space="preserve"> [12]</w:t>
        </w:r>
      </w:hyperlink>
    </w:p>
    <w:p w14:paraId="518D5B02" w14:textId="77777777" w:rsidR="00490FC3" w:rsidRDefault="00DA557E">
      <w:pPr>
        <w:pStyle w:val="Heading1"/>
      </w:pPr>
      <w:bookmarkStart w:id="4" w:name="_Toc242668348"/>
      <w:r>
        <w:t>4. New measurements expose heterogeneous maintenance dynamics</w:t>
      </w:r>
      <w:bookmarkEnd w:id="4"/>
    </w:p>
    <w:p w14:paraId="36E935B7" w14:textId="35CBA6BB" w:rsidR="00490FC3" w:rsidRDefault="00DA557E">
      <w:r>
        <w:t>Zhang and colleagues engineered mouse embryonic stem cells to remove the remaining H3K9me3 methyltransferases acutely in a Suv39h2-knockout background. Their study attributed H3K9me3 decay to both passive dilution and active removal and identified four genome-wide stability classes. The primary finding is heterogeneity in maintenance dynamics, not one universal lifetime for a repressive mark. Genomic context and associated chromatin features predicted differences among classes.</w:t>
      </w:r>
      <w:hyperlink r:id="rId35" w:history="1">
        <w:r>
          <w:rPr>
            <w:color w:val="087B78"/>
            <w:sz w:val="18"/>
            <w:szCs w:val="18"/>
          </w:rPr>
          <w:t xml:space="preserve"> [14]</w:t>
        </w:r>
      </w:hyperlink>
    </w:p>
    <w:p w14:paraId="2BBE8D17" w14:textId="79F888EB" w:rsidR="00490FC3" w:rsidRDefault="00DA557E">
      <w:r>
        <w:t>The study also connected rapid HP1 loss and threshold behavior to pioneer-factor binding, chromatin opening and exit from pluripotency. This supplies a link between repressive molecular organization and access to an alternative cell program. It does not require describing opening as smooth at every site or identical across all domains. A sharp cellular transition can emerge from underlying protein thresholds while the histone mark itself has multiple regional decay trajectories.</w:t>
      </w:r>
      <w:hyperlink r:id="rId36" w:history="1">
        <w:r>
          <w:rPr>
            <w:color w:val="087B78"/>
            <w:sz w:val="18"/>
            <w:szCs w:val="18"/>
          </w:rPr>
          <w:t xml:space="preserve"> [14]</w:t>
        </w:r>
      </w:hyperlink>
    </w:p>
    <w:p w14:paraId="48377C81" w14:textId="59537F11" w:rsidR="00490FC3" w:rsidRDefault="00DA557E">
      <w:r>
        <w:t>Residual HP1β peaks remained enriched in heterochromatin-inducing proteins after larger H3K9me3 domains receded. The observation indicates that removing broad methylation does not make every local organizing feature vanish simultaneously. Current heterochromatin models should therefore incorporate sites with different persistence and composition. Such residual structure may help explain why restoration, reprogramming and repeat derepression are not interchangeable outputs of one intervention.</w:t>
      </w:r>
      <w:hyperlink r:id="rId37" w:history="1">
        <w:r>
          <w:rPr>
            <w:color w:val="087B78"/>
            <w:sz w:val="18"/>
            <w:szCs w:val="18"/>
          </w:rPr>
          <w:t xml:space="preserve"> [14]</w:t>
        </w:r>
      </w:hyperlink>
    </w:p>
    <w:p w14:paraId="13B02FD7" w14:textId="77777777" w:rsidR="00490FC3" w:rsidRDefault="00DA557E">
      <w:pPr>
        <w:pStyle w:val="Heading1"/>
      </w:pPr>
      <w:bookmarkStart w:id="5" w:name="_Toc242668349"/>
      <w:r>
        <w:t>5. Replication requires reconstruction and recycling</w:t>
      </w:r>
      <w:bookmarkEnd w:id="5"/>
    </w:p>
    <w:p w14:paraId="69280FD0" w14:textId="421B049D" w:rsidR="00490FC3" w:rsidRDefault="00DA557E">
      <w:r>
        <w:t>New histones dilute the preexisting modification pattern during DNA replication, while recycled parental histones carry some earlier chemical information. Alabert and colleagues distinguished these populations on nascent chromatin and found two modes of modification propagation. Many new-histone marks approached parental patterns, while H3K27me3 and H3K9me3 continued to accumulate on both old and new histones. The result directly argues against a static stamp copied instantaneously onto every new particle.</w:t>
      </w:r>
      <w:hyperlink r:id="rId38" w:history="1">
        <w:r>
          <w:rPr>
            <w:color w:val="087B78"/>
            <w:sz w:val="18"/>
            <w:szCs w:val="18"/>
          </w:rPr>
          <w:t xml:space="preserve"> [15]</w:t>
        </w:r>
      </w:hyperlink>
    </w:p>
    <w:p w14:paraId="40F38E0E" w14:textId="4E715095" w:rsidR="00490FC3" w:rsidRDefault="00DA557E">
      <w:r>
        <w:t xml:space="preserve">The 2024 fork-protection-complex study added an upstream component: parental histone recycling at the fork contributes to epigenetic memory. The availability and placement of old histones are therefore part of the maintenance problem. Reader–writer feedback can act on the </w:t>
      </w:r>
      <w:r>
        <w:lastRenderedPageBreak/>
        <w:t>reconstructed substrate, but it does not replace the need to understand how that substrate is assembled. Distinguishing recycling from later modification makes a replication-coupled mechanism experimentally testable.</w:t>
      </w:r>
      <w:hyperlink r:id="rId39" w:history="1">
        <w:r>
          <w:rPr>
            <w:color w:val="087B78"/>
            <w:sz w:val="18"/>
            <w:szCs w:val="18"/>
          </w:rPr>
          <w:t xml:space="preserve"> [17]</w:t>
        </w:r>
      </w:hyperlink>
      <w:hyperlink r:id="rId40" w:history="1">
        <w:r>
          <w:rPr>
            <w:color w:val="087B78"/>
            <w:sz w:val="18"/>
            <w:szCs w:val="18"/>
          </w:rPr>
          <w:t xml:space="preserve"> [12]</w:t>
        </w:r>
      </w:hyperlink>
    </w:p>
    <w:p w14:paraId="5A9D93B7" w14:textId="213307CC" w:rsidR="00490FC3" w:rsidRDefault="00DA557E">
      <w:r>
        <w:t>In mouse embryonic stem cells, loss of selected H1 subtypes reduced H3K27me3 and delayed its restoration after replication. This connects local chromatin compaction to mark restoration in that comparison. Because the depletion is chronic and involves a subtype combination, it does not establish equivalent behavior for every H1 protein or exclude indirect effects. It nevertheless shows that a purely chemical reader–writer model can miss a physical contribution to maintenance.</w:t>
      </w:r>
      <w:hyperlink r:id="rId41" w:history="1">
        <w:r>
          <w:rPr>
            <w:color w:val="087B78"/>
            <w:sz w:val="18"/>
            <w:szCs w:val="18"/>
          </w:rPr>
          <w:t xml:space="preserve"> [16]</w:t>
        </w:r>
      </w:hyperlink>
    </w:p>
    <w:p w14:paraId="6A38AB25" w14:textId="77777777" w:rsidR="00490FC3" w:rsidRDefault="00DA557E">
      <w:pPr>
        <w:pStyle w:val="Heading1"/>
      </w:pPr>
      <w:bookmarkStart w:id="6" w:name="_Toc242668350"/>
      <w:r>
        <w:t>6. Physical compaction does not imply one HP1 liquid</w:t>
      </w:r>
      <w:bookmarkEnd w:id="6"/>
    </w:p>
    <w:p w14:paraId="1B0A9837" w14:textId="22499F57" w:rsidR="00490FC3" w:rsidRDefault="00DA557E">
      <w:r>
        <w:t>Purified nucleosome arrays form liquid-like droplets under defined conditions, and purified human HP1α can form DNA- and phosphorylation-dependent droplets. Early fly heterochromatin supplied cellular liquid-like observations. These are strong demonstrations of physical capacity and context-specific behavior. They motivate a phase-separation hypothesis, but the hypothesis must specify which molecules condense and what transport or perturbation behavior follows in the proposed cellular domain.</w:t>
      </w:r>
      <w:hyperlink r:id="rId42" w:history="1">
        <w:r>
          <w:rPr>
            <w:color w:val="087B78"/>
            <w:sz w:val="18"/>
            <w:szCs w:val="18"/>
          </w:rPr>
          <w:t xml:space="preserve"> [1]</w:t>
        </w:r>
      </w:hyperlink>
      <w:hyperlink r:id="rId43" w:history="1">
        <w:r>
          <w:rPr>
            <w:color w:val="087B78"/>
            <w:sz w:val="18"/>
            <w:szCs w:val="18"/>
          </w:rPr>
          <w:t xml:space="preserve"> [7]</w:t>
        </w:r>
      </w:hyperlink>
      <w:hyperlink r:id="rId44" w:history="1">
        <w:r>
          <w:rPr>
            <w:color w:val="087B78"/>
            <w:sz w:val="18"/>
            <w:szCs w:val="18"/>
          </w:rPr>
          <w:t xml:space="preserve"> [8]</w:t>
        </w:r>
      </w:hyperlink>
    </w:p>
    <w:p w14:paraId="007E2D6E" w14:textId="19C57037" w:rsidR="00490FC3" w:rsidRDefault="00DA557E">
      <w:r>
        <w:t>Mouse fibroblast chromocenters did not show the tested hallmarks of a separate HP1 liquid, and their gross organization did not follow a simple HP1-enrichment-driven compaction picture. This provides a cellular counterexample, while leaving other physical interactions and HP1 functions available. A dense focus can be produced by binding, bridging and chromatin contacts without requiring that the enriched protein itself constitute a distinct bulk liquid phase.</w:t>
      </w:r>
      <w:hyperlink r:id="rId45" w:history="1">
        <w:r>
          <w:rPr>
            <w:color w:val="087B78"/>
            <w:sz w:val="18"/>
            <w:szCs w:val="18"/>
          </w:rPr>
          <w:t xml:space="preserve"> [2]</w:t>
        </w:r>
      </w:hyperlink>
      <w:hyperlink r:id="rId46" w:history="1">
        <w:r>
          <w:rPr>
            <w:color w:val="087B78"/>
            <w:sz w:val="18"/>
            <w:szCs w:val="18"/>
          </w:rPr>
          <w:t xml:space="preserve"> [6]</w:t>
        </w:r>
      </w:hyperlink>
    </w:p>
    <w:p w14:paraId="03A19853" w14:textId="31E67692" w:rsidR="00490FC3" w:rsidRDefault="00DA557E">
      <w:r>
        <w:t>Bensaha’s 2025 matched comparison found distinct condensation and chromatin-clustering capacities in yeast, fly and mouse HP1 homologs, with mammalian HP1β antagonizing HP1α condensation. The result makes protein mixture and evolutionary context part of the mechanism. A current heterochromatin review should thus retain both the positive phase-capacity experiments and the mammalian cellular constraints, rather than select whichever supports a single preferred material description.</w:t>
      </w:r>
      <w:hyperlink r:id="rId47" w:history="1">
        <w:r>
          <w:rPr>
            <w:color w:val="087B78"/>
            <w:sz w:val="18"/>
            <w:szCs w:val="18"/>
          </w:rPr>
          <w:t xml:space="preserve"> [9]</w:t>
        </w:r>
      </w:hyperlink>
      <w:hyperlink r:id="rId48" w:history="1">
        <w:r>
          <w:rPr>
            <w:color w:val="087B78"/>
            <w:sz w:val="18"/>
            <w:szCs w:val="18"/>
          </w:rPr>
          <w:t xml:space="preserve"> [7]</w:t>
        </w:r>
      </w:hyperlink>
      <w:hyperlink r:id="rId49" w:history="1">
        <w:r>
          <w:rPr>
            <w:color w:val="087B78"/>
            <w:sz w:val="18"/>
            <w:szCs w:val="18"/>
          </w:rPr>
          <w:t xml:space="preserve"> [2]</w:t>
        </w:r>
      </w:hyperlink>
    </w:p>
    <w:p w14:paraId="695D66F1" w14:textId="77777777" w:rsidR="00490FC3" w:rsidRDefault="00DA557E">
      <w:pPr>
        <w:pStyle w:val="Heading1"/>
      </w:pPr>
      <w:bookmarkStart w:id="7" w:name="_Toc242668351"/>
      <w:r>
        <w:t>7. Native heterochromatin contains heterogeneous local arrangements</w:t>
      </w:r>
      <w:bookmarkEnd w:id="7"/>
    </w:p>
    <w:p w14:paraId="3F431921" w14:textId="79CF548C" w:rsidR="00490FC3" w:rsidRDefault="00DA557E">
      <w:r>
        <w:t>The primary-human-cell cryo-ET study of resting CD4+ T cells resolved elongated heterogeneous peripheral chromatin with frequent nucleosome stacking. It did not establish a canonical ordered 30-nm fiber. This is an important distinction between local particle contacts and a uniform periodic assembly. Dense chromatin may possess local interaction motifs without acquiring the same repeated geometry everywhere within the domain.</w:t>
      </w:r>
      <w:hyperlink r:id="rId50" w:history="1">
        <w:r>
          <w:rPr>
            <w:color w:val="087B78"/>
            <w:sz w:val="18"/>
            <w:szCs w:val="18"/>
          </w:rPr>
          <w:t xml:space="preserve"> [4]</w:t>
        </w:r>
      </w:hyperlink>
    </w:p>
    <w:p w14:paraId="0C27DEF5" w14:textId="2AD01573" w:rsidR="00490FC3" w:rsidRDefault="00DA557E">
      <w:r>
        <w:t xml:space="preserve">Cryo-ET in CEM T-lymphoblasts also resolved variable relaxed zigzag arrangements near the envelope. Differences between this cell line and primary resting T cells make biological state a </w:t>
      </w:r>
      <w:r>
        <w:lastRenderedPageBreak/>
        <w:t>relevant comparison variable. The studies examine limited cryogenic volumes rather than tracing the complete genome. Their native structural evidence is strongest for the sampled local material, and genomic identity must be supplied separately when a specific regulatory region is discussed.</w:t>
      </w:r>
      <w:hyperlink r:id="rId51" w:history="1">
        <w:r>
          <w:rPr>
            <w:color w:val="087B78"/>
            <w:sz w:val="18"/>
            <w:szCs w:val="18"/>
          </w:rPr>
          <w:t xml:space="preserve"> [3]</w:t>
        </w:r>
      </w:hyperlink>
      <w:hyperlink r:id="rId52" w:history="1">
        <w:r>
          <w:rPr>
            <w:color w:val="087B78"/>
            <w:sz w:val="18"/>
            <w:szCs w:val="18"/>
          </w:rPr>
          <w:t xml:space="preserve"> [4]</w:t>
        </w:r>
      </w:hyperlink>
    </w:p>
    <w:p w14:paraId="70A119EB" w14:textId="761E762D" w:rsidR="00490FC3" w:rsidRDefault="00DA557E">
      <w:r>
        <w:t>MINFLUX measurements of selected DNA probes offer a different structural window in living U2OS cells. The study reported compacting fiber-like DNA clouds but had AT-preferring probe and trajectory-selection constraints. DNA-localization patterns and nucleosome-resolved cryo-ET therefore should be compared with their actual observables intact. They do not yield the same object, and a cloud width should not be substituted for a canonical nucleosome-fiber architecture.</w:t>
      </w:r>
      <w:hyperlink r:id="rId53" w:history="1">
        <w:r>
          <w:rPr>
            <w:color w:val="087B78"/>
            <w:sz w:val="18"/>
            <w:szCs w:val="18"/>
          </w:rPr>
          <w:t xml:space="preserve"> [5]</w:t>
        </w:r>
      </w:hyperlink>
      <w:hyperlink r:id="rId54" w:history="1">
        <w:r>
          <w:rPr>
            <w:color w:val="087B78"/>
            <w:sz w:val="18"/>
            <w:szCs w:val="18"/>
          </w:rPr>
          <w:t xml:space="preserve"> [4]</w:t>
        </w:r>
      </w:hyperlink>
    </w:p>
    <w:p w14:paraId="6F6C400F" w14:textId="77777777" w:rsidR="00490FC3" w:rsidRDefault="00DA557E">
      <w:pPr>
        <w:pStyle w:val="Heading1"/>
      </w:pPr>
      <w:bookmarkStart w:id="8" w:name="_Toc242668352"/>
      <w:r>
        <w:t>8. Repression, repeats and genome stability are related outputs</w:t>
      </w:r>
      <w:bookmarkEnd w:id="8"/>
    </w:p>
    <w:p w14:paraId="26E26AAC" w14:textId="2387EA9C" w:rsidR="00490FC3" w:rsidRDefault="00DA557E">
      <w:r>
        <w:t>The heterochromatin framework includes restriction of mobile-element activity, handling of repetitive-region repair and chromosome segregation, alongside lineage-specific gene regulation. These functions are summarized in the seminal principles review and should be investigated as separate outcomes. Repression of one gene, control of one repeat class and normal chromosome transmission do not automatically provide evidence for each other. A domain’s molecular definition alone does not measure every consequen</w:t>
      </w:r>
      <w:r>
        <w:t>ce of its disruption.</w:t>
      </w:r>
      <w:hyperlink r:id="rId55" w:history="1">
        <w:r>
          <w:rPr>
            <w:color w:val="087B78"/>
            <w:sz w:val="18"/>
            <w:szCs w:val="18"/>
          </w:rPr>
          <w:t xml:space="preserve"> [13]</w:t>
        </w:r>
      </w:hyperlink>
    </w:p>
    <w:p w14:paraId="57231FA0" w14:textId="2A6FA9FF" w:rsidR="00490FC3" w:rsidRDefault="00DA557E">
      <w:r>
        <w:t>The newer maintenance experiment directly links distinct H3K9me3 dynamics to different gene networks and repeats in pluripotent cells. This argues for locus and repeat-class specificity rather than a single undifferentiated derepression phenotype. Chromatin opening and exit from pluripotency are additional readouts, each connected to the measured molecular threshold behavior. Their integration helps identify which part of a domain program fails first after acute perturbation.</w:t>
      </w:r>
      <w:hyperlink r:id="rId56" w:history="1">
        <w:r>
          <w:rPr>
            <w:color w:val="087B78"/>
            <w:sz w:val="18"/>
            <w:szCs w:val="18"/>
          </w:rPr>
          <w:t xml:space="preserve"> [14]</w:t>
        </w:r>
      </w:hyperlink>
    </w:p>
    <w:p w14:paraId="7981207A" w14:textId="084C808A" w:rsidR="00490FC3" w:rsidRDefault="00DA557E">
      <w:r>
        <w:t>A useful interpretation of a disease-associated heterochromatin change therefore starts with the affected molecular pathway and measured function. A reduction in a repressive mark may reflect altered maintenance, altered cell state or a shifted cellular mixture; those possibilities require their own comparisons. The controlled cell and reconstitution experiments reviewed here establish mechanistic possibilities, while patient-specific causal claims would require directly matched evidence.</w:t>
      </w:r>
      <w:hyperlink r:id="rId57" w:history="1">
        <w:r>
          <w:rPr>
            <w:color w:val="087B78"/>
            <w:sz w:val="18"/>
            <w:szCs w:val="18"/>
          </w:rPr>
          <w:t xml:space="preserve"> [14]</w:t>
        </w:r>
      </w:hyperlink>
      <w:hyperlink r:id="rId58" w:history="1">
        <w:r>
          <w:rPr>
            <w:color w:val="087B78"/>
            <w:sz w:val="18"/>
            <w:szCs w:val="18"/>
          </w:rPr>
          <w:t xml:space="preserve"> [15]</w:t>
        </w:r>
      </w:hyperlink>
      <w:hyperlink r:id="rId59" w:history="1">
        <w:r>
          <w:rPr>
            <w:color w:val="087B78"/>
            <w:sz w:val="18"/>
            <w:szCs w:val="18"/>
          </w:rPr>
          <w:t xml:space="preserve"> [9]</w:t>
        </w:r>
      </w:hyperlink>
    </w:p>
    <w:p w14:paraId="69C7E2FA" w14:textId="66054E27" w:rsidR="00490FC3" w:rsidRDefault="00DA557E">
      <w:r>
        <w:t>Establishment and maintenance should be separated operationally in perturbation designs. Removing a protein before a domain forms asks whether it participates in nucleation or initial assembly; removing it after formation asks whether the established state depends on continuing activity. The principles review formalizes that distinction, while the acute H3K9 methyltransferase experiment directly samples ongoing maintenance. Similar endpoint mark loss can have different histories, and those histories can cha</w:t>
      </w:r>
      <w:r>
        <w:t>nge the inferred regulator function.</w:t>
      </w:r>
      <w:hyperlink r:id="rId60" w:history="1">
        <w:r>
          <w:rPr>
            <w:color w:val="087B78"/>
            <w:sz w:val="18"/>
            <w:szCs w:val="18"/>
          </w:rPr>
          <w:t xml:space="preserve"> [13]</w:t>
        </w:r>
      </w:hyperlink>
      <w:hyperlink r:id="rId61" w:history="1">
        <w:r>
          <w:rPr>
            <w:color w:val="087B78"/>
            <w:sz w:val="18"/>
            <w:szCs w:val="18"/>
          </w:rPr>
          <w:t xml:space="preserve"> [14]</w:t>
        </w:r>
      </w:hyperlink>
    </w:p>
    <w:p w14:paraId="345B77FF" w14:textId="77777777" w:rsidR="00490FC3" w:rsidRDefault="00DA557E">
      <w:pPr>
        <w:pStyle w:val="Heading1"/>
      </w:pPr>
      <w:bookmarkStart w:id="9" w:name="_Toc242668353"/>
      <w:r>
        <w:lastRenderedPageBreak/>
        <w:t>9. Evidence at complementary scales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90FC3" w14:paraId="44562180"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3417500C" w14:textId="77777777" w:rsidR="00490FC3" w:rsidRDefault="00DA557E">
            <w:pPr>
              <w:spacing w:after="50" w:line="255" w:lineRule="auto"/>
            </w:pPr>
            <w:r>
              <w:rPr>
                <w:b/>
                <w:bCs/>
                <w:color w:val="173B4C"/>
                <w:sz w:val="19"/>
                <w:szCs w:val="19"/>
              </w:rPr>
              <w:t>Question</w:t>
            </w:r>
          </w:p>
        </w:tc>
        <w:tc>
          <w:tcPr>
            <w:tcW w:w="3120" w:type="dxa"/>
            <w:shd w:val="clear" w:color="auto" w:fill="EAF3F3"/>
            <w:tcMar>
              <w:top w:w="105" w:type="dxa"/>
              <w:left w:w="125" w:type="dxa"/>
              <w:bottom w:w="105" w:type="dxa"/>
              <w:right w:w="125" w:type="dxa"/>
            </w:tcMar>
          </w:tcPr>
          <w:p w14:paraId="7D66B11A" w14:textId="77777777" w:rsidR="00490FC3" w:rsidRDefault="00DA557E">
            <w:pPr>
              <w:spacing w:after="50" w:line="255" w:lineRule="auto"/>
            </w:pPr>
            <w:r>
              <w:rPr>
                <w:b/>
                <w:bCs/>
                <w:color w:val="173B4C"/>
                <w:sz w:val="19"/>
                <w:szCs w:val="19"/>
              </w:rPr>
              <w:t>Most direct evidence here</w:t>
            </w:r>
          </w:p>
        </w:tc>
        <w:tc>
          <w:tcPr>
            <w:tcW w:w="3120" w:type="dxa"/>
            <w:shd w:val="clear" w:color="auto" w:fill="EAF3F3"/>
            <w:tcMar>
              <w:top w:w="105" w:type="dxa"/>
              <w:left w:w="125" w:type="dxa"/>
              <w:bottom w:w="105" w:type="dxa"/>
              <w:right w:w="125" w:type="dxa"/>
            </w:tcMar>
          </w:tcPr>
          <w:p w14:paraId="67A51CFE" w14:textId="77777777" w:rsidR="00490FC3" w:rsidRDefault="00DA557E">
            <w:pPr>
              <w:spacing w:after="50" w:line="255" w:lineRule="auto"/>
            </w:pPr>
            <w:r>
              <w:rPr>
                <w:b/>
                <w:bCs/>
                <w:color w:val="173B4C"/>
                <w:sz w:val="19"/>
                <w:szCs w:val="19"/>
              </w:rPr>
              <w:t>Remaining distinction</w:t>
            </w:r>
          </w:p>
        </w:tc>
      </w:tr>
      <w:tr w:rsidR="00490FC3" w14:paraId="0721E777" w14:textId="77777777">
        <w:tblPrEx>
          <w:tblCellMar>
            <w:top w:w="0" w:type="dxa"/>
            <w:bottom w:w="0" w:type="dxa"/>
          </w:tblCellMar>
        </w:tblPrEx>
        <w:trPr>
          <w:cantSplit/>
        </w:trPr>
        <w:tc>
          <w:tcPr>
            <w:tcW w:w="3120" w:type="dxa"/>
            <w:tcMar>
              <w:top w:w="105" w:type="dxa"/>
              <w:left w:w="125" w:type="dxa"/>
              <w:bottom w:w="105" w:type="dxa"/>
              <w:right w:w="125" w:type="dxa"/>
            </w:tcMar>
          </w:tcPr>
          <w:p w14:paraId="3750148D" w14:textId="77777777" w:rsidR="00490FC3" w:rsidRDefault="00DA557E">
            <w:pPr>
              <w:spacing w:after="50" w:line="255" w:lineRule="auto"/>
            </w:pPr>
            <w:r>
              <w:rPr>
                <w:sz w:val="19"/>
                <w:szCs w:val="19"/>
              </w:rPr>
              <w:t>How is a chemical mark recognized?</w:t>
            </w:r>
          </w:p>
        </w:tc>
        <w:tc>
          <w:tcPr>
            <w:tcW w:w="3120" w:type="dxa"/>
            <w:tcMar>
              <w:top w:w="105" w:type="dxa"/>
              <w:left w:w="125" w:type="dxa"/>
              <w:bottom w:w="105" w:type="dxa"/>
              <w:right w:w="125" w:type="dxa"/>
            </w:tcMar>
          </w:tcPr>
          <w:p w14:paraId="16313207" w14:textId="77777777" w:rsidR="00490FC3" w:rsidRDefault="00DA557E">
            <w:pPr>
              <w:spacing w:after="50" w:line="255" w:lineRule="auto"/>
            </w:pPr>
            <w:r>
              <w:rPr>
                <w:sz w:val="19"/>
                <w:szCs w:val="19"/>
              </w:rPr>
              <w:t>Methylated-peptide binding, domain mutants and cellular catalytic rescue.</w:t>
            </w:r>
          </w:p>
        </w:tc>
        <w:tc>
          <w:tcPr>
            <w:tcW w:w="3120" w:type="dxa"/>
            <w:tcMar>
              <w:top w:w="105" w:type="dxa"/>
              <w:left w:w="125" w:type="dxa"/>
              <w:bottom w:w="105" w:type="dxa"/>
              <w:right w:w="125" w:type="dxa"/>
            </w:tcMar>
          </w:tcPr>
          <w:p w14:paraId="7858F0FC" w14:textId="61099993" w:rsidR="00490FC3" w:rsidRDefault="00DA557E">
            <w:pPr>
              <w:spacing w:after="50" w:line="255" w:lineRule="auto"/>
            </w:pPr>
            <w:r>
              <w:rPr>
                <w:sz w:val="19"/>
                <w:szCs w:val="19"/>
              </w:rPr>
              <w:t>Recognition is a step in repression, not the entire domain mechanism.</w:t>
            </w:r>
            <w:hyperlink r:id="rId62" w:history="1">
              <w:r>
                <w:rPr>
                  <w:color w:val="087B78"/>
                  <w:sz w:val="18"/>
                  <w:szCs w:val="18"/>
                </w:rPr>
                <w:t xml:space="preserve"> [10]</w:t>
              </w:r>
            </w:hyperlink>
            <w:hyperlink r:id="rId63" w:history="1">
              <w:r>
                <w:rPr>
                  <w:color w:val="087B78"/>
                  <w:sz w:val="18"/>
                  <w:szCs w:val="18"/>
                </w:rPr>
                <w:t xml:space="preserve"> [11]</w:t>
              </w:r>
            </w:hyperlink>
          </w:p>
        </w:tc>
      </w:tr>
      <w:tr w:rsidR="00490FC3" w14:paraId="3860E636" w14:textId="77777777">
        <w:tblPrEx>
          <w:tblCellMar>
            <w:top w:w="0" w:type="dxa"/>
            <w:bottom w:w="0" w:type="dxa"/>
          </w:tblCellMar>
        </w:tblPrEx>
        <w:trPr>
          <w:cantSplit/>
        </w:trPr>
        <w:tc>
          <w:tcPr>
            <w:tcW w:w="3120" w:type="dxa"/>
            <w:tcMar>
              <w:top w:w="105" w:type="dxa"/>
              <w:left w:w="125" w:type="dxa"/>
              <w:bottom w:w="105" w:type="dxa"/>
              <w:right w:w="125" w:type="dxa"/>
            </w:tcMar>
          </w:tcPr>
          <w:p w14:paraId="3AB973B5" w14:textId="77777777" w:rsidR="00490FC3" w:rsidRDefault="00DA557E">
            <w:pPr>
              <w:spacing w:after="50" w:line="255" w:lineRule="auto"/>
            </w:pPr>
            <w:r>
              <w:rPr>
                <w:sz w:val="19"/>
                <w:szCs w:val="19"/>
              </w:rPr>
              <w:t>How can a mark propagate?</w:t>
            </w:r>
          </w:p>
        </w:tc>
        <w:tc>
          <w:tcPr>
            <w:tcW w:w="3120" w:type="dxa"/>
            <w:tcMar>
              <w:top w:w="105" w:type="dxa"/>
              <w:left w:w="125" w:type="dxa"/>
              <w:bottom w:w="105" w:type="dxa"/>
              <w:right w:w="125" w:type="dxa"/>
            </w:tcMar>
          </w:tcPr>
          <w:p w14:paraId="7798B86C" w14:textId="77777777" w:rsidR="00490FC3" w:rsidRDefault="00DA557E">
            <w:pPr>
              <w:spacing w:after="50" w:line="255" w:lineRule="auto"/>
            </w:pPr>
            <w:r>
              <w:rPr>
                <w:sz w:val="19"/>
                <w:szCs w:val="19"/>
              </w:rPr>
              <w:t>EED-dependent allosteric PRC2 activation and histone-labeling kinetics.</w:t>
            </w:r>
          </w:p>
        </w:tc>
        <w:tc>
          <w:tcPr>
            <w:tcW w:w="3120" w:type="dxa"/>
            <w:tcMar>
              <w:top w:w="105" w:type="dxa"/>
              <w:left w:w="125" w:type="dxa"/>
              <w:bottom w:w="105" w:type="dxa"/>
              <w:right w:w="125" w:type="dxa"/>
            </w:tcMar>
          </w:tcPr>
          <w:p w14:paraId="38E806FD" w14:textId="227DCE4C" w:rsidR="00490FC3" w:rsidRDefault="00DA557E">
            <w:pPr>
              <w:spacing w:after="50" w:line="255" w:lineRule="auto"/>
            </w:pPr>
            <w:r>
              <w:rPr>
                <w:sz w:val="19"/>
                <w:szCs w:val="19"/>
              </w:rPr>
              <w:t>Biochemical feedback, genomic placement and inherited function are separate layers.</w:t>
            </w:r>
            <w:hyperlink r:id="rId64" w:history="1">
              <w:r>
                <w:rPr>
                  <w:color w:val="087B78"/>
                  <w:sz w:val="18"/>
                  <w:szCs w:val="18"/>
                </w:rPr>
                <w:t xml:space="preserve"> [12]</w:t>
              </w:r>
            </w:hyperlink>
            <w:hyperlink r:id="rId65" w:history="1">
              <w:r>
                <w:rPr>
                  <w:color w:val="087B78"/>
                  <w:sz w:val="18"/>
                  <w:szCs w:val="18"/>
                </w:rPr>
                <w:t xml:space="preserve"> [15]</w:t>
              </w:r>
            </w:hyperlink>
          </w:p>
        </w:tc>
      </w:tr>
      <w:tr w:rsidR="00490FC3" w14:paraId="43FF3D91" w14:textId="77777777">
        <w:tblPrEx>
          <w:tblCellMar>
            <w:top w:w="0" w:type="dxa"/>
            <w:bottom w:w="0" w:type="dxa"/>
          </w:tblCellMar>
        </w:tblPrEx>
        <w:trPr>
          <w:cantSplit/>
        </w:trPr>
        <w:tc>
          <w:tcPr>
            <w:tcW w:w="3120" w:type="dxa"/>
            <w:tcMar>
              <w:top w:w="105" w:type="dxa"/>
              <w:left w:w="125" w:type="dxa"/>
              <w:bottom w:w="105" w:type="dxa"/>
              <w:right w:w="125" w:type="dxa"/>
            </w:tcMar>
          </w:tcPr>
          <w:p w14:paraId="786C7856" w14:textId="77777777" w:rsidR="00490FC3" w:rsidRDefault="00DA557E">
            <w:pPr>
              <w:spacing w:after="50" w:line="255" w:lineRule="auto"/>
            </w:pPr>
            <w:r>
              <w:rPr>
                <w:sz w:val="19"/>
                <w:szCs w:val="19"/>
              </w:rPr>
              <w:t>How stable are H3K9me3 domains?</w:t>
            </w:r>
          </w:p>
        </w:tc>
        <w:tc>
          <w:tcPr>
            <w:tcW w:w="3120" w:type="dxa"/>
            <w:tcMar>
              <w:top w:w="105" w:type="dxa"/>
              <w:left w:w="125" w:type="dxa"/>
              <w:bottom w:w="105" w:type="dxa"/>
              <w:right w:w="125" w:type="dxa"/>
            </w:tcMar>
          </w:tcPr>
          <w:p w14:paraId="74516975" w14:textId="77777777" w:rsidR="00490FC3" w:rsidRDefault="00DA557E">
            <w:pPr>
              <w:spacing w:after="50" w:line="255" w:lineRule="auto"/>
            </w:pPr>
            <w:r>
              <w:rPr>
                <w:sz w:val="19"/>
                <w:szCs w:val="19"/>
              </w:rPr>
              <w:t>Acute methyltransferase depletion with regional decay classes and HP1 thresholds.</w:t>
            </w:r>
          </w:p>
        </w:tc>
        <w:tc>
          <w:tcPr>
            <w:tcW w:w="3120" w:type="dxa"/>
            <w:tcMar>
              <w:top w:w="105" w:type="dxa"/>
              <w:left w:w="125" w:type="dxa"/>
              <w:bottom w:w="105" w:type="dxa"/>
              <w:right w:w="125" w:type="dxa"/>
            </w:tcMar>
          </w:tcPr>
          <w:p w14:paraId="7247B532" w14:textId="315BB108" w:rsidR="00490FC3" w:rsidRDefault="00DA557E">
            <w:pPr>
              <w:spacing w:after="50" w:line="255" w:lineRule="auto"/>
            </w:pPr>
            <w:r>
              <w:rPr>
                <w:sz w:val="19"/>
                <w:szCs w:val="19"/>
              </w:rPr>
              <w:t>Pluripotent-cell results do not specify lifetimes in all mature tissues.</w:t>
            </w:r>
            <w:hyperlink r:id="rId66" w:history="1">
              <w:r>
                <w:rPr>
                  <w:color w:val="087B78"/>
                  <w:sz w:val="18"/>
                  <w:szCs w:val="18"/>
                </w:rPr>
                <w:t xml:space="preserve"> [14]</w:t>
              </w:r>
            </w:hyperlink>
          </w:p>
        </w:tc>
      </w:tr>
      <w:tr w:rsidR="00490FC3" w14:paraId="252DFBDD" w14:textId="77777777">
        <w:tblPrEx>
          <w:tblCellMar>
            <w:top w:w="0" w:type="dxa"/>
            <w:bottom w:w="0" w:type="dxa"/>
          </w:tblCellMar>
        </w:tblPrEx>
        <w:trPr>
          <w:cantSplit/>
        </w:trPr>
        <w:tc>
          <w:tcPr>
            <w:tcW w:w="3120" w:type="dxa"/>
            <w:tcMar>
              <w:top w:w="105" w:type="dxa"/>
              <w:left w:w="125" w:type="dxa"/>
              <w:bottom w:w="105" w:type="dxa"/>
              <w:right w:w="125" w:type="dxa"/>
            </w:tcMar>
          </w:tcPr>
          <w:p w14:paraId="31E9CE00" w14:textId="77777777" w:rsidR="00490FC3" w:rsidRDefault="00DA557E">
            <w:pPr>
              <w:spacing w:after="50" w:line="255" w:lineRule="auto"/>
            </w:pPr>
            <w:r>
              <w:rPr>
                <w:sz w:val="19"/>
                <w:szCs w:val="19"/>
              </w:rPr>
              <w:t>What material mechanism is supported?</w:t>
            </w:r>
          </w:p>
        </w:tc>
        <w:tc>
          <w:tcPr>
            <w:tcW w:w="3120" w:type="dxa"/>
            <w:tcMar>
              <w:top w:w="105" w:type="dxa"/>
              <w:left w:w="125" w:type="dxa"/>
              <w:bottom w:w="105" w:type="dxa"/>
              <w:right w:w="125" w:type="dxa"/>
            </w:tcMar>
          </w:tcPr>
          <w:p w14:paraId="7190A62C" w14:textId="77777777" w:rsidR="00490FC3" w:rsidRDefault="00DA557E">
            <w:pPr>
              <w:spacing w:after="50" w:line="255" w:lineRule="auto"/>
            </w:pPr>
            <w:r>
              <w:rPr>
                <w:sz w:val="19"/>
                <w:szCs w:val="19"/>
              </w:rPr>
              <w:t>Array/HP1 reconstitution, chromocenter transport and matched homolog comparisons.</w:t>
            </w:r>
          </w:p>
        </w:tc>
        <w:tc>
          <w:tcPr>
            <w:tcW w:w="3120" w:type="dxa"/>
            <w:tcMar>
              <w:top w:w="105" w:type="dxa"/>
              <w:left w:w="125" w:type="dxa"/>
              <w:bottom w:w="105" w:type="dxa"/>
              <w:right w:w="125" w:type="dxa"/>
            </w:tcMar>
          </w:tcPr>
          <w:p w14:paraId="5543CD76" w14:textId="5AC9FAD5" w:rsidR="00490FC3" w:rsidRDefault="00DA557E">
            <w:pPr>
              <w:spacing w:after="50" w:line="255" w:lineRule="auto"/>
            </w:pPr>
            <w:r>
              <w:rPr>
                <w:sz w:val="19"/>
                <w:szCs w:val="19"/>
              </w:rPr>
              <w:t>Capacity, cellular necessity and species context must be distinguished.</w:t>
            </w:r>
            <w:hyperlink r:id="rId67" w:history="1">
              <w:r>
                <w:rPr>
                  <w:color w:val="087B78"/>
                  <w:sz w:val="18"/>
                  <w:szCs w:val="18"/>
                </w:rPr>
                <w:t xml:space="preserve"> [1]</w:t>
              </w:r>
            </w:hyperlink>
            <w:hyperlink r:id="rId68" w:history="1">
              <w:r>
                <w:rPr>
                  <w:color w:val="087B78"/>
                  <w:sz w:val="18"/>
                  <w:szCs w:val="18"/>
                </w:rPr>
                <w:t xml:space="preserve"> [2]</w:t>
              </w:r>
            </w:hyperlink>
            <w:hyperlink r:id="rId69" w:history="1">
              <w:r>
                <w:rPr>
                  <w:color w:val="087B78"/>
                  <w:sz w:val="18"/>
                  <w:szCs w:val="18"/>
                </w:rPr>
                <w:t xml:space="preserve"> [9]</w:t>
              </w:r>
            </w:hyperlink>
          </w:p>
        </w:tc>
      </w:tr>
      <w:tr w:rsidR="00490FC3" w14:paraId="01B4C78F" w14:textId="77777777">
        <w:tblPrEx>
          <w:tblCellMar>
            <w:top w:w="0" w:type="dxa"/>
            <w:bottom w:w="0" w:type="dxa"/>
          </w:tblCellMar>
        </w:tblPrEx>
        <w:trPr>
          <w:cantSplit/>
        </w:trPr>
        <w:tc>
          <w:tcPr>
            <w:tcW w:w="3120" w:type="dxa"/>
            <w:tcMar>
              <w:top w:w="105" w:type="dxa"/>
              <w:left w:w="125" w:type="dxa"/>
              <w:bottom w:w="105" w:type="dxa"/>
              <w:right w:w="125" w:type="dxa"/>
            </w:tcMar>
          </w:tcPr>
          <w:p w14:paraId="70241883" w14:textId="77777777" w:rsidR="00490FC3" w:rsidRDefault="00DA557E">
            <w:pPr>
              <w:spacing w:after="50" w:line="255" w:lineRule="auto"/>
            </w:pPr>
            <w:r>
              <w:rPr>
                <w:sz w:val="19"/>
                <w:szCs w:val="19"/>
              </w:rPr>
              <w:t>How are nucleosomes packed natively?</w:t>
            </w:r>
          </w:p>
        </w:tc>
        <w:tc>
          <w:tcPr>
            <w:tcW w:w="3120" w:type="dxa"/>
            <w:tcMar>
              <w:top w:w="105" w:type="dxa"/>
              <w:left w:w="125" w:type="dxa"/>
              <w:bottom w:w="105" w:type="dxa"/>
              <w:right w:w="125" w:type="dxa"/>
            </w:tcMar>
          </w:tcPr>
          <w:p w14:paraId="33CD4184" w14:textId="77777777" w:rsidR="00490FC3" w:rsidRDefault="00DA557E">
            <w:pPr>
              <w:spacing w:after="50" w:line="255" w:lineRule="auto"/>
            </w:pPr>
            <w:r>
              <w:rPr>
                <w:sz w:val="19"/>
                <w:szCs w:val="19"/>
              </w:rPr>
              <w:t>Cryo-ET in cell-line and primary resting-cell peripheral material.</w:t>
            </w:r>
          </w:p>
        </w:tc>
        <w:tc>
          <w:tcPr>
            <w:tcW w:w="3120" w:type="dxa"/>
            <w:tcMar>
              <w:top w:w="105" w:type="dxa"/>
              <w:left w:w="125" w:type="dxa"/>
              <w:bottom w:w="105" w:type="dxa"/>
              <w:right w:w="125" w:type="dxa"/>
            </w:tcMar>
          </w:tcPr>
          <w:p w14:paraId="64573C64" w14:textId="4893D90F" w:rsidR="00490FC3" w:rsidRDefault="00DA557E">
            <w:pPr>
              <w:spacing w:after="50" w:line="255" w:lineRule="auto"/>
            </w:pPr>
            <w:r>
              <w:rPr>
                <w:sz w:val="19"/>
                <w:szCs w:val="19"/>
              </w:rPr>
              <w:t>Local structural order is not a complete genomic topology.</w:t>
            </w:r>
            <w:hyperlink r:id="rId70" w:history="1">
              <w:r>
                <w:rPr>
                  <w:color w:val="087B78"/>
                  <w:sz w:val="18"/>
                  <w:szCs w:val="18"/>
                </w:rPr>
                <w:t xml:space="preserve"> [3]</w:t>
              </w:r>
            </w:hyperlink>
            <w:hyperlink r:id="rId71" w:history="1">
              <w:r>
                <w:rPr>
                  <w:color w:val="087B78"/>
                  <w:sz w:val="18"/>
                  <w:szCs w:val="18"/>
                </w:rPr>
                <w:t xml:space="preserve"> [4]</w:t>
              </w:r>
            </w:hyperlink>
          </w:p>
        </w:tc>
      </w:tr>
    </w:tbl>
    <w:p w14:paraId="0F587CC3" w14:textId="77777777" w:rsidR="00490FC3" w:rsidRDefault="00490FC3">
      <w:pPr>
        <w:spacing w:after="170"/>
      </w:pPr>
    </w:p>
    <w:p w14:paraId="50B70714" w14:textId="6260FC68" w:rsidR="00490FC3" w:rsidRDefault="00DA557E">
      <w:r>
        <w:t>Finally, physical imaging and genomic chemistry should be aligned when interpreting a domain boundary. Native cryo-ET resolves nucleosome contacts in selected cellular volumes, while the methyltransferase perturbation measures genomic and molecular-state changes. Neither alone identifies the entire physical and regulatory state of every imaged particle. A current integrated test would connect a known genomic region to the imaged material and then examine its response to the same controlled perturbation.</w:t>
      </w:r>
      <w:hyperlink r:id="rId72" w:history="1">
        <w:r>
          <w:rPr>
            <w:color w:val="087B78"/>
            <w:sz w:val="18"/>
            <w:szCs w:val="18"/>
          </w:rPr>
          <w:t xml:space="preserve"> [4]</w:t>
        </w:r>
      </w:hyperlink>
      <w:hyperlink r:id="rId73" w:history="1">
        <w:r>
          <w:rPr>
            <w:color w:val="087B78"/>
            <w:sz w:val="18"/>
            <w:szCs w:val="18"/>
          </w:rPr>
          <w:t xml:space="preserve"> [3]</w:t>
        </w:r>
      </w:hyperlink>
      <w:hyperlink r:id="rId74" w:history="1">
        <w:r>
          <w:rPr>
            <w:color w:val="087B78"/>
            <w:sz w:val="18"/>
            <w:szCs w:val="18"/>
          </w:rPr>
          <w:t xml:space="preserve"> [14]</w:t>
        </w:r>
      </w:hyperlink>
    </w:p>
    <w:p w14:paraId="18976AA0" w14:textId="77777777" w:rsidR="00490FC3" w:rsidRDefault="00DA557E">
      <w:pPr>
        <w:pStyle w:val="Heading1"/>
      </w:pPr>
      <w:bookmarkStart w:id="10" w:name="_Toc242668354"/>
      <w:r>
        <w:t>10. Synthesis</w:t>
      </w:r>
      <w:bookmarkEnd w:id="10"/>
    </w:p>
    <w:p w14:paraId="03E2463C" w14:textId="642D802C" w:rsidR="00490FC3" w:rsidRDefault="00DA557E">
      <w:r>
        <w:t xml:space="preserve">Heterochromatin is maintained through specific molecular recognition and regulated reconstruction, with heterogeneous kinetics and physical organization. Its current description includes repressive chemistry, reader and writer networks, histone recycling, local packing and domain-specific transport. Recent primary work sharpens these relationships while exposing the limits of universal marks, universal liquid phases and fixed structural hierarchies. The next mechanistic advance will connect these layers in </w:t>
      </w:r>
      <w:r>
        <w:t>the same defined domain and cellular state.</w:t>
      </w:r>
      <w:hyperlink r:id="rId75" w:history="1">
        <w:r>
          <w:rPr>
            <w:color w:val="087B78"/>
            <w:sz w:val="18"/>
            <w:szCs w:val="18"/>
          </w:rPr>
          <w:t xml:space="preserve"> [10]</w:t>
        </w:r>
      </w:hyperlink>
      <w:hyperlink r:id="rId76" w:history="1">
        <w:r>
          <w:rPr>
            <w:color w:val="087B78"/>
            <w:sz w:val="18"/>
            <w:szCs w:val="18"/>
          </w:rPr>
          <w:t xml:space="preserve"> [12]</w:t>
        </w:r>
      </w:hyperlink>
      <w:hyperlink r:id="rId77" w:history="1">
        <w:r>
          <w:rPr>
            <w:color w:val="087B78"/>
            <w:sz w:val="18"/>
            <w:szCs w:val="18"/>
          </w:rPr>
          <w:t xml:space="preserve"> [17]</w:t>
        </w:r>
      </w:hyperlink>
      <w:hyperlink r:id="rId78" w:history="1">
        <w:r>
          <w:rPr>
            <w:color w:val="087B78"/>
            <w:sz w:val="18"/>
            <w:szCs w:val="18"/>
          </w:rPr>
          <w:t xml:space="preserve"> [14]</w:t>
        </w:r>
      </w:hyperlink>
      <w:hyperlink r:id="rId79" w:history="1">
        <w:r>
          <w:rPr>
            <w:color w:val="087B78"/>
            <w:sz w:val="18"/>
            <w:szCs w:val="18"/>
          </w:rPr>
          <w:t xml:space="preserve"> [9]</w:t>
        </w:r>
      </w:hyperlink>
      <w:hyperlink r:id="rId80" w:history="1">
        <w:r>
          <w:rPr>
            <w:color w:val="087B78"/>
            <w:sz w:val="18"/>
            <w:szCs w:val="18"/>
          </w:rPr>
          <w:t xml:space="preserve"> [4]</w:t>
        </w:r>
      </w:hyperlink>
    </w:p>
    <w:p w14:paraId="1AAD1190" w14:textId="77777777" w:rsidR="00490FC3" w:rsidRDefault="00DA557E">
      <w:pPr>
        <w:pStyle w:val="Heading1"/>
      </w:pPr>
      <w:bookmarkStart w:id="11" w:name="_Toc242668355"/>
      <w:r>
        <w:t>References</w:t>
      </w:r>
      <w:bookmarkEnd w:id="11"/>
    </w:p>
    <w:p w14:paraId="7C8789C4" w14:textId="14E56A30" w:rsidR="00490FC3" w:rsidRDefault="00DA557E">
      <w:pPr>
        <w:keepLines/>
        <w:spacing w:after="90" w:line="245" w:lineRule="auto"/>
      </w:pPr>
      <w:r>
        <w:rPr>
          <w:b/>
          <w:bCs/>
          <w:sz w:val="20"/>
          <w:szCs w:val="20"/>
        </w:rPr>
        <w:t xml:space="preserve">[1] Gibson BA, Doolittle LK, Schneider MWG, et al. (2019). </w:t>
      </w:r>
      <w:r>
        <w:rPr>
          <w:sz w:val="20"/>
          <w:szCs w:val="20"/>
        </w:rPr>
        <w:t xml:space="preserve">Organization of Chromatin by Intrinsic and Regulated Phase Separation. Cell 179:470–484.e21. </w:t>
      </w:r>
      <w:hyperlink r:id="rId81" w:history="1">
        <w:r>
          <w:rPr>
            <w:color w:val="087B78"/>
            <w:sz w:val="20"/>
            <w:szCs w:val="20"/>
            <w:u w:val="single"/>
          </w:rPr>
          <w:t>10.1016/j.cell.2019.08.037</w:t>
        </w:r>
      </w:hyperlink>
    </w:p>
    <w:p w14:paraId="76BD16D7" w14:textId="43282ABB" w:rsidR="00490FC3" w:rsidRDefault="00DA557E">
      <w:pPr>
        <w:keepLines/>
        <w:spacing w:after="90" w:line="245" w:lineRule="auto"/>
      </w:pPr>
      <w:r>
        <w:rPr>
          <w:b/>
          <w:bCs/>
          <w:sz w:val="20"/>
          <w:szCs w:val="20"/>
        </w:rPr>
        <w:lastRenderedPageBreak/>
        <w:t xml:space="preserve">[2] Erdel F, Rademacher A, Vlijm R, et al. (2020). </w:t>
      </w:r>
      <w:r>
        <w:rPr>
          <w:sz w:val="20"/>
          <w:szCs w:val="20"/>
        </w:rPr>
        <w:t xml:space="preserve">Mouse Heterochromatin Adopts Digital Compaction States without Showing Hallmarks of HP1-Driven Liquid-Liquid Phase Separation. Molecular Cell 78:236–249.e7. </w:t>
      </w:r>
      <w:hyperlink r:id="rId82" w:history="1">
        <w:r>
          <w:rPr>
            <w:color w:val="087B78"/>
            <w:sz w:val="20"/>
            <w:szCs w:val="20"/>
            <w:u w:val="single"/>
          </w:rPr>
          <w:t>10.1016/j.molcel.2020.02.005</w:t>
        </w:r>
      </w:hyperlink>
    </w:p>
    <w:p w14:paraId="4F223303" w14:textId="41ED777F" w:rsidR="00490FC3" w:rsidRDefault="00DA557E">
      <w:pPr>
        <w:keepLines/>
        <w:spacing w:after="90" w:line="245" w:lineRule="auto"/>
      </w:pPr>
      <w:r>
        <w:rPr>
          <w:b/>
          <w:bCs/>
          <w:sz w:val="20"/>
          <w:szCs w:val="20"/>
        </w:rPr>
        <w:t xml:space="preserve">[3] Hou Z, Nightingale F, Zhu Y, MacGregor-Chatwin C, Zhang P (2023). </w:t>
      </w:r>
      <w:r>
        <w:rPr>
          <w:sz w:val="20"/>
          <w:szCs w:val="20"/>
        </w:rPr>
        <w:t xml:space="preserve">Structure of native chromatin fibres revealed by Cryo-ET in situ. Nature Communications 14:6324. </w:t>
      </w:r>
      <w:hyperlink r:id="rId83" w:history="1">
        <w:r>
          <w:rPr>
            <w:color w:val="087B78"/>
            <w:sz w:val="20"/>
            <w:szCs w:val="20"/>
            <w:u w:val="single"/>
          </w:rPr>
          <w:t>10.1038/s41467-023-42072-1</w:t>
        </w:r>
      </w:hyperlink>
    </w:p>
    <w:p w14:paraId="6E0BCC22" w14:textId="10DBD914" w:rsidR="00490FC3" w:rsidRDefault="00DA557E">
      <w:pPr>
        <w:keepLines/>
        <w:spacing w:after="90" w:line="245" w:lineRule="auto"/>
      </w:pPr>
      <w:r>
        <w:rPr>
          <w:b/>
          <w:bCs/>
          <w:sz w:val="20"/>
          <w:szCs w:val="20"/>
        </w:rPr>
        <w:t xml:space="preserve">[4] Kreysing JP, Cruz-León S, Betz J, et al. (2026). </w:t>
      </w:r>
      <w:r>
        <w:rPr>
          <w:sz w:val="20"/>
          <w:szCs w:val="20"/>
        </w:rPr>
        <w:t xml:space="preserve">Molecular architecture of heterochromatin at the nuclear periphery of primary human cells. Nature Communications 17:5844. </w:t>
      </w:r>
      <w:hyperlink r:id="rId84" w:history="1">
        <w:r>
          <w:rPr>
            <w:color w:val="087B78"/>
            <w:sz w:val="20"/>
            <w:szCs w:val="20"/>
            <w:u w:val="single"/>
          </w:rPr>
          <w:t>10.1038/s41467-026-75087-5</w:t>
        </w:r>
      </w:hyperlink>
    </w:p>
    <w:p w14:paraId="55A33095" w14:textId="38578778" w:rsidR="00490FC3" w:rsidRDefault="00DA557E">
      <w:pPr>
        <w:keepLines/>
        <w:spacing w:after="90" w:line="245" w:lineRule="auto"/>
      </w:pPr>
      <w:r>
        <w:rPr>
          <w:b/>
          <w:bCs/>
          <w:sz w:val="20"/>
          <w:szCs w:val="20"/>
        </w:rPr>
        <w:t xml:space="preserve">[5] Xie H, Hu Y, Cheng R, et al. (2026). </w:t>
      </w:r>
      <w:r>
        <w:rPr>
          <w:sz w:val="20"/>
          <w:szCs w:val="20"/>
        </w:rPr>
        <w:t xml:space="preserve">MINFLUX dissects nucleosome and compacting chromatin structures in living cells. National Science Review 13:nwaf451; online 21 October 2025. </w:t>
      </w:r>
      <w:hyperlink r:id="rId85" w:history="1">
        <w:r>
          <w:rPr>
            <w:color w:val="087B78"/>
            <w:sz w:val="20"/>
            <w:szCs w:val="20"/>
            <w:u w:val="single"/>
          </w:rPr>
          <w:t>10.1093/nsr/nwaf451</w:t>
        </w:r>
      </w:hyperlink>
    </w:p>
    <w:p w14:paraId="708BA442" w14:textId="1E4FC89E" w:rsidR="00490FC3" w:rsidRDefault="00DA557E">
      <w:pPr>
        <w:keepLines/>
        <w:spacing w:after="90" w:line="245" w:lineRule="auto"/>
      </w:pPr>
      <w:r>
        <w:rPr>
          <w:b/>
          <w:bCs/>
          <w:sz w:val="20"/>
          <w:szCs w:val="20"/>
        </w:rPr>
        <w:t xml:space="preserve">[6] Brackley CA, Taylor S, Papantonis A, Cook PR, Marenduzzo D (2013). </w:t>
      </w:r>
      <w:r>
        <w:rPr>
          <w:sz w:val="20"/>
          <w:szCs w:val="20"/>
        </w:rPr>
        <w:t xml:space="preserve">Nonspecific bridging-induced attraction drives clustering of DNA-binding proteins and genome organization. PNAS 110:E3605–E3611. </w:t>
      </w:r>
      <w:hyperlink r:id="rId86" w:history="1">
        <w:r>
          <w:rPr>
            <w:color w:val="087B78"/>
            <w:sz w:val="20"/>
            <w:szCs w:val="20"/>
            <w:u w:val="single"/>
          </w:rPr>
          <w:t>10.1073/pnas.1302950110</w:t>
        </w:r>
      </w:hyperlink>
    </w:p>
    <w:p w14:paraId="382979E7" w14:textId="4C04E79C" w:rsidR="00490FC3" w:rsidRDefault="00DA557E">
      <w:pPr>
        <w:keepLines/>
        <w:spacing w:after="90" w:line="245" w:lineRule="auto"/>
      </w:pPr>
      <w:r>
        <w:rPr>
          <w:b/>
          <w:bCs/>
          <w:sz w:val="20"/>
          <w:szCs w:val="20"/>
        </w:rPr>
        <w:t xml:space="preserve">[7] Larson AG, Elnatan D, Keenen MM, et al. (2017). </w:t>
      </w:r>
      <w:r>
        <w:rPr>
          <w:sz w:val="20"/>
          <w:szCs w:val="20"/>
        </w:rPr>
        <w:t xml:space="preserve">Liquid droplet formation by HP1α suggests a role for phase separation in heterochromatin. Nature 547:236–240. </w:t>
      </w:r>
      <w:hyperlink r:id="rId87" w:history="1">
        <w:r>
          <w:rPr>
            <w:color w:val="087B78"/>
            <w:sz w:val="20"/>
            <w:szCs w:val="20"/>
            <w:u w:val="single"/>
          </w:rPr>
          <w:t>10.1038/nature22822</w:t>
        </w:r>
      </w:hyperlink>
    </w:p>
    <w:p w14:paraId="2A366B8F" w14:textId="027A3F8A" w:rsidR="00490FC3" w:rsidRDefault="00DA557E">
      <w:pPr>
        <w:keepLines/>
        <w:spacing w:after="90" w:line="245" w:lineRule="auto"/>
      </w:pPr>
      <w:r>
        <w:rPr>
          <w:b/>
          <w:bCs/>
          <w:sz w:val="20"/>
          <w:szCs w:val="20"/>
        </w:rPr>
        <w:t xml:space="preserve">[8] Strom AR, Emelyanov AV, Mir M, et al. (2017). </w:t>
      </w:r>
      <w:r>
        <w:rPr>
          <w:sz w:val="20"/>
          <w:szCs w:val="20"/>
        </w:rPr>
        <w:t xml:space="preserve">Phase separation drives heterochromatin domain formation. Nature 547:241–245. </w:t>
      </w:r>
      <w:hyperlink r:id="rId88" w:history="1">
        <w:r>
          <w:rPr>
            <w:color w:val="087B78"/>
            <w:sz w:val="20"/>
            <w:szCs w:val="20"/>
            <w:u w:val="single"/>
          </w:rPr>
          <w:t>10.1038/nature22989</w:t>
        </w:r>
      </w:hyperlink>
    </w:p>
    <w:p w14:paraId="04C92239" w14:textId="1B32087E" w:rsidR="00490FC3" w:rsidRDefault="00DA557E">
      <w:pPr>
        <w:keepLines/>
        <w:spacing w:after="90" w:line="245" w:lineRule="auto"/>
      </w:pPr>
      <w:r>
        <w:rPr>
          <w:b/>
          <w:bCs/>
          <w:sz w:val="20"/>
          <w:szCs w:val="20"/>
        </w:rPr>
        <w:t xml:space="preserve">[9] Bensaha S, Lewandowska D, Muzzopappa F, et al. (2025). </w:t>
      </w:r>
      <w:r>
        <w:rPr>
          <w:sz w:val="20"/>
          <w:szCs w:val="20"/>
        </w:rPr>
        <w:t xml:space="preserve">HP1 loses its chromatin clustering and phase separation function across evolution. Nature Communications 16:6375. </w:t>
      </w:r>
      <w:hyperlink r:id="rId89" w:history="1">
        <w:r>
          <w:rPr>
            <w:color w:val="087B78"/>
            <w:sz w:val="20"/>
            <w:szCs w:val="20"/>
            <w:u w:val="single"/>
          </w:rPr>
          <w:t>10.1038/s41467-025-61749-3</w:t>
        </w:r>
      </w:hyperlink>
    </w:p>
    <w:p w14:paraId="33328CF2" w14:textId="67903569" w:rsidR="00490FC3" w:rsidRDefault="00DA557E">
      <w:pPr>
        <w:keepLines/>
        <w:spacing w:after="90" w:line="245" w:lineRule="auto"/>
      </w:pPr>
      <w:r>
        <w:rPr>
          <w:b/>
          <w:bCs/>
          <w:sz w:val="20"/>
          <w:szCs w:val="20"/>
        </w:rPr>
        <w:t xml:space="preserve">[10] Lachner M, O’Carroll D, Rea S, Mechtler K, Jenuwein T (2001). </w:t>
      </w:r>
      <w:r>
        <w:rPr>
          <w:sz w:val="20"/>
          <w:szCs w:val="20"/>
        </w:rPr>
        <w:t xml:space="preserve">Methylation of histone H3 lysine 9 creates a binding site for HP1 proteins. Nature 410:116–120. </w:t>
      </w:r>
      <w:hyperlink r:id="rId90" w:history="1">
        <w:r>
          <w:rPr>
            <w:color w:val="087B78"/>
            <w:sz w:val="20"/>
            <w:szCs w:val="20"/>
            <w:u w:val="single"/>
          </w:rPr>
          <w:t>10.1038/35065132</w:t>
        </w:r>
      </w:hyperlink>
    </w:p>
    <w:p w14:paraId="3555E825" w14:textId="0A293861" w:rsidR="00490FC3" w:rsidRDefault="00DA557E">
      <w:pPr>
        <w:keepLines/>
        <w:spacing w:after="90" w:line="245" w:lineRule="auto"/>
      </w:pPr>
      <w:r>
        <w:rPr>
          <w:b/>
          <w:bCs/>
          <w:sz w:val="20"/>
          <w:szCs w:val="20"/>
        </w:rPr>
        <w:t xml:space="preserve">[11] Bannister AJ, Zegerman P, Partridge JF, et al. (2001). </w:t>
      </w:r>
      <w:r>
        <w:rPr>
          <w:sz w:val="20"/>
          <w:szCs w:val="20"/>
        </w:rPr>
        <w:t xml:space="preserve">Selective recognition of methylated lysine 9 on histone H3 by the HP1 chromo domain. Nature 410:120–124. </w:t>
      </w:r>
      <w:hyperlink r:id="rId91" w:history="1">
        <w:r>
          <w:rPr>
            <w:color w:val="087B78"/>
            <w:sz w:val="20"/>
            <w:szCs w:val="20"/>
            <w:u w:val="single"/>
          </w:rPr>
          <w:t>10.1038/35065138</w:t>
        </w:r>
      </w:hyperlink>
    </w:p>
    <w:p w14:paraId="3BB7B12D" w14:textId="304DDAC8" w:rsidR="00490FC3" w:rsidRDefault="00DA557E">
      <w:pPr>
        <w:keepLines/>
        <w:spacing w:after="90" w:line="245" w:lineRule="auto"/>
      </w:pPr>
      <w:r>
        <w:rPr>
          <w:b/>
          <w:bCs/>
          <w:sz w:val="20"/>
          <w:szCs w:val="20"/>
        </w:rPr>
        <w:t xml:space="preserve">[12] Margueron R, Justin N, Ohno K, et al. (2009). </w:t>
      </w:r>
      <w:r>
        <w:rPr>
          <w:sz w:val="20"/>
          <w:szCs w:val="20"/>
        </w:rPr>
        <w:t xml:space="preserve">Role of the polycomb protein Eed in the propagation of repressive histone marks. Nature 461:762–767. </w:t>
      </w:r>
      <w:hyperlink r:id="rId92" w:history="1">
        <w:r>
          <w:rPr>
            <w:color w:val="087B78"/>
            <w:sz w:val="20"/>
            <w:szCs w:val="20"/>
            <w:u w:val="single"/>
          </w:rPr>
          <w:t>10.1038/nature08398</w:t>
        </w:r>
      </w:hyperlink>
    </w:p>
    <w:p w14:paraId="1114EE1B" w14:textId="6125F6BB" w:rsidR="00490FC3" w:rsidRDefault="00DA557E">
      <w:pPr>
        <w:keepLines/>
        <w:spacing w:after="90" w:line="245" w:lineRule="auto"/>
      </w:pPr>
      <w:r>
        <w:rPr>
          <w:b/>
          <w:bCs/>
          <w:sz w:val="20"/>
          <w:szCs w:val="20"/>
        </w:rPr>
        <w:t xml:space="preserve">[13] Allshire RC, Madhani HD (2018). </w:t>
      </w:r>
      <w:r>
        <w:rPr>
          <w:sz w:val="20"/>
          <w:szCs w:val="20"/>
        </w:rPr>
        <w:t xml:space="preserve">Ten principles of heterochromatin formation and function. Nature Reviews Molecular Cell Biology 19:229–244; online 13 December 2017. </w:t>
      </w:r>
      <w:hyperlink r:id="rId93" w:history="1">
        <w:r>
          <w:rPr>
            <w:color w:val="087B78"/>
            <w:sz w:val="20"/>
            <w:szCs w:val="20"/>
            <w:u w:val="single"/>
          </w:rPr>
          <w:t>10.1038/nrm.2017.119</w:t>
        </w:r>
      </w:hyperlink>
    </w:p>
    <w:p w14:paraId="6AFF44B8" w14:textId="63D6EC16" w:rsidR="00490FC3" w:rsidRDefault="00DA557E">
      <w:pPr>
        <w:keepLines/>
        <w:spacing w:after="90" w:line="245" w:lineRule="auto"/>
      </w:pPr>
      <w:r>
        <w:rPr>
          <w:b/>
          <w:bCs/>
          <w:sz w:val="20"/>
          <w:szCs w:val="20"/>
        </w:rPr>
        <w:t xml:space="preserve">[14] Zhang J, Donahue G, Gilbert MB, Lapidot T, Nicetto D, Zaret KS (2024). </w:t>
      </w:r>
      <w:r>
        <w:rPr>
          <w:sz w:val="20"/>
          <w:szCs w:val="20"/>
        </w:rPr>
        <w:t xml:space="preserve">Distinct H3K9me3 heterochromatin maintenance dynamics govern different gene programs and repeats in pluripotent cells. Nature Cell Biology 26:2115–2128. </w:t>
      </w:r>
      <w:hyperlink r:id="rId94" w:history="1">
        <w:r>
          <w:rPr>
            <w:color w:val="087B78"/>
            <w:sz w:val="20"/>
            <w:szCs w:val="20"/>
            <w:u w:val="single"/>
          </w:rPr>
          <w:t>10.1038/s41556-024-01547-z</w:t>
        </w:r>
      </w:hyperlink>
    </w:p>
    <w:p w14:paraId="5DFC288C" w14:textId="7F125A08" w:rsidR="00490FC3" w:rsidRDefault="00DA557E">
      <w:pPr>
        <w:keepLines/>
        <w:spacing w:after="90" w:line="245" w:lineRule="auto"/>
      </w:pPr>
      <w:r>
        <w:rPr>
          <w:b/>
          <w:bCs/>
          <w:sz w:val="20"/>
          <w:szCs w:val="20"/>
        </w:rPr>
        <w:t xml:space="preserve">[15] Alabert C, Barth TK, Reverón-Gómez N, et al. (2015). </w:t>
      </w:r>
      <w:r>
        <w:rPr>
          <w:sz w:val="20"/>
          <w:szCs w:val="20"/>
        </w:rPr>
        <w:t xml:space="preserve">Two distinct modes for propagation of histone PTMs across the cell cycle. Genes &amp; Development 29:585–590. </w:t>
      </w:r>
      <w:hyperlink r:id="rId95" w:history="1">
        <w:r>
          <w:rPr>
            <w:color w:val="087B78"/>
            <w:sz w:val="20"/>
            <w:szCs w:val="20"/>
            <w:u w:val="single"/>
          </w:rPr>
          <w:t>10.1101/gad.256354.114</w:t>
        </w:r>
      </w:hyperlink>
    </w:p>
    <w:p w14:paraId="2DAC7DAB" w14:textId="01952122" w:rsidR="00490FC3" w:rsidRDefault="00DA557E">
      <w:pPr>
        <w:keepLines/>
        <w:spacing w:after="90" w:line="245" w:lineRule="auto"/>
      </w:pPr>
      <w:r>
        <w:rPr>
          <w:b/>
          <w:bCs/>
          <w:sz w:val="20"/>
          <w:szCs w:val="20"/>
        </w:rPr>
        <w:t xml:space="preserve">[16] Liu C, Yu J, Song A, et al. (2023). </w:t>
      </w:r>
      <w:r>
        <w:rPr>
          <w:sz w:val="20"/>
          <w:szCs w:val="20"/>
        </w:rPr>
        <w:t xml:space="preserve">Histone H1 facilitates restoration of H3K27me3 during DNA replication by chromatin compaction. Nature Communications 14:4081. </w:t>
      </w:r>
      <w:hyperlink r:id="rId96" w:history="1">
        <w:r>
          <w:rPr>
            <w:color w:val="087B78"/>
            <w:sz w:val="20"/>
            <w:szCs w:val="20"/>
            <w:u w:val="single"/>
          </w:rPr>
          <w:t>10.1038/s41467-023-39846-y</w:t>
        </w:r>
      </w:hyperlink>
    </w:p>
    <w:p w14:paraId="4D5DD7CC" w14:textId="0C58B1C2" w:rsidR="00490FC3" w:rsidRDefault="00DA557E">
      <w:pPr>
        <w:keepLines/>
        <w:spacing w:after="90" w:line="245" w:lineRule="auto"/>
      </w:pPr>
      <w:r>
        <w:rPr>
          <w:b/>
          <w:bCs/>
          <w:sz w:val="20"/>
          <w:szCs w:val="20"/>
        </w:rPr>
        <w:t xml:space="preserve">[17] Charlton SJ, Flury V, Kanoh Y, et al. (2024). </w:t>
      </w:r>
      <w:r>
        <w:rPr>
          <w:sz w:val="20"/>
          <w:szCs w:val="20"/>
        </w:rPr>
        <w:t xml:space="preserve">The fork protection complex promotes parental histone recycling and epigenetic memory. Cell 187:5029–5047.e21. </w:t>
      </w:r>
      <w:hyperlink r:id="rId97" w:history="1">
        <w:r>
          <w:rPr>
            <w:color w:val="087B78"/>
            <w:sz w:val="20"/>
            <w:szCs w:val="20"/>
            <w:u w:val="single"/>
          </w:rPr>
          <w:t>10.1016/j.cell.2024.07.017</w:t>
        </w:r>
      </w:hyperlink>
    </w:p>
    <w:p w14:paraId="242C7C50" w14:textId="77777777" w:rsidR="00490FC3" w:rsidRDefault="00DA557E">
      <w:pPr>
        <w:pStyle w:val="Heading1"/>
      </w:pPr>
      <w:bookmarkStart w:id="12" w:name="_Toc242668356"/>
      <w:r>
        <w:t>Evidence scope</w:t>
      </w:r>
      <w:bookmarkEnd w:id="12"/>
    </w:p>
    <w:p w14:paraId="59A9BC50" w14:textId="77777777" w:rsidR="00490FC3" w:rsidRDefault="00DA557E">
      <w:pPr>
        <w:keepLines/>
        <w:spacing w:after="160" w:line="270" w:lineRule="auto"/>
      </w:pPr>
      <w:r>
        <w:t>This narrative integrates foundational and recent primary studies available by 12 October 2026. Source access ranges from original abstracts to selected Results, figure captions and Methods, as specified for each reference. It is a scholarly synthesis of the measured systems; it does not independently reproduce their experiments, analyze their raw data or establish exhaustive literature coverage.</w:t>
      </w:r>
    </w:p>
    <w:sectPr w:rsidR="00490FC3">
      <w:headerReference w:type="default" r:id="rId98"/>
      <w:footerReference w:type="default" r:id="rId99"/>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38804" w14:textId="77777777" w:rsidR="00DA557E" w:rsidRDefault="00DA557E">
      <w:pPr>
        <w:spacing w:after="0" w:line="240" w:lineRule="auto"/>
      </w:pPr>
      <w:r>
        <w:separator/>
      </w:r>
    </w:p>
  </w:endnote>
  <w:endnote w:type="continuationSeparator" w:id="0">
    <w:p w14:paraId="568ABD20" w14:textId="77777777" w:rsidR="00DA557E" w:rsidRDefault="00DA5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6F61" w14:textId="77777777" w:rsidR="00490FC3" w:rsidRDefault="00DA557E">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F857D2">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F857D2">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B0B4A" w14:textId="77777777" w:rsidR="00DA557E" w:rsidRDefault="00DA557E">
      <w:pPr>
        <w:spacing w:after="0" w:line="240" w:lineRule="auto"/>
      </w:pPr>
      <w:r>
        <w:separator/>
      </w:r>
    </w:p>
  </w:footnote>
  <w:footnote w:type="continuationSeparator" w:id="0">
    <w:p w14:paraId="1A2C62FF" w14:textId="77777777" w:rsidR="00DA557E" w:rsidRDefault="00DA55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E926C" w14:textId="77777777" w:rsidR="00490FC3" w:rsidRDefault="00DA557E">
    <w:pPr>
      <w:pBdr>
        <w:bottom w:val="single" w:sz="4" w:space="0" w:color="B8D1D0"/>
      </w:pBdr>
    </w:pPr>
    <w:r>
      <w:rPr>
        <w:color w:val="527077"/>
        <w:sz w:val="17"/>
        <w:szCs w:val="17"/>
      </w:rPr>
      <w:t>Heterochromatin: establishment, inheritance and heterogeneous physica…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05161"/>
    <w:multiLevelType w:val="hybridMultilevel"/>
    <w:tmpl w:val="6C22F192"/>
    <w:lvl w:ilvl="0" w:tplc="2E04A9EC">
      <w:start w:val="1"/>
      <w:numFmt w:val="bullet"/>
      <w:lvlText w:val="•"/>
      <w:lvlJc w:val="left"/>
      <w:pPr>
        <w:ind w:left="340" w:hanging="170"/>
      </w:pPr>
    </w:lvl>
    <w:lvl w:ilvl="1" w:tplc="40289B02">
      <w:numFmt w:val="decimal"/>
      <w:lvlText w:val=""/>
      <w:lvlJc w:val="left"/>
    </w:lvl>
    <w:lvl w:ilvl="2" w:tplc="0C628B16">
      <w:numFmt w:val="decimal"/>
      <w:lvlText w:val=""/>
      <w:lvlJc w:val="left"/>
    </w:lvl>
    <w:lvl w:ilvl="3" w:tplc="4DF8AE4E">
      <w:numFmt w:val="decimal"/>
      <w:lvlText w:val=""/>
      <w:lvlJc w:val="left"/>
    </w:lvl>
    <w:lvl w:ilvl="4" w:tplc="6B66B20C">
      <w:numFmt w:val="decimal"/>
      <w:lvlText w:val=""/>
      <w:lvlJc w:val="left"/>
    </w:lvl>
    <w:lvl w:ilvl="5" w:tplc="F6908518">
      <w:numFmt w:val="decimal"/>
      <w:lvlText w:val=""/>
      <w:lvlJc w:val="left"/>
    </w:lvl>
    <w:lvl w:ilvl="6" w:tplc="733C47F0">
      <w:numFmt w:val="decimal"/>
      <w:lvlText w:val=""/>
      <w:lvlJc w:val="left"/>
    </w:lvl>
    <w:lvl w:ilvl="7" w:tplc="2C4A5E54">
      <w:numFmt w:val="decimal"/>
      <w:lvlText w:val=""/>
      <w:lvlJc w:val="left"/>
    </w:lvl>
    <w:lvl w:ilvl="8" w:tplc="3844D21E">
      <w:numFmt w:val="decimal"/>
      <w:lvlText w:val=""/>
      <w:lvlJc w:val="left"/>
    </w:lvl>
  </w:abstractNum>
  <w:abstractNum w:abstractNumId="1" w15:restartNumberingAfterBreak="0">
    <w:nsid w:val="78245FEF"/>
    <w:multiLevelType w:val="hybridMultilevel"/>
    <w:tmpl w:val="93D82C18"/>
    <w:lvl w:ilvl="0" w:tplc="D8DE4A32">
      <w:start w:val="1"/>
      <w:numFmt w:val="bullet"/>
      <w:lvlText w:val="●"/>
      <w:lvlJc w:val="left"/>
      <w:pPr>
        <w:ind w:left="720" w:hanging="360"/>
      </w:pPr>
    </w:lvl>
    <w:lvl w:ilvl="1" w:tplc="DDB060C0">
      <w:start w:val="1"/>
      <w:numFmt w:val="bullet"/>
      <w:lvlText w:val="○"/>
      <w:lvlJc w:val="left"/>
      <w:pPr>
        <w:ind w:left="1440" w:hanging="360"/>
      </w:pPr>
    </w:lvl>
    <w:lvl w:ilvl="2" w:tplc="2092C9AE">
      <w:start w:val="1"/>
      <w:numFmt w:val="bullet"/>
      <w:lvlText w:val="■"/>
      <w:lvlJc w:val="left"/>
      <w:pPr>
        <w:ind w:left="2160" w:hanging="360"/>
      </w:pPr>
    </w:lvl>
    <w:lvl w:ilvl="3" w:tplc="B52E3308">
      <w:start w:val="1"/>
      <w:numFmt w:val="bullet"/>
      <w:lvlText w:val="●"/>
      <w:lvlJc w:val="left"/>
      <w:pPr>
        <w:ind w:left="2880" w:hanging="360"/>
      </w:pPr>
    </w:lvl>
    <w:lvl w:ilvl="4" w:tplc="00ECC186">
      <w:start w:val="1"/>
      <w:numFmt w:val="bullet"/>
      <w:lvlText w:val="○"/>
      <w:lvlJc w:val="left"/>
      <w:pPr>
        <w:ind w:left="3600" w:hanging="360"/>
      </w:pPr>
    </w:lvl>
    <w:lvl w:ilvl="5" w:tplc="CBE8FBBA">
      <w:start w:val="1"/>
      <w:numFmt w:val="bullet"/>
      <w:lvlText w:val="■"/>
      <w:lvlJc w:val="left"/>
      <w:pPr>
        <w:ind w:left="4320" w:hanging="360"/>
      </w:pPr>
    </w:lvl>
    <w:lvl w:ilvl="6" w:tplc="95EC1EEC">
      <w:start w:val="1"/>
      <w:numFmt w:val="bullet"/>
      <w:lvlText w:val="●"/>
      <w:lvlJc w:val="left"/>
      <w:pPr>
        <w:ind w:left="5040" w:hanging="360"/>
      </w:pPr>
    </w:lvl>
    <w:lvl w:ilvl="7" w:tplc="8D047342">
      <w:start w:val="1"/>
      <w:numFmt w:val="bullet"/>
      <w:lvlText w:val="●"/>
      <w:lvlJc w:val="left"/>
      <w:pPr>
        <w:ind w:left="5760" w:hanging="360"/>
      </w:pPr>
    </w:lvl>
    <w:lvl w:ilvl="8" w:tplc="2F4003AA">
      <w:start w:val="1"/>
      <w:numFmt w:val="bullet"/>
      <w:lvlText w:val="●"/>
      <w:lvlJc w:val="left"/>
      <w:pPr>
        <w:ind w:left="6480" w:hanging="360"/>
      </w:pPr>
    </w:lvl>
  </w:abstractNum>
  <w:num w:numId="1" w16cid:durableId="2843879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FC3"/>
    <w:rsid w:val="00490FC3"/>
    <w:rsid w:val="00DA557E"/>
    <w:rsid w:val="00E31ECD"/>
    <w:rsid w:val="00F85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E95991"/>
  <w15:docId w15:val="{BC02A116-5A86-4AAD-B262-654ADC7CB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F857D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38/35065132" TargetMode="External"/><Relationship Id="rId21" Type="http://schemas.openxmlformats.org/officeDocument/2006/relationships/hyperlink" Target="https://doi.org/10.1038/35065132" TargetMode="External"/><Relationship Id="rId42" Type="http://schemas.openxmlformats.org/officeDocument/2006/relationships/hyperlink" Target="https://doi.org/10.1016/j.cell.2019.08.037" TargetMode="External"/><Relationship Id="rId47" Type="http://schemas.openxmlformats.org/officeDocument/2006/relationships/hyperlink" Target="https://doi.org/10.1038/s41467-025-61749-3" TargetMode="External"/><Relationship Id="rId63" Type="http://schemas.openxmlformats.org/officeDocument/2006/relationships/hyperlink" Target="https://doi.org/10.1038/35065138" TargetMode="External"/><Relationship Id="rId68" Type="http://schemas.openxmlformats.org/officeDocument/2006/relationships/hyperlink" Target="https://doi.org/10.1016/j.molcel.2020.02.005" TargetMode="External"/><Relationship Id="rId84" Type="http://schemas.openxmlformats.org/officeDocument/2006/relationships/hyperlink" Target="https://doi.org/10.1038/s41467-026-75087-5" TargetMode="External"/><Relationship Id="rId89" Type="http://schemas.openxmlformats.org/officeDocument/2006/relationships/hyperlink" Target="https://doi.org/10.1038/s41467-025-61749-3" TargetMode="External"/><Relationship Id="rId16" Type="http://schemas.openxmlformats.org/officeDocument/2006/relationships/hyperlink" Target="https://doi.org/10.1038/35065132" TargetMode="External"/><Relationship Id="rId11" Type="http://schemas.openxmlformats.org/officeDocument/2006/relationships/hyperlink" Target="https://doi.org/10.1038/s41556-024-01547-z" TargetMode="External"/><Relationship Id="rId32" Type="http://schemas.openxmlformats.org/officeDocument/2006/relationships/hyperlink" Target="https://doi.org/10.1101/gad.256354.114" TargetMode="External"/><Relationship Id="rId37" Type="http://schemas.openxmlformats.org/officeDocument/2006/relationships/hyperlink" Target="https://doi.org/10.1038/s41556-024-01547-z" TargetMode="External"/><Relationship Id="rId53" Type="http://schemas.openxmlformats.org/officeDocument/2006/relationships/hyperlink" Target="https://doi.org/10.1093/nsr/nwaf451" TargetMode="External"/><Relationship Id="rId58" Type="http://schemas.openxmlformats.org/officeDocument/2006/relationships/hyperlink" Target="https://doi.org/10.1101/gad.256354.114" TargetMode="External"/><Relationship Id="rId74" Type="http://schemas.openxmlformats.org/officeDocument/2006/relationships/hyperlink" Target="https://doi.org/10.1038/s41556-024-01547-z" TargetMode="External"/><Relationship Id="rId79" Type="http://schemas.openxmlformats.org/officeDocument/2006/relationships/hyperlink" Target="https://doi.org/10.1038/s41467-025-61749-3" TargetMode="External"/><Relationship Id="rId5" Type="http://schemas.openxmlformats.org/officeDocument/2006/relationships/footnotes" Target="footnotes.xml"/><Relationship Id="rId90" Type="http://schemas.openxmlformats.org/officeDocument/2006/relationships/hyperlink" Target="https://doi.org/10.1038/35065132" TargetMode="External"/><Relationship Id="rId95" Type="http://schemas.openxmlformats.org/officeDocument/2006/relationships/hyperlink" Target="https://doi.org/10.1101/gad.256354.114" TargetMode="External"/><Relationship Id="rId22" Type="http://schemas.openxmlformats.org/officeDocument/2006/relationships/hyperlink" Target="https://doi.org/10.1038/35065138" TargetMode="External"/><Relationship Id="rId27" Type="http://schemas.openxmlformats.org/officeDocument/2006/relationships/hyperlink" Target="https://doi.org/10.1038/s41467-025-61749-3" TargetMode="External"/><Relationship Id="rId43" Type="http://schemas.openxmlformats.org/officeDocument/2006/relationships/hyperlink" Target="https://doi.org/10.1038/nature22822" TargetMode="External"/><Relationship Id="rId48" Type="http://schemas.openxmlformats.org/officeDocument/2006/relationships/hyperlink" Target="https://doi.org/10.1038/nature22822" TargetMode="External"/><Relationship Id="rId64" Type="http://schemas.openxmlformats.org/officeDocument/2006/relationships/hyperlink" Target="https://doi.org/10.1038/nature08398" TargetMode="External"/><Relationship Id="rId69" Type="http://schemas.openxmlformats.org/officeDocument/2006/relationships/hyperlink" Target="https://doi.org/10.1038/s41467-025-61749-3" TargetMode="External"/><Relationship Id="rId80" Type="http://schemas.openxmlformats.org/officeDocument/2006/relationships/hyperlink" Target="https://doi.org/10.1038/s41467-026-75087-5" TargetMode="External"/><Relationship Id="rId85" Type="http://schemas.openxmlformats.org/officeDocument/2006/relationships/hyperlink" Target="https://doi.org/10.1093/nsr/nwaf451" TargetMode="External"/><Relationship Id="rId12" Type="http://schemas.openxmlformats.org/officeDocument/2006/relationships/hyperlink" Target="https://doi.org/10.1038/s41467-025-61749-3" TargetMode="External"/><Relationship Id="rId17" Type="http://schemas.openxmlformats.org/officeDocument/2006/relationships/hyperlink" Target="https://doi.org/10.1038/35065138" TargetMode="External"/><Relationship Id="rId25" Type="http://schemas.openxmlformats.org/officeDocument/2006/relationships/hyperlink" Target="https://doi.org/10.1038/s41467-025-61749-3" TargetMode="External"/><Relationship Id="rId33" Type="http://schemas.openxmlformats.org/officeDocument/2006/relationships/hyperlink" Target="https://doi.org/10.1038/s41467-023-39846-y" TargetMode="External"/><Relationship Id="rId38" Type="http://schemas.openxmlformats.org/officeDocument/2006/relationships/hyperlink" Target="https://doi.org/10.1101/gad.256354.114" TargetMode="External"/><Relationship Id="rId46" Type="http://schemas.openxmlformats.org/officeDocument/2006/relationships/hyperlink" Target="https://doi.org/10.1073/pnas.1302950110" TargetMode="External"/><Relationship Id="rId59" Type="http://schemas.openxmlformats.org/officeDocument/2006/relationships/hyperlink" Target="https://doi.org/10.1038/s41467-025-61749-3" TargetMode="External"/><Relationship Id="rId67" Type="http://schemas.openxmlformats.org/officeDocument/2006/relationships/hyperlink" Target="https://doi.org/10.1016/j.cell.2019.08.037" TargetMode="External"/><Relationship Id="rId20" Type="http://schemas.openxmlformats.org/officeDocument/2006/relationships/hyperlink" Target="https://doi.org/10.1038/s41556-024-01547-z" TargetMode="External"/><Relationship Id="rId41" Type="http://schemas.openxmlformats.org/officeDocument/2006/relationships/hyperlink" Target="https://doi.org/10.1038/s41467-023-39846-y" TargetMode="External"/><Relationship Id="rId54" Type="http://schemas.openxmlformats.org/officeDocument/2006/relationships/hyperlink" Target="https://doi.org/10.1038/s41467-026-75087-5" TargetMode="External"/><Relationship Id="rId62" Type="http://schemas.openxmlformats.org/officeDocument/2006/relationships/hyperlink" Target="https://doi.org/10.1038/35065132" TargetMode="External"/><Relationship Id="rId70" Type="http://schemas.openxmlformats.org/officeDocument/2006/relationships/hyperlink" Target="https://doi.org/10.1038/s41467-023-42072-1" TargetMode="External"/><Relationship Id="rId75" Type="http://schemas.openxmlformats.org/officeDocument/2006/relationships/hyperlink" Target="https://doi.org/10.1038/35065132" TargetMode="External"/><Relationship Id="rId83" Type="http://schemas.openxmlformats.org/officeDocument/2006/relationships/hyperlink" Target="https://doi.org/10.1038/s41467-023-42072-1" TargetMode="External"/><Relationship Id="rId88" Type="http://schemas.openxmlformats.org/officeDocument/2006/relationships/hyperlink" Target="https://doi.org/10.1038/nature22989" TargetMode="External"/><Relationship Id="rId91" Type="http://schemas.openxmlformats.org/officeDocument/2006/relationships/hyperlink" Target="https://doi.org/10.1038/35065138" TargetMode="External"/><Relationship Id="rId96" Type="http://schemas.openxmlformats.org/officeDocument/2006/relationships/hyperlink" Target="https://doi.org/10.1038/s41467-023-39846-y"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8/nrm.2017.119" TargetMode="External"/><Relationship Id="rId23" Type="http://schemas.openxmlformats.org/officeDocument/2006/relationships/hyperlink" Target="https://doi.org/10.1038/35065132" TargetMode="External"/><Relationship Id="rId28" Type="http://schemas.openxmlformats.org/officeDocument/2006/relationships/hyperlink" Target="https://doi.org/10.1038/nature08398" TargetMode="External"/><Relationship Id="rId36" Type="http://schemas.openxmlformats.org/officeDocument/2006/relationships/hyperlink" Target="https://doi.org/10.1038/s41556-024-01547-z" TargetMode="External"/><Relationship Id="rId49" Type="http://schemas.openxmlformats.org/officeDocument/2006/relationships/hyperlink" Target="https://doi.org/10.1016/j.molcel.2020.02.005" TargetMode="External"/><Relationship Id="rId57" Type="http://schemas.openxmlformats.org/officeDocument/2006/relationships/hyperlink" Target="https://doi.org/10.1038/s41556-024-01547-z" TargetMode="External"/><Relationship Id="rId10" Type="http://schemas.openxmlformats.org/officeDocument/2006/relationships/hyperlink" Target="https://doi.org/10.1038/nature08398" TargetMode="External"/><Relationship Id="rId31" Type="http://schemas.openxmlformats.org/officeDocument/2006/relationships/hyperlink" Target="https://doi.org/10.1038/s41467-023-39846-y" TargetMode="External"/><Relationship Id="rId44" Type="http://schemas.openxmlformats.org/officeDocument/2006/relationships/hyperlink" Target="https://doi.org/10.1038/nature22989" TargetMode="External"/><Relationship Id="rId52" Type="http://schemas.openxmlformats.org/officeDocument/2006/relationships/hyperlink" Target="https://doi.org/10.1038/s41467-026-75087-5" TargetMode="External"/><Relationship Id="rId60" Type="http://schemas.openxmlformats.org/officeDocument/2006/relationships/hyperlink" Target="https://doi.org/10.1038/nrm.2017.119" TargetMode="External"/><Relationship Id="rId65" Type="http://schemas.openxmlformats.org/officeDocument/2006/relationships/hyperlink" Target="https://doi.org/10.1101/gad.256354.114" TargetMode="External"/><Relationship Id="rId73" Type="http://schemas.openxmlformats.org/officeDocument/2006/relationships/hyperlink" Target="https://doi.org/10.1038/s41467-023-42072-1" TargetMode="External"/><Relationship Id="rId78" Type="http://schemas.openxmlformats.org/officeDocument/2006/relationships/hyperlink" Target="https://doi.org/10.1038/s41556-024-01547-z" TargetMode="External"/><Relationship Id="rId81" Type="http://schemas.openxmlformats.org/officeDocument/2006/relationships/hyperlink" Target="https://doi.org/10.1016/j.cell.2019.08.037" TargetMode="External"/><Relationship Id="rId86" Type="http://schemas.openxmlformats.org/officeDocument/2006/relationships/hyperlink" Target="https://doi.org/10.1073/pnas.1302950110" TargetMode="External"/><Relationship Id="rId94" Type="http://schemas.openxmlformats.org/officeDocument/2006/relationships/hyperlink" Target="https://doi.org/10.1038/s41556-024-01547-z" TargetMode="External"/><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38/35065138" TargetMode="External"/><Relationship Id="rId13" Type="http://schemas.openxmlformats.org/officeDocument/2006/relationships/hyperlink" Target="https://doi.org/10.1038/s41467-026-75087-5" TargetMode="External"/><Relationship Id="rId18" Type="http://schemas.openxmlformats.org/officeDocument/2006/relationships/hyperlink" Target="https://doi.org/10.1038/nature08398" TargetMode="External"/><Relationship Id="rId39" Type="http://schemas.openxmlformats.org/officeDocument/2006/relationships/hyperlink" Target="https://doi.org/10.1016/j.cell.2024.07.017" TargetMode="External"/><Relationship Id="rId34" Type="http://schemas.openxmlformats.org/officeDocument/2006/relationships/hyperlink" Target="https://doi.org/10.1038/nature08398" TargetMode="External"/><Relationship Id="rId50" Type="http://schemas.openxmlformats.org/officeDocument/2006/relationships/hyperlink" Target="https://doi.org/10.1038/s41467-026-75087-5" TargetMode="External"/><Relationship Id="rId55" Type="http://schemas.openxmlformats.org/officeDocument/2006/relationships/hyperlink" Target="https://doi.org/10.1038/nrm.2017.119" TargetMode="External"/><Relationship Id="rId76" Type="http://schemas.openxmlformats.org/officeDocument/2006/relationships/hyperlink" Target="https://doi.org/10.1038/nature08398" TargetMode="External"/><Relationship Id="rId97" Type="http://schemas.openxmlformats.org/officeDocument/2006/relationships/hyperlink" Target="https://doi.org/10.1016/j.cell.2024.07.017" TargetMode="External"/><Relationship Id="rId7" Type="http://schemas.openxmlformats.org/officeDocument/2006/relationships/hyperlink" Target="https://doi.org/10.1038/nrm.2017.119" TargetMode="External"/><Relationship Id="rId71" Type="http://schemas.openxmlformats.org/officeDocument/2006/relationships/hyperlink" Target="https://doi.org/10.1038/s41467-026-75087-5" TargetMode="External"/><Relationship Id="rId92" Type="http://schemas.openxmlformats.org/officeDocument/2006/relationships/hyperlink" Target="https://doi.org/10.1038/nature08398" TargetMode="External"/><Relationship Id="rId2" Type="http://schemas.openxmlformats.org/officeDocument/2006/relationships/styles" Target="styles.xml"/><Relationship Id="rId29" Type="http://schemas.openxmlformats.org/officeDocument/2006/relationships/hyperlink" Target="https://doi.org/10.1038/nature08398" TargetMode="External"/><Relationship Id="rId24" Type="http://schemas.openxmlformats.org/officeDocument/2006/relationships/hyperlink" Target="https://doi.org/10.1038/s41556-024-01547-z" TargetMode="External"/><Relationship Id="rId40" Type="http://schemas.openxmlformats.org/officeDocument/2006/relationships/hyperlink" Target="https://doi.org/10.1038/nature08398" TargetMode="External"/><Relationship Id="rId45" Type="http://schemas.openxmlformats.org/officeDocument/2006/relationships/hyperlink" Target="https://doi.org/10.1016/j.molcel.2020.02.005" TargetMode="External"/><Relationship Id="rId66" Type="http://schemas.openxmlformats.org/officeDocument/2006/relationships/hyperlink" Target="https://doi.org/10.1038/s41556-024-01547-z" TargetMode="External"/><Relationship Id="rId87" Type="http://schemas.openxmlformats.org/officeDocument/2006/relationships/hyperlink" Target="https://doi.org/10.1038/nature22822" TargetMode="External"/><Relationship Id="rId61" Type="http://schemas.openxmlformats.org/officeDocument/2006/relationships/hyperlink" Target="https://doi.org/10.1038/s41556-024-01547-z" TargetMode="External"/><Relationship Id="rId82" Type="http://schemas.openxmlformats.org/officeDocument/2006/relationships/hyperlink" Target="https://doi.org/10.1016/j.molcel.2020.02.005" TargetMode="External"/><Relationship Id="rId19" Type="http://schemas.openxmlformats.org/officeDocument/2006/relationships/hyperlink" Target="https://doi.org/10.1038/nrm.2017.119" TargetMode="External"/><Relationship Id="rId14" Type="http://schemas.openxmlformats.org/officeDocument/2006/relationships/hyperlink" Target="https://doi.org/10.1016/j.molcel.2020.02.005" TargetMode="External"/><Relationship Id="rId30" Type="http://schemas.openxmlformats.org/officeDocument/2006/relationships/hyperlink" Target="https://doi.org/10.1101/gad.256354.114" TargetMode="External"/><Relationship Id="rId35" Type="http://schemas.openxmlformats.org/officeDocument/2006/relationships/hyperlink" Target="https://doi.org/10.1038/s41556-024-01547-z" TargetMode="External"/><Relationship Id="rId56" Type="http://schemas.openxmlformats.org/officeDocument/2006/relationships/hyperlink" Target="https://doi.org/10.1038/s41556-024-01547-z" TargetMode="External"/><Relationship Id="rId77" Type="http://schemas.openxmlformats.org/officeDocument/2006/relationships/hyperlink" Target="https://doi.org/10.1016/j.cell.2024.07.017" TargetMode="External"/><Relationship Id="rId100" Type="http://schemas.openxmlformats.org/officeDocument/2006/relationships/fontTable" Target="fontTable.xml"/><Relationship Id="rId8" Type="http://schemas.openxmlformats.org/officeDocument/2006/relationships/hyperlink" Target="https://doi.org/10.1038/35065132" TargetMode="External"/><Relationship Id="rId51" Type="http://schemas.openxmlformats.org/officeDocument/2006/relationships/hyperlink" Target="https://doi.org/10.1038/s41467-023-42072-1" TargetMode="External"/><Relationship Id="rId72" Type="http://schemas.openxmlformats.org/officeDocument/2006/relationships/hyperlink" Target="https://doi.org/10.1038/s41467-026-75087-5" TargetMode="External"/><Relationship Id="rId93" Type="http://schemas.openxmlformats.org/officeDocument/2006/relationships/hyperlink" Target="https://doi.org/10.1038/nrm.2017.119" TargetMode="External"/><Relationship Id="rId9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2854</Words>
  <Characters>18424</Characters>
  <Application>Microsoft Office Word</Application>
  <DocSecurity>0</DocSecurity>
  <Lines>295</Lines>
  <Paragraphs>96</Paragraphs>
  <ScaleCrop>false</ScaleCrop>
  <Company/>
  <LinksUpToDate>false</LinksUpToDate>
  <CharactersWithSpaces>21165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Heterochromatin: establishment, inheritance and heterogeneous physical organization</dc:title>
  <dc:subject>Repressive chromatin as a regulated domain system, with current evidence for molecular recognition, maintenance dynamics and local architecture.</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2026-10-12T09:31:00Z</dcterms:modified>
</cp:coreProperties>
</file>