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1B7509" w14:textId="77777777" w:rsidR="009E5D07" w:rsidRDefault="00567DF0">
      <w:pPr>
        <w:pStyle w:val="Title"/>
      </w:pPr>
      <w:r>
        <w:t>Histone post-translational modifications: chemistry, recognition and chromatin memory</w:t>
      </w:r>
    </w:p>
    <w:p w14:paraId="2665B157" w14:textId="77777777" w:rsidR="009E5D07" w:rsidRDefault="00567DF0">
      <w:pPr>
        <w:pStyle w:val="Subtitle"/>
      </w:pPr>
      <w:r>
        <w:t>From defined molecular effects to replication-coupled restoration, damage signaling and metabolic regulation.</w:t>
      </w:r>
    </w:p>
    <w:p w14:paraId="26510CA1" w14:textId="77777777" w:rsidR="009E5D07" w:rsidRDefault="00567DF0">
      <w:pPr>
        <w:spacing w:before="200" w:after="320"/>
      </w:pPr>
      <w:r>
        <w:rPr>
          <w:color w:val="087B78"/>
          <w:sz w:val="20"/>
          <w:szCs w:val="20"/>
        </w:rPr>
        <w:t>CellNucleus · Current research review · 12 October 2026</w:t>
      </w:r>
    </w:p>
    <w:p w14:paraId="0E5E54E8" w14:textId="77777777" w:rsidR="009E5D07" w:rsidRDefault="00567DF0">
      <w:pPr>
        <w:pStyle w:val="Heading1"/>
      </w:pPr>
      <w:bookmarkStart w:id="0" w:name="_Toc242668352"/>
      <w:r>
        <w:t>Abstract</w:t>
      </w:r>
      <w:bookmarkEnd w:id="0"/>
    </w:p>
    <w:p w14:paraId="53EC08A5" w14:textId="38CE1DE7" w:rsidR="009E5D07" w:rsidRDefault="00567DF0">
      <w:r>
        <w:t>Histone modifications alter the chemistry of nucleosomes and the proteins that recognize them. Their effects include changes in interparticle interactions, selective recruitment and regulation of modifying complexes. A current account must distinguish the chemical mark from the enzyme that produces it, the molecular interaction it enables and the cellular outcome. The same broad modification class can have different consequences depending on residue, degree of modification, genomic position and the accompan</w:t>
      </w:r>
      <w:r>
        <w:t>ying chromatin state.</w:t>
      </w:r>
      <w:hyperlink r:id="rId7" w:history="1">
        <w:r>
          <w:rPr>
            <w:color w:val="087B78"/>
            <w:sz w:val="18"/>
            <w:szCs w:val="18"/>
          </w:rPr>
          <w:t xml:space="preserve"> [15]</w:t>
        </w:r>
      </w:hyperlink>
      <w:hyperlink r:id="rId8" w:history="1">
        <w:r>
          <w:rPr>
            <w:color w:val="087B78"/>
            <w:sz w:val="18"/>
            <w:szCs w:val="18"/>
          </w:rPr>
          <w:t xml:space="preserve"> [3]</w:t>
        </w:r>
      </w:hyperlink>
      <w:hyperlink r:id="rId9" w:history="1">
        <w:r>
          <w:rPr>
            <w:color w:val="087B78"/>
            <w:sz w:val="18"/>
            <w:szCs w:val="18"/>
          </w:rPr>
          <w:t xml:space="preserve"> [5]</w:t>
        </w:r>
      </w:hyperlink>
      <w:hyperlink r:id="rId10" w:history="1">
        <w:r>
          <w:rPr>
            <w:color w:val="087B78"/>
            <w:sz w:val="18"/>
            <w:szCs w:val="18"/>
          </w:rPr>
          <w:t xml:space="preserve"> [7]</w:t>
        </w:r>
      </w:hyperlink>
    </w:p>
    <w:p w14:paraId="21147CE8" w14:textId="78C6DFE0" w:rsidR="009E5D07" w:rsidRDefault="00567DF0">
      <w:r>
        <w:t>Replication and acute perturbation studies now resolve distinct modification-maintenance kinetics, while newer metabolic work connects lactate to selected chromatin and signaling programs. These advances strengthen mechanistic explanations without making every histone mark an autonomous epigenetic memory. Source-specific biochemical, genomic and cellular readouts are essential for separating causal effects from correlated changes.</w:t>
      </w:r>
      <w:hyperlink r:id="rId11" w:history="1">
        <w:r>
          <w:rPr>
            <w:color w:val="087B78"/>
            <w:sz w:val="18"/>
            <w:szCs w:val="18"/>
          </w:rPr>
          <w:t xml:space="preserve"> [12]</w:t>
        </w:r>
      </w:hyperlink>
      <w:hyperlink r:id="rId12" w:history="1">
        <w:r>
          <w:rPr>
            <w:color w:val="087B78"/>
            <w:sz w:val="18"/>
            <w:szCs w:val="18"/>
          </w:rPr>
          <w:t xml:space="preserve"> [14]</w:t>
        </w:r>
      </w:hyperlink>
      <w:hyperlink r:id="rId13" w:history="1">
        <w:r>
          <w:rPr>
            <w:color w:val="087B78"/>
            <w:sz w:val="18"/>
            <w:szCs w:val="18"/>
          </w:rPr>
          <w:t xml:space="preserve"> [8]</w:t>
        </w:r>
      </w:hyperlink>
      <w:hyperlink r:id="rId14" w:history="1">
        <w:r>
          <w:rPr>
            <w:color w:val="087B78"/>
            <w:sz w:val="18"/>
            <w:szCs w:val="18"/>
          </w:rPr>
          <w:t xml:space="preserve"> [18]</w:t>
        </w:r>
      </w:hyperlink>
      <w:hyperlink r:id="rId15" w:history="1">
        <w:r>
          <w:rPr>
            <w:color w:val="087B78"/>
            <w:sz w:val="18"/>
            <w:szCs w:val="18"/>
          </w:rPr>
          <w:t xml:space="preserve"> [19]</w:t>
        </w:r>
      </w:hyperlink>
    </w:p>
    <w:p w14:paraId="2A089764" w14:textId="77777777" w:rsidR="009E5D07" w:rsidRDefault="00567DF0">
      <w:pPr>
        <w:pageBreakBefore/>
        <w:spacing w:before="330"/>
      </w:pPr>
      <w:r>
        <w:rPr>
          <w:b/>
          <w:bCs/>
          <w:color w:val="173B4C"/>
          <w:sz w:val="32"/>
          <w:szCs w:val="32"/>
        </w:rPr>
        <w:lastRenderedPageBreak/>
        <w:t>Contents</w:t>
      </w:r>
    </w:p>
    <w:sdt>
      <w:sdtPr>
        <w:alias w:val="Contents"/>
        <w:id w:val="-1362351260"/>
      </w:sdtPr>
      <w:sdtEndPr/>
      <w:sdtContent>
        <w:p w14:paraId="484E6FDA" w14:textId="01B14C72" w:rsidR="007766BB" w:rsidRDefault="00567DF0">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r>
            <w:fldChar w:fldCharType="begin"/>
          </w:r>
          <w:r>
            <w:instrText>TOC \h \o "1-2"</w:instrText>
          </w:r>
          <w:r>
            <w:fldChar w:fldCharType="separate"/>
          </w:r>
          <w:hyperlink w:anchor="_Toc242668352" w:history="1">
            <w:r w:rsidR="007766BB" w:rsidRPr="00714B84">
              <w:rPr>
                <w:rStyle w:val="Hyperlink"/>
                <w:noProof/>
              </w:rPr>
              <w:t>Abstract</w:t>
            </w:r>
            <w:r w:rsidR="007766BB">
              <w:rPr>
                <w:noProof/>
              </w:rPr>
              <w:tab/>
            </w:r>
            <w:r w:rsidR="007766BB">
              <w:rPr>
                <w:noProof/>
              </w:rPr>
              <w:fldChar w:fldCharType="begin"/>
            </w:r>
            <w:r w:rsidR="007766BB">
              <w:rPr>
                <w:noProof/>
              </w:rPr>
              <w:instrText xml:space="preserve"> PAGEREF _Toc242668352 \h </w:instrText>
            </w:r>
            <w:r w:rsidR="007766BB">
              <w:rPr>
                <w:noProof/>
              </w:rPr>
            </w:r>
            <w:r w:rsidR="007766BB">
              <w:rPr>
                <w:noProof/>
              </w:rPr>
              <w:fldChar w:fldCharType="separate"/>
            </w:r>
            <w:r w:rsidR="007766BB">
              <w:rPr>
                <w:noProof/>
              </w:rPr>
              <w:t>1</w:t>
            </w:r>
            <w:r w:rsidR="007766BB">
              <w:rPr>
                <w:noProof/>
              </w:rPr>
              <w:fldChar w:fldCharType="end"/>
            </w:r>
          </w:hyperlink>
        </w:p>
        <w:p w14:paraId="0425E633" w14:textId="4C49844A" w:rsidR="007766BB" w:rsidRDefault="007766BB">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668353" w:history="1">
            <w:r w:rsidRPr="00714B84">
              <w:rPr>
                <w:rStyle w:val="Hyperlink"/>
                <w:noProof/>
              </w:rPr>
              <w:t>1. Chemical diversity and useful terminology</w:t>
            </w:r>
            <w:r>
              <w:rPr>
                <w:noProof/>
              </w:rPr>
              <w:tab/>
            </w:r>
            <w:r>
              <w:rPr>
                <w:noProof/>
              </w:rPr>
              <w:fldChar w:fldCharType="begin"/>
            </w:r>
            <w:r>
              <w:rPr>
                <w:noProof/>
              </w:rPr>
              <w:instrText xml:space="preserve"> PAGEREF _Toc242668353 \h </w:instrText>
            </w:r>
            <w:r>
              <w:rPr>
                <w:noProof/>
              </w:rPr>
            </w:r>
            <w:r>
              <w:rPr>
                <w:noProof/>
              </w:rPr>
              <w:fldChar w:fldCharType="separate"/>
            </w:r>
            <w:r>
              <w:rPr>
                <w:noProof/>
              </w:rPr>
              <w:t>2</w:t>
            </w:r>
            <w:r>
              <w:rPr>
                <w:noProof/>
              </w:rPr>
              <w:fldChar w:fldCharType="end"/>
            </w:r>
          </w:hyperlink>
        </w:p>
        <w:p w14:paraId="3CFCEA80" w14:textId="28C98151" w:rsidR="007766BB" w:rsidRDefault="007766BB">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668354" w:history="1">
            <w:r w:rsidRPr="00714B84">
              <w:rPr>
                <w:rStyle w:val="Hyperlink"/>
                <w:noProof/>
              </w:rPr>
              <w:t>2. Direct physical effects can be tested with defined substrates</w:t>
            </w:r>
            <w:r>
              <w:rPr>
                <w:noProof/>
              </w:rPr>
              <w:tab/>
            </w:r>
            <w:r>
              <w:rPr>
                <w:noProof/>
              </w:rPr>
              <w:fldChar w:fldCharType="begin"/>
            </w:r>
            <w:r>
              <w:rPr>
                <w:noProof/>
              </w:rPr>
              <w:instrText xml:space="preserve"> PAGEREF _Toc242668354 \h </w:instrText>
            </w:r>
            <w:r>
              <w:rPr>
                <w:noProof/>
              </w:rPr>
            </w:r>
            <w:r>
              <w:rPr>
                <w:noProof/>
              </w:rPr>
              <w:fldChar w:fldCharType="separate"/>
            </w:r>
            <w:r>
              <w:rPr>
                <w:noProof/>
              </w:rPr>
              <w:t>3</w:t>
            </w:r>
            <w:r>
              <w:rPr>
                <w:noProof/>
              </w:rPr>
              <w:fldChar w:fldCharType="end"/>
            </w:r>
          </w:hyperlink>
        </w:p>
        <w:p w14:paraId="4DBCFE46" w14:textId="30210BEA" w:rsidR="007766BB" w:rsidRDefault="007766BB">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668355" w:history="1">
            <w:r w:rsidRPr="00714B84">
              <w:rPr>
                <w:rStyle w:val="Hyperlink"/>
                <w:noProof/>
              </w:rPr>
              <w:t>3. Molecular recognition gives residue-specific meaning</w:t>
            </w:r>
            <w:r>
              <w:rPr>
                <w:noProof/>
              </w:rPr>
              <w:tab/>
            </w:r>
            <w:r>
              <w:rPr>
                <w:noProof/>
              </w:rPr>
              <w:fldChar w:fldCharType="begin"/>
            </w:r>
            <w:r>
              <w:rPr>
                <w:noProof/>
              </w:rPr>
              <w:instrText xml:space="preserve"> PAGEREF _Toc242668355 \h </w:instrText>
            </w:r>
            <w:r>
              <w:rPr>
                <w:noProof/>
              </w:rPr>
            </w:r>
            <w:r>
              <w:rPr>
                <w:noProof/>
              </w:rPr>
              <w:fldChar w:fldCharType="separate"/>
            </w:r>
            <w:r>
              <w:rPr>
                <w:noProof/>
              </w:rPr>
              <w:t>3</w:t>
            </w:r>
            <w:r>
              <w:rPr>
                <w:noProof/>
              </w:rPr>
              <w:fldChar w:fldCharType="end"/>
            </w:r>
          </w:hyperlink>
        </w:p>
        <w:p w14:paraId="6673B219" w14:textId="79BB9A06" w:rsidR="007766BB" w:rsidRDefault="007766BB">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668356" w:history="1">
            <w:r w:rsidRPr="00714B84">
              <w:rPr>
                <w:rStyle w:val="Hyperlink"/>
                <w:noProof/>
              </w:rPr>
              <w:t>4. Marks and their regulators have separable functions</w:t>
            </w:r>
            <w:r>
              <w:rPr>
                <w:noProof/>
              </w:rPr>
              <w:tab/>
            </w:r>
            <w:r>
              <w:rPr>
                <w:noProof/>
              </w:rPr>
              <w:fldChar w:fldCharType="begin"/>
            </w:r>
            <w:r>
              <w:rPr>
                <w:noProof/>
              </w:rPr>
              <w:instrText xml:space="preserve"> PAGEREF _Toc242668356 \h </w:instrText>
            </w:r>
            <w:r>
              <w:rPr>
                <w:noProof/>
              </w:rPr>
            </w:r>
            <w:r>
              <w:rPr>
                <w:noProof/>
              </w:rPr>
              <w:fldChar w:fldCharType="separate"/>
            </w:r>
            <w:r>
              <w:rPr>
                <w:noProof/>
              </w:rPr>
              <w:t>4</w:t>
            </w:r>
            <w:r>
              <w:rPr>
                <w:noProof/>
              </w:rPr>
              <w:fldChar w:fldCharType="end"/>
            </w:r>
          </w:hyperlink>
        </w:p>
        <w:p w14:paraId="7F844DC8" w14:textId="768424CC" w:rsidR="007766BB" w:rsidRDefault="007766BB">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668357" w:history="1">
            <w:r w:rsidRPr="00714B84">
              <w:rPr>
                <w:rStyle w:val="Hyperlink"/>
                <w:noProof/>
              </w:rPr>
              <w:t>5. Replication reveals distinct modes of restoration</w:t>
            </w:r>
            <w:r>
              <w:rPr>
                <w:noProof/>
              </w:rPr>
              <w:tab/>
            </w:r>
            <w:r>
              <w:rPr>
                <w:noProof/>
              </w:rPr>
              <w:fldChar w:fldCharType="begin"/>
            </w:r>
            <w:r>
              <w:rPr>
                <w:noProof/>
              </w:rPr>
              <w:instrText xml:space="preserve"> PAGEREF _Toc242668357 \h </w:instrText>
            </w:r>
            <w:r>
              <w:rPr>
                <w:noProof/>
              </w:rPr>
            </w:r>
            <w:r>
              <w:rPr>
                <w:noProof/>
              </w:rPr>
              <w:fldChar w:fldCharType="separate"/>
            </w:r>
            <w:r>
              <w:rPr>
                <w:noProof/>
              </w:rPr>
              <w:t>4</w:t>
            </w:r>
            <w:r>
              <w:rPr>
                <w:noProof/>
              </w:rPr>
              <w:fldChar w:fldCharType="end"/>
            </w:r>
          </w:hyperlink>
        </w:p>
        <w:p w14:paraId="11A8F6A8" w14:textId="6B712B6C" w:rsidR="007766BB" w:rsidRDefault="007766BB">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668358" w:history="1">
            <w:r w:rsidRPr="00714B84">
              <w:rPr>
                <w:rStyle w:val="Hyperlink"/>
                <w:noProof/>
              </w:rPr>
              <w:t>6. Histone recycling and dynamic maintenance refine epigenetic memory</w:t>
            </w:r>
            <w:r>
              <w:rPr>
                <w:noProof/>
              </w:rPr>
              <w:tab/>
            </w:r>
            <w:r>
              <w:rPr>
                <w:noProof/>
              </w:rPr>
              <w:fldChar w:fldCharType="begin"/>
            </w:r>
            <w:r>
              <w:rPr>
                <w:noProof/>
              </w:rPr>
              <w:instrText xml:space="preserve"> PAGEREF _Toc242668358 \h </w:instrText>
            </w:r>
            <w:r>
              <w:rPr>
                <w:noProof/>
              </w:rPr>
            </w:r>
            <w:r>
              <w:rPr>
                <w:noProof/>
              </w:rPr>
              <w:fldChar w:fldCharType="separate"/>
            </w:r>
            <w:r>
              <w:rPr>
                <w:noProof/>
              </w:rPr>
              <w:t>5</w:t>
            </w:r>
            <w:r>
              <w:rPr>
                <w:noProof/>
              </w:rPr>
              <w:fldChar w:fldCharType="end"/>
            </w:r>
          </w:hyperlink>
        </w:p>
        <w:p w14:paraId="1A0B4E65" w14:textId="466E1A78" w:rsidR="007766BB" w:rsidRDefault="007766BB">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668359" w:history="1">
            <w:r w:rsidRPr="00714B84">
              <w:rPr>
                <w:rStyle w:val="Hyperlink"/>
                <w:noProof/>
              </w:rPr>
              <w:t>7. Damage-associated modifications organize signaling domains</w:t>
            </w:r>
            <w:r>
              <w:rPr>
                <w:noProof/>
              </w:rPr>
              <w:tab/>
            </w:r>
            <w:r>
              <w:rPr>
                <w:noProof/>
              </w:rPr>
              <w:fldChar w:fldCharType="begin"/>
            </w:r>
            <w:r>
              <w:rPr>
                <w:noProof/>
              </w:rPr>
              <w:instrText xml:space="preserve"> PAGEREF _Toc242668359 \h </w:instrText>
            </w:r>
            <w:r>
              <w:rPr>
                <w:noProof/>
              </w:rPr>
            </w:r>
            <w:r>
              <w:rPr>
                <w:noProof/>
              </w:rPr>
              <w:fldChar w:fldCharType="separate"/>
            </w:r>
            <w:r>
              <w:rPr>
                <w:noProof/>
              </w:rPr>
              <w:t>5</w:t>
            </w:r>
            <w:r>
              <w:rPr>
                <w:noProof/>
              </w:rPr>
              <w:fldChar w:fldCharType="end"/>
            </w:r>
          </w:hyperlink>
        </w:p>
        <w:p w14:paraId="3ECB377B" w14:textId="026B57D5" w:rsidR="007766BB" w:rsidRDefault="007766BB">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668360" w:history="1">
            <w:r w:rsidRPr="00714B84">
              <w:rPr>
                <w:rStyle w:val="Hyperlink"/>
                <w:noProof/>
              </w:rPr>
              <w:t>8. Metabolic modifications require substrate-specific evidence</w:t>
            </w:r>
            <w:r>
              <w:rPr>
                <w:noProof/>
              </w:rPr>
              <w:tab/>
            </w:r>
            <w:r>
              <w:rPr>
                <w:noProof/>
              </w:rPr>
              <w:fldChar w:fldCharType="begin"/>
            </w:r>
            <w:r>
              <w:rPr>
                <w:noProof/>
              </w:rPr>
              <w:instrText xml:space="preserve"> PAGEREF _Toc242668360 \h </w:instrText>
            </w:r>
            <w:r>
              <w:rPr>
                <w:noProof/>
              </w:rPr>
            </w:r>
            <w:r>
              <w:rPr>
                <w:noProof/>
              </w:rPr>
              <w:fldChar w:fldCharType="separate"/>
            </w:r>
            <w:r>
              <w:rPr>
                <w:noProof/>
              </w:rPr>
              <w:t>6</w:t>
            </w:r>
            <w:r>
              <w:rPr>
                <w:noProof/>
              </w:rPr>
              <w:fldChar w:fldCharType="end"/>
            </w:r>
          </w:hyperlink>
        </w:p>
        <w:p w14:paraId="151C4BC5" w14:textId="262031D7" w:rsidR="007766BB" w:rsidRDefault="007766BB">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668361" w:history="1">
            <w:r w:rsidRPr="00714B84">
              <w:rPr>
                <w:rStyle w:val="Hyperlink"/>
                <w:noProof/>
              </w:rPr>
              <w:t>9. Measurement and causal interpretation</w:t>
            </w:r>
            <w:r>
              <w:rPr>
                <w:noProof/>
              </w:rPr>
              <w:tab/>
            </w:r>
            <w:r>
              <w:rPr>
                <w:noProof/>
              </w:rPr>
              <w:fldChar w:fldCharType="begin"/>
            </w:r>
            <w:r>
              <w:rPr>
                <w:noProof/>
              </w:rPr>
              <w:instrText xml:space="preserve"> PAGEREF _Toc242668361 \h </w:instrText>
            </w:r>
            <w:r>
              <w:rPr>
                <w:noProof/>
              </w:rPr>
            </w:r>
            <w:r>
              <w:rPr>
                <w:noProof/>
              </w:rPr>
              <w:fldChar w:fldCharType="separate"/>
            </w:r>
            <w:r>
              <w:rPr>
                <w:noProof/>
              </w:rPr>
              <w:t>6</w:t>
            </w:r>
            <w:r>
              <w:rPr>
                <w:noProof/>
              </w:rPr>
              <w:fldChar w:fldCharType="end"/>
            </w:r>
          </w:hyperlink>
        </w:p>
        <w:p w14:paraId="79936F1F" w14:textId="6CBAC4E5" w:rsidR="007766BB" w:rsidRDefault="007766BB">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668362" w:history="1">
            <w:r w:rsidRPr="00714B84">
              <w:rPr>
                <w:rStyle w:val="Hyperlink"/>
                <w:noProof/>
              </w:rPr>
              <w:t>10. Current synthesis</w:t>
            </w:r>
            <w:r>
              <w:rPr>
                <w:noProof/>
              </w:rPr>
              <w:tab/>
            </w:r>
            <w:r>
              <w:rPr>
                <w:noProof/>
              </w:rPr>
              <w:fldChar w:fldCharType="begin"/>
            </w:r>
            <w:r>
              <w:rPr>
                <w:noProof/>
              </w:rPr>
              <w:instrText xml:space="preserve"> PAGEREF _Toc242668362 \h </w:instrText>
            </w:r>
            <w:r>
              <w:rPr>
                <w:noProof/>
              </w:rPr>
            </w:r>
            <w:r>
              <w:rPr>
                <w:noProof/>
              </w:rPr>
              <w:fldChar w:fldCharType="separate"/>
            </w:r>
            <w:r>
              <w:rPr>
                <w:noProof/>
              </w:rPr>
              <w:t>7</w:t>
            </w:r>
            <w:r>
              <w:rPr>
                <w:noProof/>
              </w:rPr>
              <w:fldChar w:fldCharType="end"/>
            </w:r>
          </w:hyperlink>
        </w:p>
        <w:p w14:paraId="281AFF0F" w14:textId="7D1217CD" w:rsidR="007766BB" w:rsidRDefault="007766BB">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668363" w:history="1">
            <w:r w:rsidRPr="00714B84">
              <w:rPr>
                <w:rStyle w:val="Hyperlink"/>
                <w:noProof/>
              </w:rPr>
              <w:t>References</w:t>
            </w:r>
            <w:r>
              <w:rPr>
                <w:noProof/>
              </w:rPr>
              <w:tab/>
            </w:r>
            <w:r>
              <w:rPr>
                <w:noProof/>
              </w:rPr>
              <w:fldChar w:fldCharType="begin"/>
            </w:r>
            <w:r>
              <w:rPr>
                <w:noProof/>
              </w:rPr>
              <w:instrText xml:space="preserve"> PAGEREF _Toc242668363 \h </w:instrText>
            </w:r>
            <w:r>
              <w:rPr>
                <w:noProof/>
              </w:rPr>
            </w:r>
            <w:r>
              <w:rPr>
                <w:noProof/>
              </w:rPr>
              <w:fldChar w:fldCharType="separate"/>
            </w:r>
            <w:r>
              <w:rPr>
                <w:noProof/>
              </w:rPr>
              <w:t>7</w:t>
            </w:r>
            <w:r>
              <w:rPr>
                <w:noProof/>
              </w:rPr>
              <w:fldChar w:fldCharType="end"/>
            </w:r>
          </w:hyperlink>
        </w:p>
        <w:p w14:paraId="2EB7B399" w14:textId="2B37ABAC" w:rsidR="007766BB" w:rsidRDefault="007766BB">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668364" w:history="1">
            <w:r w:rsidRPr="00714B84">
              <w:rPr>
                <w:rStyle w:val="Hyperlink"/>
                <w:noProof/>
              </w:rPr>
              <w:t>Evidence scope</w:t>
            </w:r>
            <w:r>
              <w:rPr>
                <w:noProof/>
              </w:rPr>
              <w:tab/>
            </w:r>
            <w:r>
              <w:rPr>
                <w:noProof/>
              </w:rPr>
              <w:fldChar w:fldCharType="begin"/>
            </w:r>
            <w:r>
              <w:rPr>
                <w:noProof/>
              </w:rPr>
              <w:instrText xml:space="preserve"> PAGEREF _Toc242668364 \h </w:instrText>
            </w:r>
            <w:r>
              <w:rPr>
                <w:noProof/>
              </w:rPr>
            </w:r>
            <w:r>
              <w:rPr>
                <w:noProof/>
              </w:rPr>
              <w:fldChar w:fldCharType="separate"/>
            </w:r>
            <w:r>
              <w:rPr>
                <w:noProof/>
              </w:rPr>
              <w:t>8</w:t>
            </w:r>
            <w:r>
              <w:rPr>
                <w:noProof/>
              </w:rPr>
              <w:fldChar w:fldCharType="end"/>
            </w:r>
          </w:hyperlink>
        </w:p>
        <w:p w14:paraId="1398998D" w14:textId="5871C38E" w:rsidR="009E5D07" w:rsidRDefault="00567DF0">
          <w:r>
            <w:fldChar w:fldCharType="end"/>
          </w:r>
        </w:p>
      </w:sdtContent>
    </w:sdt>
    <w:p w14:paraId="60477383" w14:textId="77777777" w:rsidR="009E5D07" w:rsidRDefault="00567DF0">
      <w:pPr>
        <w:pStyle w:val="Heading1"/>
      </w:pPr>
      <w:bookmarkStart w:id="1" w:name="_Toc242668353"/>
      <w:r>
        <w:t>1. Chemical diversity and useful terminology</w:t>
      </w:r>
      <w:bookmarkEnd w:id="1"/>
    </w:p>
    <w:p w14:paraId="302758C2" w14:textId="0406F279" w:rsidR="009E5D07" w:rsidRDefault="00567DF0">
      <w:r>
        <w:t>The histone modification vocabulary includes acetylation, methylation, phosphorylation and attachment of larger groups such as ubiquitin, with newer acyl modifications extending the repertoire. The chemical class is only a starting point. Lysine methylation can occupy different methyl states, while the same residue can participate in mutually exclusive modifications. The foundational framework distinguishes effects on chromatin contacts from effects on recruitment, providing a functional question for each c</w:t>
      </w:r>
      <w:r>
        <w:t>hemical observation.</w:t>
      </w:r>
      <w:hyperlink r:id="rId16" w:history="1">
        <w:r>
          <w:rPr>
            <w:color w:val="087B78"/>
            <w:sz w:val="18"/>
            <w:szCs w:val="18"/>
          </w:rPr>
          <w:t xml:space="preserve"> [15]</w:t>
        </w:r>
      </w:hyperlink>
      <w:hyperlink r:id="rId17" w:history="1">
        <w:r>
          <w:rPr>
            <w:color w:val="087B78"/>
            <w:sz w:val="18"/>
            <w:szCs w:val="18"/>
          </w:rPr>
          <w:t xml:space="preserve"> [18]</w:t>
        </w:r>
      </w:hyperlink>
    </w:p>
    <w:p w14:paraId="7084E117" w14:textId="4437E228" w:rsidR="009E5D07" w:rsidRDefault="00567DF0">
      <w:r>
        <w:t xml:space="preserve">A nucleosome is a structured DNA–protein assembly, not a blank platform carrying independent labels. Its histone-fold contacts and DNA geometry determine where a modification lies relative to the DNA or neighboring particles. Tail modifications may affect exposed interactions, but changes in protein recognition and changes in physical contacts are not exclusive. The chemically defined H4K16 experiment demonstrates both altered array interactions and altered remodeling, making the structural context part of </w:t>
      </w:r>
      <w:r>
        <w:t>the mechanism.</w:t>
      </w:r>
      <w:hyperlink r:id="rId18" w:history="1">
        <w:r>
          <w:rPr>
            <w:color w:val="087B78"/>
            <w:sz w:val="18"/>
            <w:szCs w:val="18"/>
          </w:rPr>
          <w:t xml:space="preserve"> [1]</w:t>
        </w:r>
      </w:hyperlink>
      <w:hyperlink r:id="rId19" w:history="1">
        <w:r>
          <w:rPr>
            <w:color w:val="087B78"/>
            <w:sz w:val="18"/>
            <w:szCs w:val="18"/>
          </w:rPr>
          <w:t xml:space="preserve"> [3]</w:t>
        </w:r>
      </w:hyperlink>
    </w:p>
    <w:p w14:paraId="34BC2EA9" w14:textId="75BF4975" w:rsidR="009E5D07" w:rsidRDefault="00567DF0">
      <w:r>
        <w:t>The terms writer, eraser and reader describe roles rather than complete protein identities. A modifying enzyme can have additional substrates and recruitment functions; a reader can belong to a complex with catalytic or structural activity. These relationships become important when an enzyme is deleted or inhibited. The resulting cellular phenotype cannot automatically be assigned to one histone residue simply because that residue changes in parallel.</w:t>
      </w:r>
      <w:hyperlink r:id="rId20" w:history="1">
        <w:r>
          <w:rPr>
            <w:color w:val="087B78"/>
            <w:sz w:val="18"/>
            <w:szCs w:val="18"/>
          </w:rPr>
          <w:t xml:space="preserve"> [15]</w:t>
        </w:r>
      </w:hyperlink>
      <w:hyperlink r:id="rId21" w:history="1">
        <w:r>
          <w:rPr>
            <w:color w:val="087B78"/>
            <w:sz w:val="18"/>
            <w:szCs w:val="18"/>
          </w:rPr>
          <w:t xml:space="preserve"> [16]</w:t>
        </w:r>
      </w:hyperlink>
      <w:hyperlink r:id="rId22" w:history="1">
        <w:r>
          <w:rPr>
            <w:color w:val="087B78"/>
            <w:sz w:val="18"/>
            <w:szCs w:val="18"/>
          </w:rPr>
          <w:t xml:space="preserve"> [19]</w:t>
        </w:r>
      </w:hyperlink>
    </w:p>
    <w:p w14:paraId="3256D440" w14:textId="77777777" w:rsidR="009E5D07" w:rsidRDefault="00567DF0">
      <w:pPr>
        <w:pStyle w:val="Heading1"/>
      </w:pPr>
      <w:bookmarkStart w:id="2" w:name="_Toc242668354"/>
      <w:r>
        <w:lastRenderedPageBreak/>
        <w:t>2. Direct physical effects can be tested with defined substrates</w:t>
      </w:r>
      <w:bookmarkEnd w:id="2"/>
    </w:p>
    <w:p w14:paraId="48196055" w14:textId="1E03A745" w:rsidR="009E5D07" w:rsidRDefault="00567DF0">
      <w:r>
        <w:t>Shogren-Knaak and colleagues produced histone H4 homogeneously acetylated at K16 and incorporated it into nucleosomal arrays. The modification inhibited compact-fiber formation and cross-fiber associations under the studied conditions. Because the substrate modification was defined, the experiment directly connects a specific chemical change to physical interactions. This is stronger mechanistic evidence than a correlation between bulk acetylation and a diffuse-looking nucleus.</w:t>
      </w:r>
      <w:hyperlink r:id="rId23" w:history="1">
        <w:r>
          <w:rPr>
            <w:color w:val="087B78"/>
            <w:sz w:val="18"/>
            <w:szCs w:val="18"/>
          </w:rPr>
          <w:t xml:space="preserve"> [3]</w:t>
        </w:r>
      </w:hyperlink>
    </w:p>
    <w:p w14:paraId="109188DB" w14:textId="39D20AEB" w:rsidR="009E5D07" w:rsidRDefault="00567DF0">
      <w:r>
        <w:t>The same study found that H4K16 acetylation inhibited ACF-mediated mononucleosome mobilization. It therefore also affected a protein-machine interaction at a different organizational scale. A mark can change an enzyme’s action even when an experiment is not probing a higher-order fiber. This duality is useful when interpreting a cellular phenotype: physical decompaction and altered remodeling can both be consequences of the same chemical intervention, and each requires an appropriate readout.</w:t>
      </w:r>
      <w:hyperlink r:id="rId24" w:history="1">
        <w:r>
          <w:rPr>
            <w:color w:val="087B78"/>
            <w:sz w:val="18"/>
            <w:szCs w:val="18"/>
          </w:rPr>
          <w:t xml:space="preserve"> [3]</w:t>
        </w:r>
      </w:hyperlink>
    </w:p>
    <w:p w14:paraId="3A3BE338" w14:textId="485E8667" w:rsidR="009E5D07" w:rsidRDefault="00567DF0">
      <w:r>
        <w:t>Reconstituted array condensation further showed regulation by histone acetylation and linker histones. The effect depends on the array composition and solution regime, while repeat-length comparisons demonstrate another source of structural variation. These findings motivate molecular explanations of chromatin material behavior, but do not assign one compulsory structure to every acetylated or methylated cellular region. Defined-substrate experiments establish a capacity that can subsequently be tested in n</w:t>
      </w:r>
      <w:r>
        <w:t>ative chromatin.</w:t>
      </w:r>
      <w:hyperlink r:id="rId25" w:history="1">
        <w:r>
          <w:rPr>
            <w:color w:val="087B78"/>
            <w:sz w:val="18"/>
            <w:szCs w:val="18"/>
          </w:rPr>
          <w:t xml:space="preserve"> [4]</w:t>
        </w:r>
      </w:hyperlink>
      <w:hyperlink r:id="rId26" w:history="1">
        <w:r>
          <w:rPr>
            <w:color w:val="087B78"/>
            <w:sz w:val="18"/>
            <w:szCs w:val="18"/>
          </w:rPr>
          <w:t xml:space="preserve"> [2]</w:t>
        </w:r>
      </w:hyperlink>
    </w:p>
    <w:p w14:paraId="2688B4E3" w14:textId="77777777" w:rsidR="009E5D07" w:rsidRDefault="00567DF0">
      <w:pPr>
        <w:pStyle w:val="Heading1"/>
      </w:pPr>
      <w:bookmarkStart w:id="3" w:name="_Toc242668355"/>
      <w:r>
        <w:t>3. Molecular recognition gives residue-specific meaning</w:t>
      </w:r>
      <w:bookmarkEnd w:id="3"/>
    </w:p>
    <w:p w14:paraId="65901E43" w14:textId="44FB37A1" w:rsidR="009E5D07" w:rsidRDefault="00567DF0">
      <w:r>
        <w:t>The H3K9–HP1 studies established a direct reader interaction. HP1 chromodomains recognized methylated H3K9, with specificity comparisons and mutations linking the binding interface to cellular localization or silencing. In primary mouse fibroblasts lacking the relevant Suv39h enzymes, HP1 heterochromatin association was lost and could be restored by catalytically active enzyme. A defined recognition step thus connects a modification to recruitment, while later domain behavior remains a broader question.</w:t>
      </w:r>
      <w:hyperlink r:id="rId27" w:history="1">
        <w:r>
          <w:rPr>
            <w:color w:val="087B78"/>
            <w:sz w:val="18"/>
            <w:szCs w:val="18"/>
          </w:rPr>
          <w:t xml:space="preserve"> [5]</w:t>
        </w:r>
      </w:hyperlink>
      <w:hyperlink r:id="rId28" w:history="1">
        <w:r>
          <w:rPr>
            <w:color w:val="087B78"/>
            <w:sz w:val="18"/>
            <w:szCs w:val="18"/>
          </w:rPr>
          <w:t xml:space="preserve"> [6]</w:t>
        </w:r>
      </w:hyperlink>
    </w:p>
    <w:p w14:paraId="64E5DA36" w14:textId="21128B72" w:rsidR="009E5D07" w:rsidRDefault="00567DF0">
      <w:r>
        <w:t>Polycomb provides a different form of recognition. EED binding to repressive trimethyl-lysine marks allosterically activated PRC2, and recognition-defective mutants altered activity and biological outcomes in the tested systems. Reader activity can therefore influence further writing, creating feedback rather than merely decorating an already completed domain. The result motivates mark propagation but does not by itself specify genomic targeting or complete heritable identity.</w:t>
      </w:r>
      <w:hyperlink r:id="rId29" w:history="1">
        <w:r>
          <w:rPr>
            <w:color w:val="087B78"/>
            <w:sz w:val="18"/>
            <w:szCs w:val="18"/>
          </w:rPr>
          <w:t xml:space="preserve"> [7]</w:t>
        </w:r>
      </w:hyperlink>
    </w:p>
    <w:p w14:paraId="60F13CB5" w14:textId="02B3959D" w:rsidR="009E5D07" w:rsidRDefault="00567DF0">
      <w:r>
        <w:t>These examples also show why methylation should not be summarized as simply activating or repressing. The molecular consequence depends on the residue and on the protein that recognizes it. Enhancer-associated histone signatures and H3K9-recognition experiments concern different chemical contexts and regulatory programs. A useful mechanistic account names the interaction and the genomic state, then asks which part of that interaction is necessary for the measured biological outcome.</w:t>
      </w:r>
      <w:hyperlink r:id="rId30" w:history="1">
        <w:r>
          <w:rPr>
            <w:color w:val="087B78"/>
            <w:sz w:val="18"/>
            <w:szCs w:val="18"/>
          </w:rPr>
          <w:t xml:space="preserve"> [5]</w:t>
        </w:r>
      </w:hyperlink>
      <w:hyperlink r:id="rId31" w:history="1">
        <w:r>
          <w:rPr>
            <w:color w:val="087B78"/>
            <w:sz w:val="18"/>
            <w:szCs w:val="18"/>
          </w:rPr>
          <w:t xml:space="preserve"> [6]</w:t>
        </w:r>
      </w:hyperlink>
      <w:hyperlink r:id="rId32" w:history="1">
        <w:r>
          <w:rPr>
            <w:color w:val="087B78"/>
            <w:sz w:val="18"/>
            <w:szCs w:val="18"/>
          </w:rPr>
          <w:t xml:space="preserve"> [10]</w:t>
        </w:r>
      </w:hyperlink>
    </w:p>
    <w:p w14:paraId="21B2C598" w14:textId="77777777" w:rsidR="009E5D07" w:rsidRDefault="00567DF0">
      <w:pPr>
        <w:pStyle w:val="Heading1"/>
      </w:pPr>
      <w:bookmarkStart w:id="4" w:name="_Toc242668356"/>
      <w:r>
        <w:lastRenderedPageBreak/>
        <w:t>4. Marks and their regulators have separable functions</w:t>
      </w:r>
      <w:bookmarkEnd w:id="4"/>
    </w:p>
    <w:p w14:paraId="625329E4" w14:textId="3822B40A" w:rsidR="009E5D07" w:rsidRDefault="00567DF0">
      <w:r>
        <w:t>You and colleagues studied mutations in NCoR and SMRT domains that activate HDAC3. Endogenous deacetylase activity became undetectable in the tested assays while HDAC3 protein persisted. The comparison separates the presence of an enzyme from detectable catalysis. It also illustrates the importance of regulatory partners: activity is a property of a functional molecular context, not an invariant consequence of measuring protein abundance.</w:t>
      </w:r>
      <w:hyperlink r:id="rId33" w:history="1">
        <w:r>
          <w:rPr>
            <w:color w:val="087B78"/>
            <w:sz w:val="18"/>
            <w:szCs w:val="18"/>
          </w:rPr>
          <w:t xml:space="preserve"> [16]</w:t>
        </w:r>
      </w:hyperlink>
    </w:p>
    <w:p w14:paraId="2B7AE938" w14:textId="0D5E4BC3" w:rsidR="009E5D07" w:rsidRDefault="00567DF0">
      <w:r>
        <w:t>The same intervention affected HDAC3 recruitment as well as activity, so it was not a complete isolation of all catalytic and noncatalytic variables. Residual activity below assay background also remains possible. These limits are mechanistically informative because they identify the next comparison needed. Protein removal, partner mutation and catalytic inhibition can yield different outcomes, and their agreement or divergence can help allocate a regulator’s cellular roles.</w:t>
      </w:r>
      <w:hyperlink r:id="rId34" w:history="1">
        <w:r>
          <w:rPr>
            <w:color w:val="087B78"/>
            <w:sz w:val="18"/>
            <w:szCs w:val="18"/>
          </w:rPr>
          <w:t xml:space="preserve"> [16]</w:t>
        </w:r>
      </w:hyperlink>
    </w:p>
    <w:p w14:paraId="2551D792" w14:textId="7C0F5787" w:rsidR="009E5D07" w:rsidRDefault="00567DF0">
      <w:r>
        <w:t>Genomic marks likewise require context. Human enhancer signatures varied with cell type and correlated with expression programs, whereas a new SWI/SNF study placed gene dependence in the surrounding chromatin landscape. Chemical annotations can therefore help describe regulatory competence and molecular dependence without functioning as deterministic commands. The same annotation should be compared with occupancy, accessibility and expression when causality is proposed.</w:t>
      </w:r>
      <w:hyperlink r:id="rId35" w:history="1">
        <w:r>
          <w:rPr>
            <w:color w:val="087B78"/>
            <w:sz w:val="18"/>
            <w:szCs w:val="18"/>
          </w:rPr>
          <w:t xml:space="preserve"> [10]</w:t>
        </w:r>
      </w:hyperlink>
      <w:hyperlink r:id="rId36" w:history="1">
        <w:r>
          <w:rPr>
            <w:color w:val="087B78"/>
            <w:sz w:val="18"/>
            <w:szCs w:val="18"/>
          </w:rPr>
          <w:t xml:space="preserve"> [11]</w:t>
        </w:r>
      </w:hyperlink>
      <w:hyperlink r:id="rId37" w:history="1">
        <w:r>
          <w:rPr>
            <w:color w:val="087B78"/>
            <w:sz w:val="18"/>
            <w:szCs w:val="18"/>
          </w:rPr>
          <w:t xml:space="preserve"> [9]</w:t>
        </w:r>
      </w:hyperlink>
    </w:p>
    <w:p w14:paraId="4FC7C7CA" w14:textId="77777777" w:rsidR="009E5D07" w:rsidRDefault="00567DF0">
      <w:pPr>
        <w:pStyle w:val="Heading1"/>
      </w:pPr>
      <w:bookmarkStart w:id="5" w:name="_Toc242668357"/>
      <w:r>
        <w:t>5. Replication reveals distinct modes of restoration</w:t>
      </w:r>
      <w:bookmarkEnd w:id="5"/>
    </w:p>
    <w:p w14:paraId="3E4882B9" w14:textId="093C801F" w:rsidR="009E5D07" w:rsidRDefault="00567DF0">
      <w:r>
        <w:t>Alabert and colleagues used nascent-chromatin capture, isotope labeling and mass spectrometry to distinguish old and newly synthesized histones. Recycled parental histones carried a range of methylation states, while new histones gradually acquired many parental-like patterns. H3K27me3 and H3K9me3 behaved differently, accumulating on both old and new histones over a longer trajectory. This directly establishes modification-specific restoration rather than instantaneous duplication of a completed pattern.</w:t>
      </w:r>
      <w:hyperlink r:id="rId38" w:history="1">
        <w:r>
          <w:rPr>
            <w:color w:val="087B78"/>
            <w:sz w:val="18"/>
            <w:szCs w:val="18"/>
          </w:rPr>
          <w:t xml:space="preserve"> [12]</w:t>
        </w:r>
      </w:hyperlink>
    </w:p>
    <w:p w14:paraId="7ECBD416" w14:textId="6D0B2D67" w:rsidR="009E5D07" w:rsidRDefault="00567DF0">
      <w:r>
        <w:t>A mass-spectrometry peptide measurement establishes chemical states in recovered histone populations. It does not supply every modification’s genomic address, nor show that two measured marks coexist on the same nucleosome. The study’s kinetic design is strong for parental-versus-new comparisons, while spatial assignment requires additional experiments. This distinction matters when one attempts to translate a global abundance change into a claim about a particular enhancer or heterochromatin domain.</w:t>
      </w:r>
      <w:hyperlink r:id="rId39" w:history="1">
        <w:r>
          <w:rPr>
            <w:color w:val="087B78"/>
            <w:sz w:val="18"/>
            <w:szCs w:val="18"/>
          </w:rPr>
          <w:t xml:space="preserve"> [12]</w:t>
        </w:r>
      </w:hyperlink>
    </w:p>
    <w:p w14:paraId="6C944ADF" w14:textId="192F8458" w:rsidR="009E5D07" w:rsidRDefault="00567DF0">
      <w:r>
        <w:t>Liu and colleagues linked H1-dependent compaction to H3K27me3 restoration on newly replicated DNA in mouse embryonic stem cells. Selected H1 depletion delayed restoration and altered the mark landscape. Physical substrate organization therefore contributes to a process often described only as reader–writer chemistry. The result remains bounded by the subtype mixture and chronic depletion, but it gives a clear testable connection between local chromatin properties and post-replication chemical recovery.</w:t>
      </w:r>
      <w:hyperlink r:id="rId40" w:history="1">
        <w:r>
          <w:rPr>
            <w:color w:val="087B78"/>
            <w:sz w:val="18"/>
            <w:szCs w:val="18"/>
          </w:rPr>
          <w:t xml:space="preserve"> [13]</w:t>
        </w:r>
      </w:hyperlink>
    </w:p>
    <w:p w14:paraId="10094905" w14:textId="77777777" w:rsidR="009E5D07" w:rsidRDefault="00567DF0">
      <w:pPr>
        <w:pStyle w:val="Heading1"/>
      </w:pPr>
      <w:bookmarkStart w:id="6" w:name="_Toc242668358"/>
      <w:r>
        <w:lastRenderedPageBreak/>
        <w:t>6. Histone recycling and dynamic maintenance refine epigenetic memory</w:t>
      </w:r>
      <w:bookmarkEnd w:id="6"/>
    </w:p>
    <w:p w14:paraId="4F430FF8" w14:textId="4EA37B3E" w:rsidR="009E5D07" w:rsidRDefault="00567DF0">
      <w:r>
        <w:t>The 2024 fork-protection-complex study connected parental histone recycling to maintenance of epigenetic information. This places histone handling at the replication fork upstream of the later modification landscape. A parental mark can contribute only if the relevant histone material is retained and reused in a meaningful context. The finding complements, rather than replaces, biochemical feedback mechanisms that restore methylation on the reconstructed substrate.</w:t>
      </w:r>
      <w:hyperlink r:id="rId41" w:history="1">
        <w:r>
          <w:rPr>
            <w:color w:val="087B78"/>
            <w:sz w:val="18"/>
            <w:szCs w:val="18"/>
          </w:rPr>
          <w:t xml:space="preserve"> [14]</w:t>
        </w:r>
      </w:hyperlink>
      <w:hyperlink r:id="rId42" w:history="1">
        <w:r>
          <w:rPr>
            <w:color w:val="087B78"/>
            <w:sz w:val="18"/>
            <w:szCs w:val="18"/>
          </w:rPr>
          <w:t xml:space="preserve"> [7]</w:t>
        </w:r>
      </w:hyperlink>
    </w:p>
    <w:p w14:paraId="5AC87E0D" w14:textId="70550C34" w:rsidR="009E5D07" w:rsidRDefault="00567DF0">
      <w:r>
        <w:t>The acute H3K9me3 study provided a different temporal experiment by rapidly removing methyltransferases in engineered pluripotent cells. Multiple stability classes emerged, and both passive dilution and active removal contributed to mark decay. HP1 thresholds were associated with chromatin opening and pioneer binding. A state that appears stable before perturbation may therefore depend on continuing activities, with different regions revealing different maintenance demands.</w:t>
      </w:r>
      <w:hyperlink r:id="rId43" w:history="1">
        <w:r>
          <w:rPr>
            <w:color w:val="087B78"/>
            <w:sz w:val="18"/>
            <w:szCs w:val="18"/>
          </w:rPr>
          <w:t xml:space="preserve"> [8]</w:t>
        </w:r>
      </w:hyperlink>
    </w:p>
    <w:p w14:paraId="58989435" w14:textId="45510460" w:rsidR="009E5D07" w:rsidRDefault="00567DF0">
      <w:r>
        <w:t>Epigenetic memory should consequently be treated as a functional persistence question. A mark’s survival, its restoration after replication and the persistence of gene regulation are connected but distinct observations. Histone recycling, reader–writer feedback and ongoing opposing activities can all contribute. The primary studies motivate a layered memory model; they do not establish that any one histone modification autonomously stores the complete identity of a cell.</w:t>
      </w:r>
      <w:hyperlink r:id="rId44" w:history="1">
        <w:r>
          <w:rPr>
            <w:color w:val="087B78"/>
            <w:sz w:val="18"/>
            <w:szCs w:val="18"/>
          </w:rPr>
          <w:t xml:space="preserve"> [14]</w:t>
        </w:r>
      </w:hyperlink>
      <w:hyperlink r:id="rId45" w:history="1">
        <w:r>
          <w:rPr>
            <w:color w:val="087B78"/>
            <w:sz w:val="18"/>
            <w:szCs w:val="18"/>
          </w:rPr>
          <w:t xml:space="preserve"> [12]</w:t>
        </w:r>
      </w:hyperlink>
      <w:hyperlink r:id="rId46" w:history="1">
        <w:r>
          <w:rPr>
            <w:color w:val="087B78"/>
            <w:sz w:val="18"/>
            <w:szCs w:val="18"/>
          </w:rPr>
          <w:t xml:space="preserve"> [7]</w:t>
        </w:r>
      </w:hyperlink>
      <w:hyperlink r:id="rId47" w:history="1">
        <w:r>
          <w:rPr>
            <w:color w:val="087B78"/>
            <w:sz w:val="18"/>
            <w:szCs w:val="18"/>
          </w:rPr>
          <w:t xml:space="preserve"> [8]</w:t>
        </w:r>
      </w:hyperlink>
    </w:p>
    <w:p w14:paraId="707AAD23" w14:textId="77777777" w:rsidR="009E5D07" w:rsidRDefault="00567DF0">
      <w:pPr>
        <w:pStyle w:val="Heading1"/>
      </w:pPr>
      <w:bookmarkStart w:id="7" w:name="_Toc242668359"/>
      <w:r>
        <w:t>7. Damage-associated modifications organize signaling domains</w:t>
      </w:r>
      <w:bookmarkEnd w:id="7"/>
    </w:p>
    <w:p w14:paraId="2D510988" w14:textId="39E3B2DE" w:rsidR="009E5D07" w:rsidRDefault="00567DF0">
      <w:r>
        <w:t>Rogakou and colleagues demonstrated H2AX Ser139 phosphorylation at chromosomal sites of DNA double-strand breaks in irradiation and microbeam comparisons. The resulting γH2AX signal extended into chromatin domains and could be visualized as foci or chromosome bands. This provides a chemical readout of a damage-response environment. The focus represents modified chromatin around a lesion, rather than a direct image of the chemical break itself.</w:t>
      </w:r>
      <w:hyperlink r:id="rId48" w:history="1">
        <w:r>
          <w:rPr>
            <w:color w:val="087B78"/>
            <w:sz w:val="18"/>
            <w:szCs w:val="18"/>
          </w:rPr>
          <w:t xml:space="preserve"> [20]</w:t>
        </w:r>
      </w:hyperlink>
    </w:p>
    <w:p w14:paraId="18E77CF3" w14:textId="2B9FC1F6" w:rsidR="009E5D07" w:rsidRDefault="00567DF0">
      <w:r>
        <w:t>A later mapping study examined twenty chromatin features at defined human break sites and identified repair-associated patterns, including a change from H2BK120 monoubiquitination to acetylation. Multiple modification classes can therefore participate in the response, with patterns associated with different repair contexts. The study supports chromatin signatures at the tested breaks; a signature is not interchangeable with the final molecular product of completed repair.</w:t>
      </w:r>
      <w:hyperlink r:id="rId49" w:history="1">
        <w:r>
          <w:rPr>
            <w:color w:val="087B78"/>
            <w:sz w:val="18"/>
            <w:szCs w:val="18"/>
          </w:rPr>
          <w:t xml:space="preserve"> [21]</w:t>
        </w:r>
      </w:hyperlink>
    </w:p>
    <w:p w14:paraId="03B14841" w14:textId="5DF3FC65" w:rsidR="009E5D07" w:rsidRDefault="00567DF0">
      <w:r>
        <w:t>The lesson extends to imaging interpretation. A change in a histone-modification focus may indicate altered signaling, domain size or protein recruitment. Demonstrating repair completion requires an independent endpoint appropriate to the lesion and pathway. Modification maps are powerful precisely because they reveal the chromatin response, while retaining that distinction prevents a reversible chemical readout from being overinterpreted as a definitive genome-integrity measurement.</w:t>
      </w:r>
      <w:hyperlink r:id="rId50" w:history="1">
        <w:r>
          <w:rPr>
            <w:color w:val="087B78"/>
            <w:sz w:val="18"/>
            <w:szCs w:val="18"/>
          </w:rPr>
          <w:t xml:space="preserve"> [20]</w:t>
        </w:r>
      </w:hyperlink>
      <w:hyperlink r:id="rId51" w:history="1">
        <w:r>
          <w:rPr>
            <w:color w:val="087B78"/>
            <w:sz w:val="18"/>
            <w:szCs w:val="18"/>
          </w:rPr>
          <w:t xml:space="preserve"> [21]</w:t>
        </w:r>
      </w:hyperlink>
    </w:p>
    <w:p w14:paraId="432D8E26" w14:textId="77777777" w:rsidR="009E5D07" w:rsidRDefault="00567DF0">
      <w:pPr>
        <w:pStyle w:val="Heading1"/>
      </w:pPr>
      <w:bookmarkStart w:id="8" w:name="_Toc242668360"/>
      <w:r>
        <w:lastRenderedPageBreak/>
        <w:t>8. Metabolic modifications require substrate-specific evidence</w:t>
      </w:r>
      <w:bookmarkEnd w:id="8"/>
    </w:p>
    <w:p w14:paraId="45B32BE9" w14:textId="062B1141" w:rsidR="009E5D07" w:rsidRDefault="00567DF0">
      <w:r>
        <w:t>Zhang and colleagues identified lysine lactylation on core histones in human and mouse cells and studied its transcriptional effects in bacterially challenged M1 macrophages. Histone lactylation followed temporal behavior distinct from acetylation, with later homeostatic-gene induction in the examined polarization setting. This expanded the chemical connection between metabolism and chromatin. The proposed lactate-clock interpretation is a model of that response, not a universal timing rule for every tissue</w:t>
      </w:r>
      <w:r>
        <w:t>.</w:t>
      </w:r>
      <w:hyperlink r:id="rId52" w:history="1">
        <w:r>
          <w:rPr>
            <w:color w:val="087B78"/>
            <w:sz w:val="18"/>
            <w:szCs w:val="18"/>
          </w:rPr>
          <w:t xml:space="preserve"> [18]</w:t>
        </w:r>
      </w:hyperlink>
    </w:p>
    <w:p w14:paraId="05A856E6" w14:textId="0AB0B836" w:rsidR="009E5D07" w:rsidRDefault="00567DF0">
      <w:r>
        <w:t>The 2024 AARS1 study demonstrated direct lactate- and ATP-dependent protein lactyltransferase activity and focused on YAP–TEAD signaling in gastric-cancer systems. This is a useful contemporary distinction: a newly identified lactylation enzyme and a nonhistone substrate are not automatically evidence that the same enzyme writes every histone lactylation mark. Substrate identity and direct biochemical activity must be retained when translating a metabolic discovery into a chromatin mechanism.</w:t>
      </w:r>
      <w:hyperlink r:id="rId53" w:history="1">
        <w:r>
          <w:rPr>
            <w:color w:val="087B78"/>
            <w:sz w:val="18"/>
            <w:szCs w:val="18"/>
          </w:rPr>
          <w:t xml:space="preserve"> [19]</w:t>
        </w:r>
      </w:hyperlink>
      <w:hyperlink r:id="rId54" w:history="1">
        <w:r>
          <w:rPr>
            <w:color w:val="087B78"/>
            <w:sz w:val="18"/>
            <w:szCs w:val="18"/>
          </w:rPr>
          <w:t xml:space="preserve"> [18]</w:t>
        </w:r>
      </w:hyperlink>
    </w:p>
    <w:p w14:paraId="261A7373" w14:textId="0D37CD10" w:rsidR="009E5D07" w:rsidRDefault="00567DF0">
      <w:r>
        <w:t>Metabolic interventions can therefore change histone chemistry and signaling proteins in parallel. A convincing causal account identifies the donor, the enzyme, the histone residue or nonhistone substrate and the relevant genomic or signaling output. The two primary studies establish different parts of that chain. They motivate broader investigation but do not justify assigning every lactate-associated transcriptional change solely to histone modification.</w:t>
      </w:r>
      <w:hyperlink r:id="rId55" w:history="1">
        <w:r>
          <w:rPr>
            <w:color w:val="087B78"/>
            <w:sz w:val="18"/>
            <w:szCs w:val="18"/>
          </w:rPr>
          <w:t xml:space="preserve"> [19]</w:t>
        </w:r>
      </w:hyperlink>
      <w:hyperlink r:id="rId56" w:history="1">
        <w:r>
          <w:rPr>
            <w:color w:val="087B78"/>
            <w:sz w:val="18"/>
            <w:szCs w:val="18"/>
          </w:rPr>
          <w:t xml:space="preserve"> [18]</w:t>
        </w:r>
      </w:hyperlink>
    </w:p>
    <w:p w14:paraId="5FCBB79A" w14:textId="77777777" w:rsidR="009E5D07" w:rsidRDefault="00567DF0">
      <w:pPr>
        <w:pStyle w:val="Heading1"/>
      </w:pPr>
      <w:bookmarkStart w:id="9" w:name="_Toc242668361"/>
      <w:r>
        <w:t>9. Measurement and causal interpretation</w:t>
      </w:r>
      <w:bookmarkEnd w:id="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9E5D07" w14:paraId="43E7658E" w14:textId="77777777">
        <w:tblPrEx>
          <w:tblCellMar>
            <w:top w:w="0" w:type="dxa"/>
            <w:bottom w:w="0" w:type="dxa"/>
          </w:tblCellMar>
        </w:tblPrEx>
        <w:trPr>
          <w:cantSplit/>
          <w:tblHeader/>
        </w:trPr>
        <w:tc>
          <w:tcPr>
            <w:tcW w:w="3120" w:type="dxa"/>
            <w:shd w:val="clear" w:color="auto" w:fill="EAF3F3"/>
            <w:tcMar>
              <w:top w:w="105" w:type="dxa"/>
              <w:left w:w="125" w:type="dxa"/>
              <w:bottom w:w="105" w:type="dxa"/>
              <w:right w:w="125" w:type="dxa"/>
            </w:tcMar>
          </w:tcPr>
          <w:p w14:paraId="254F6AF6" w14:textId="77777777" w:rsidR="009E5D07" w:rsidRDefault="00567DF0">
            <w:pPr>
              <w:spacing w:after="50" w:line="255" w:lineRule="auto"/>
            </w:pPr>
            <w:r>
              <w:rPr>
                <w:b/>
                <w:bCs/>
                <w:color w:val="173B4C"/>
                <w:sz w:val="19"/>
                <w:szCs w:val="19"/>
              </w:rPr>
              <w:t>Approach</w:t>
            </w:r>
          </w:p>
        </w:tc>
        <w:tc>
          <w:tcPr>
            <w:tcW w:w="3120" w:type="dxa"/>
            <w:shd w:val="clear" w:color="auto" w:fill="EAF3F3"/>
            <w:tcMar>
              <w:top w:w="105" w:type="dxa"/>
              <w:left w:w="125" w:type="dxa"/>
              <w:bottom w:w="105" w:type="dxa"/>
              <w:right w:w="125" w:type="dxa"/>
            </w:tcMar>
          </w:tcPr>
          <w:p w14:paraId="72C714F0" w14:textId="77777777" w:rsidR="009E5D07" w:rsidRDefault="00567DF0">
            <w:pPr>
              <w:spacing w:after="50" w:line="255" w:lineRule="auto"/>
            </w:pPr>
            <w:r>
              <w:rPr>
                <w:b/>
                <w:bCs/>
                <w:color w:val="173B4C"/>
                <w:sz w:val="19"/>
                <w:szCs w:val="19"/>
              </w:rPr>
              <w:t>What the cited experiment establishes</w:t>
            </w:r>
          </w:p>
        </w:tc>
        <w:tc>
          <w:tcPr>
            <w:tcW w:w="3120" w:type="dxa"/>
            <w:shd w:val="clear" w:color="auto" w:fill="EAF3F3"/>
            <w:tcMar>
              <w:top w:w="105" w:type="dxa"/>
              <w:left w:w="125" w:type="dxa"/>
              <w:bottom w:w="105" w:type="dxa"/>
              <w:right w:w="125" w:type="dxa"/>
            </w:tcMar>
          </w:tcPr>
          <w:p w14:paraId="5A7B3685" w14:textId="77777777" w:rsidR="009E5D07" w:rsidRDefault="00567DF0">
            <w:pPr>
              <w:spacing w:after="50" w:line="255" w:lineRule="auto"/>
            </w:pPr>
            <w:r>
              <w:rPr>
                <w:b/>
                <w:bCs/>
                <w:color w:val="173B4C"/>
                <w:sz w:val="19"/>
                <w:szCs w:val="19"/>
              </w:rPr>
              <w:t>Key interpretation limit</w:t>
            </w:r>
          </w:p>
        </w:tc>
      </w:tr>
      <w:tr w:rsidR="009E5D07" w14:paraId="0E521268" w14:textId="77777777">
        <w:tblPrEx>
          <w:tblCellMar>
            <w:top w:w="0" w:type="dxa"/>
            <w:bottom w:w="0" w:type="dxa"/>
          </w:tblCellMar>
        </w:tblPrEx>
        <w:trPr>
          <w:cantSplit/>
        </w:trPr>
        <w:tc>
          <w:tcPr>
            <w:tcW w:w="3120" w:type="dxa"/>
            <w:tcMar>
              <w:top w:w="105" w:type="dxa"/>
              <w:left w:w="125" w:type="dxa"/>
              <w:bottom w:w="105" w:type="dxa"/>
              <w:right w:w="125" w:type="dxa"/>
            </w:tcMar>
          </w:tcPr>
          <w:p w14:paraId="1F2FDF3D" w14:textId="77777777" w:rsidR="009E5D07" w:rsidRDefault="00567DF0">
            <w:pPr>
              <w:spacing w:after="50" w:line="255" w:lineRule="auto"/>
            </w:pPr>
            <w:r>
              <w:rPr>
                <w:sz w:val="19"/>
                <w:szCs w:val="19"/>
              </w:rPr>
              <w:t>Defined modified nucleosomes</w:t>
            </w:r>
          </w:p>
        </w:tc>
        <w:tc>
          <w:tcPr>
            <w:tcW w:w="3120" w:type="dxa"/>
            <w:tcMar>
              <w:top w:w="105" w:type="dxa"/>
              <w:left w:w="125" w:type="dxa"/>
              <w:bottom w:w="105" w:type="dxa"/>
              <w:right w:w="125" w:type="dxa"/>
            </w:tcMar>
          </w:tcPr>
          <w:p w14:paraId="0A93FB29" w14:textId="77777777" w:rsidR="009E5D07" w:rsidRDefault="00567DF0">
            <w:pPr>
              <w:spacing w:after="50" w:line="255" w:lineRule="auto"/>
            </w:pPr>
            <w:r>
              <w:rPr>
                <w:sz w:val="19"/>
                <w:szCs w:val="19"/>
              </w:rPr>
              <w:t>A particular residue changes array contacts or remodeler activity.</w:t>
            </w:r>
          </w:p>
        </w:tc>
        <w:tc>
          <w:tcPr>
            <w:tcW w:w="3120" w:type="dxa"/>
            <w:tcMar>
              <w:top w:w="105" w:type="dxa"/>
              <w:left w:w="125" w:type="dxa"/>
              <w:bottom w:w="105" w:type="dxa"/>
              <w:right w:w="125" w:type="dxa"/>
            </w:tcMar>
          </w:tcPr>
          <w:p w14:paraId="6A16F8C2" w14:textId="34B4E412" w:rsidR="009E5D07" w:rsidRDefault="00567DF0">
            <w:pPr>
              <w:spacing w:after="50" w:line="255" w:lineRule="auto"/>
            </w:pPr>
            <w:r>
              <w:rPr>
                <w:sz w:val="19"/>
                <w:szCs w:val="19"/>
              </w:rPr>
              <w:t>A purified substrate does not determine every cellular consequence.</w:t>
            </w:r>
            <w:hyperlink r:id="rId57" w:history="1">
              <w:r>
                <w:rPr>
                  <w:color w:val="087B78"/>
                  <w:sz w:val="18"/>
                  <w:szCs w:val="18"/>
                </w:rPr>
                <w:t xml:space="preserve"> [3]</w:t>
              </w:r>
            </w:hyperlink>
          </w:p>
        </w:tc>
      </w:tr>
      <w:tr w:rsidR="009E5D07" w14:paraId="79C77511" w14:textId="77777777">
        <w:tblPrEx>
          <w:tblCellMar>
            <w:top w:w="0" w:type="dxa"/>
            <w:bottom w:w="0" w:type="dxa"/>
          </w:tblCellMar>
        </w:tblPrEx>
        <w:trPr>
          <w:cantSplit/>
        </w:trPr>
        <w:tc>
          <w:tcPr>
            <w:tcW w:w="3120" w:type="dxa"/>
            <w:tcMar>
              <w:top w:w="105" w:type="dxa"/>
              <w:left w:w="125" w:type="dxa"/>
              <w:bottom w:w="105" w:type="dxa"/>
              <w:right w:w="125" w:type="dxa"/>
            </w:tcMar>
          </w:tcPr>
          <w:p w14:paraId="7D98D0C8" w14:textId="77777777" w:rsidR="009E5D07" w:rsidRDefault="00567DF0">
            <w:pPr>
              <w:spacing w:after="50" w:line="255" w:lineRule="auto"/>
            </w:pPr>
            <w:r>
              <w:rPr>
                <w:sz w:val="19"/>
                <w:szCs w:val="19"/>
              </w:rPr>
              <w:t>Histone-specific antibody mapping</w:t>
            </w:r>
          </w:p>
        </w:tc>
        <w:tc>
          <w:tcPr>
            <w:tcW w:w="3120" w:type="dxa"/>
            <w:tcMar>
              <w:top w:w="105" w:type="dxa"/>
              <w:left w:w="125" w:type="dxa"/>
              <w:bottom w:w="105" w:type="dxa"/>
              <w:right w:w="125" w:type="dxa"/>
            </w:tcMar>
          </w:tcPr>
          <w:p w14:paraId="6A8E80EA" w14:textId="77777777" w:rsidR="009E5D07" w:rsidRDefault="00567DF0">
            <w:pPr>
              <w:spacing w:after="50" w:line="255" w:lineRule="auto"/>
            </w:pPr>
            <w:r>
              <w:rPr>
                <w:sz w:val="19"/>
                <w:szCs w:val="19"/>
              </w:rPr>
              <w:t>Selected modification enrichment at genomic sites or in cells.</w:t>
            </w:r>
          </w:p>
        </w:tc>
        <w:tc>
          <w:tcPr>
            <w:tcW w:w="3120" w:type="dxa"/>
            <w:tcMar>
              <w:top w:w="105" w:type="dxa"/>
              <w:left w:w="125" w:type="dxa"/>
              <w:bottom w:w="105" w:type="dxa"/>
              <w:right w:w="125" w:type="dxa"/>
            </w:tcMar>
          </w:tcPr>
          <w:p w14:paraId="77F47F60" w14:textId="49F50109" w:rsidR="009E5D07" w:rsidRDefault="00567DF0">
            <w:pPr>
              <w:spacing w:after="50" w:line="255" w:lineRule="auto"/>
            </w:pPr>
            <w:r>
              <w:rPr>
                <w:sz w:val="19"/>
                <w:szCs w:val="19"/>
              </w:rPr>
              <w:t>Specificity and application performance require independent validation.</w:t>
            </w:r>
            <w:hyperlink r:id="rId58" w:history="1">
              <w:r>
                <w:rPr>
                  <w:color w:val="087B78"/>
                  <w:sz w:val="18"/>
                  <w:szCs w:val="18"/>
                </w:rPr>
                <w:t xml:space="preserve"> [17]</w:t>
              </w:r>
            </w:hyperlink>
            <w:hyperlink r:id="rId59" w:history="1">
              <w:r>
                <w:rPr>
                  <w:color w:val="087B78"/>
                  <w:sz w:val="18"/>
                  <w:szCs w:val="18"/>
                </w:rPr>
                <w:t xml:space="preserve"> [10]</w:t>
              </w:r>
            </w:hyperlink>
          </w:p>
        </w:tc>
      </w:tr>
      <w:tr w:rsidR="009E5D07" w14:paraId="0D552207" w14:textId="77777777">
        <w:tblPrEx>
          <w:tblCellMar>
            <w:top w:w="0" w:type="dxa"/>
            <w:bottom w:w="0" w:type="dxa"/>
          </w:tblCellMar>
        </w:tblPrEx>
        <w:trPr>
          <w:cantSplit/>
        </w:trPr>
        <w:tc>
          <w:tcPr>
            <w:tcW w:w="3120" w:type="dxa"/>
            <w:tcMar>
              <w:top w:w="105" w:type="dxa"/>
              <w:left w:w="125" w:type="dxa"/>
              <w:bottom w:w="105" w:type="dxa"/>
              <w:right w:w="125" w:type="dxa"/>
            </w:tcMar>
          </w:tcPr>
          <w:p w14:paraId="73E2FC4B" w14:textId="77777777" w:rsidR="009E5D07" w:rsidRDefault="00567DF0">
            <w:pPr>
              <w:spacing w:after="50" w:line="255" w:lineRule="auto"/>
            </w:pPr>
            <w:r>
              <w:rPr>
                <w:sz w:val="19"/>
                <w:szCs w:val="19"/>
              </w:rPr>
              <w:t>Isotope-labeling mass spectrometry</w:t>
            </w:r>
          </w:p>
        </w:tc>
        <w:tc>
          <w:tcPr>
            <w:tcW w:w="3120" w:type="dxa"/>
            <w:tcMar>
              <w:top w:w="105" w:type="dxa"/>
              <w:left w:w="125" w:type="dxa"/>
              <w:bottom w:w="105" w:type="dxa"/>
              <w:right w:w="125" w:type="dxa"/>
            </w:tcMar>
          </w:tcPr>
          <w:p w14:paraId="65F5B178" w14:textId="77777777" w:rsidR="009E5D07" w:rsidRDefault="00567DF0">
            <w:pPr>
              <w:spacing w:after="50" w:line="255" w:lineRule="auto"/>
            </w:pPr>
            <w:r>
              <w:rPr>
                <w:sz w:val="19"/>
                <w:szCs w:val="19"/>
              </w:rPr>
              <w:t>Old/new histone populations and modification-specific restoration.</w:t>
            </w:r>
          </w:p>
        </w:tc>
        <w:tc>
          <w:tcPr>
            <w:tcW w:w="3120" w:type="dxa"/>
            <w:tcMar>
              <w:top w:w="105" w:type="dxa"/>
              <w:left w:w="125" w:type="dxa"/>
              <w:bottom w:w="105" w:type="dxa"/>
              <w:right w:w="125" w:type="dxa"/>
            </w:tcMar>
          </w:tcPr>
          <w:p w14:paraId="1DA63BE9" w14:textId="3AEC6A9B" w:rsidR="009E5D07" w:rsidRDefault="00567DF0">
            <w:pPr>
              <w:spacing w:after="50" w:line="255" w:lineRule="auto"/>
            </w:pPr>
            <w:r>
              <w:rPr>
                <w:sz w:val="19"/>
                <w:szCs w:val="19"/>
              </w:rPr>
              <w:t>Population peptides do not specify all genomic addresses or paired nucleosome marks.</w:t>
            </w:r>
            <w:hyperlink r:id="rId60" w:history="1">
              <w:r>
                <w:rPr>
                  <w:color w:val="087B78"/>
                  <w:sz w:val="18"/>
                  <w:szCs w:val="18"/>
                </w:rPr>
                <w:t xml:space="preserve"> [12]</w:t>
              </w:r>
            </w:hyperlink>
          </w:p>
        </w:tc>
      </w:tr>
      <w:tr w:rsidR="009E5D07" w14:paraId="0FB635F6" w14:textId="77777777">
        <w:tblPrEx>
          <w:tblCellMar>
            <w:top w:w="0" w:type="dxa"/>
            <w:bottom w:w="0" w:type="dxa"/>
          </w:tblCellMar>
        </w:tblPrEx>
        <w:trPr>
          <w:cantSplit/>
        </w:trPr>
        <w:tc>
          <w:tcPr>
            <w:tcW w:w="3120" w:type="dxa"/>
            <w:tcMar>
              <w:top w:w="105" w:type="dxa"/>
              <w:left w:w="125" w:type="dxa"/>
              <w:bottom w:w="105" w:type="dxa"/>
              <w:right w:w="125" w:type="dxa"/>
            </w:tcMar>
          </w:tcPr>
          <w:p w14:paraId="16072BDB" w14:textId="77777777" w:rsidR="009E5D07" w:rsidRDefault="00567DF0">
            <w:pPr>
              <w:spacing w:after="50" w:line="255" w:lineRule="auto"/>
            </w:pPr>
            <w:r>
              <w:rPr>
                <w:sz w:val="19"/>
                <w:szCs w:val="19"/>
              </w:rPr>
              <w:t>Acute regulator removal</w:t>
            </w:r>
          </w:p>
        </w:tc>
        <w:tc>
          <w:tcPr>
            <w:tcW w:w="3120" w:type="dxa"/>
            <w:tcMar>
              <w:top w:w="105" w:type="dxa"/>
              <w:left w:w="125" w:type="dxa"/>
              <w:bottom w:w="105" w:type="dxa"/>
              <w:right w:w="125" w:type="dxa"/>
            </w:tcMar>
          </w:tcPr>
          <w:p w14:paraId="2C2A24B6" w14:textId="77777777" w:rsidR="009E5D07" w:rsidRDefault="00567DF0">
            <w:pPr>
              <w:spacing w:after="50" w:line="255" w:lineRule="auto"/>
            </w:pPr>
            <w:r>
              <w:rPr>
                <w:sz w:val="19"/>
                <w:szCs w:val="19"/>
              </w:rPr>
              <w:t>Temporal maintenance dependencies and regional stability classes.</w:t>
            </w:r>
          </w:p>
        </w:tc>
        <w:tc>
          <w:tcPr>
            <w:tcW w:w="3120" w:type="dxa"/>
            <w:tcMar>
              <w:top w:w="105" w:type="dxa"/>
              <w:left w:w="125" w:type="dxa"/>
              <w:bottom w:w="105" w:type="dxa"/>
              <w:right w:w="125" w:type="dxa"/>
            </w:tcMar>
          </w:tcPr>
          <w:p w14:paraId="67CF1DC6" w14:textId="3880EF65" w:rsidR="009E5D07" w:rsidRDefault="00567DF0">
            <w:pPr>
              <w:spacing w:after="50" w:line="255" w:lineRule="auto"/>
            </w:pPr>
            <w:r>
              <w:rPr>
                <w:sz w:val="19"/>
                <w:szCs w:val="19"/>
              </w:rPr>
              <w:t>Protein loss may affect multiple functions; cell state bounds the result.</w:t>
            </w:r>
            <w:hyperlink r:id="rId61" w:history="1">
              <w:r>
                <w:rPr>
                  <w:color w:val="087B78"/>
                  <w:sz w:val="18"/>
                  <w:szCs w:val="18"/>
                </w:rPr>
                <w:t xml:space="preserve"> [8]</w:t>
              </w:r>
            </w:hyperlink>
            <w:hyperlink r:id="rId62" w:history="1">
              <w:r>
                <w:rPr>
                  <w:color w:val="087B78"/>
                  <w:sz w:val="18"/>
                  <w:szCs w:val="18"/>
                </w:rPr>
                <w:t xml:space="preserve"> [16]</w:t>
              </w:r>
            </w:hyperlink>
          </w:p>
        </w:tc>
      </w:tr>
      <w:tr w:rsidR="009E5D07" w14:paraId="719F9E83" w14:textId="77777777">
        <w:tblPrEx>
          <w:tblCellMar>
            <w:top w:w="0" w:type="dxa"/>
            <w:bottom w:w="0" w:type="dxa"/>
          </w:tblCellMar>
        </w:tblPrEx>
        <w:trPr>
          <w:cantSplit/>
        </w:trPr>
        <w:tc>
          <w:tcPr>
            <w:tcW w:w="3120" w:type="dxa"/>
            <w:tcMar>
              <w:top w:w="105" w:type="dxa"/>
              <w:left w:w="125" w:type="dxa"/>
              <w:bottom w:w="105" w:type="dxa"/>
              <w:right w:w="125" w:type="dxa"/>
            </w:tcMar>
          </w:tcPr>
          <w:p w14:paraId="5C40C999" w14:textId="77777777" w:rsidR="009E5D07" w:rsidRDefault="00567DF0">
            <w:pPr>
              <w:spacing w:after="50" w:line="255" w:lineRule="auto"/>
            </w:pPr>
            <w:r>
              <w:rPr>
                <w:sz w:val="19"/>
                <w:szCs w:val="19"/>
              </w:rPr>
              <w:t>Metabolic enzyme experiments</w:t>
            </w:r>
          </w:p>
        </w:tc>
        <w:tc>
          <w:tcPr>
            <w:tcW w:w="3120" w:type="dxa"/>
            <w:tcMar>
              <w:top w:w="105" w:type="dxa"/>
              <w:left w:w="125" w:type="dxa"/>
              <w:bottom w:w="105" w:type="dxa"/>
              <w:right w:w="125" w:type="dxa"/>
            </w:tcMar>
          </w:tcPr>
          <w:p w14:paraId="3C82EB5E" w14:textId="77777777" w:rsidR="009E5D07" w:rsidRDefault="00567DF0">
            <w:pPr>
              <w:spacing w:after="50" w:line="255" w:lineRule="auto"/>
            </w:pPr>
            <w:r>
              <w:rPr>
                <w:sz w:val="19"/>
                <w:szCs w:val="19"/>
              </w:rPr>
              <w:t>Defined donor/substrate reactions and system-specific functional outputs.</w:t>
            </w:r>
          </w:p>
        </w:tc>
        <w:tc>
          <w:tcPr>
            <w:tcW w:w="3120" w:type="dxa"/>
            <w:tcMar>
              <w:top w:w="105" w:type="dxa"/>
              <w:left w:w="125" w:type="dxa"/>
              <w:bottom w:w="105" w:type="dxa"/>
              <w:right w:w="125" w:type="dxa"/>
            </w:tcMar>
          </w:tcPr>
          <w:p w14:paraId="058C4780" w14:textId="2A5EBB43" w:rsidR="009E5D07" w:rsidRDefault="00567DF0">
            <w:pPr>
              <w:spacing w:after="50" w:line="255" w:lineRule="auto"/>
            </w:pPr>
            <w:r>
              <w:rPr>
                <w:sz w:val="19"/>
                <w:szCs w:val="19"/>
              </w:rPr>
              <w:t>Histone and nonhistone substrates must be distinguished.</w:t>
            </w:r>
            <w:hyperlink r:id="rId63" w:history="1">
              <w:r>
                <w:rPr>
                  <w:color w:val="087B78"/>
                  <w:sz w:val="18"/>
                  <w:szCs w:val="18"/>
                </w:rPr>
                <w:t xml:space="preserve"> [18]</w:t>
              </w:r>
            </w:hyperlink>
            <w:hyperlink r:id="rId64" w:history="1">
              <w:r>
                <w:rPr>
                  <w:color w:val="087B78"/>
                  <w:sz w:val="18"/>
                  <w:szCs w:val="18"/>
                </w:rPr>
                <w:t xml:space="preserve"> [19]</w:t>
              </w:r>
            </w:hyperlink>
          </w:p>
        </w:tc>
      </w:tr>
    </w:tbl>
    <w:p w14:paraId="1390FD75" w14:textId="77777777" w:rsidR="009E5D07" w:rsidRDefault="009E5D07">
      <w:pPr>
        <w:spacing w:after="170"/>
      </w:pPr>
    </w:p>
    <w:p w14:paraId="3C581A57" w14:textId="0D7C2DA0" w:rsidR="009E5D07" w:rsidRDefault="00567DF0">
      <w:r>
        <w:t>Egelhofer and colleagues empirically tested a large panel of histone-modification antibodies and found failures in specificity tests and in ChIP performance. The result supports application-specific validation rather than trusting a product label or a previous use in another assay. An antibody that performs in a blot does not automatically perform in chromatin mapping, and a modification signal is only as interpretable as the recognition reagent used to generate it.</w:t>
      </w:r>
      <w:hyperlink r:id="rId65" w:history="1">
        <w:r>
          <w:rPr>
            <w:color w:val="087B78"/>
            <w:sz w:val="18"/>
            <w:szCs w:val="18"/>
          </w:rPr>
          <w:t xml:space="preserve"> [17]</w:t>
        </w:r>
      </w:hyperlink>
    </w:p>
    <w:p w14:paraId="1AF75539" w14:textId="540C0E10" w:rsidR="009E5D07" w:rsidRDefault="00567DF0">
      <w:r>
        <w:t>A site-specific histone interpretation also needs control of the unmodified histone population and the genomic or cellular normalization used for the comparison. A recovered peptide profile and an antibody-enrichment map describe different denominators. Alabert’s labeled populations make the old/new distinction explicit; enhancer mapping makes genomic location explicit. Combining these perspectives can determine whether a changed mark reflects altered histone supply, altered modification of existing materia</w:t>
      </w:r>
      <w:r>
        <w:t>l or redistribution among regulatory regions.</w:t>
      </w:r>
      <w:hyperlink r:id="rId66" w:history="1">
        <w:r>
          <w:rPr>
            <w:color w:val="087B78"/>
            <w:sz w:val="18"/>
            <w:szCs w:val="18"/>
          </w:rPr>
          <w:t xml:space="preserve"> [12]</w:t>
        </w:r>
      </w:hyperlink>
      <w:hyperlink r:id="rId67" w:history="1">
        <w:r>
          <w:rPr>
            <w:color w:val="087B78"/>
            <w:sz w:val="18"/>
            <w:szCs w:val="18"/>
          </w:rPr>
          <w:t xml:space="preserve"> [10]</w:t>
        </w:r>
      </w:hyperlink>
      <w:hyperlink r:id="rId68" w:history="1">
        <w:r>
          <w:rPr>
            <w:color w:val="087B78"/>
            <w:sz w:val="18"/>
            <w:szCs w:val="18"/>
          </w:rPr>
          <w:t xml:space="preserve"> [17]</w:t>
        </w:r>
      </w:hyperlink>
    </w:p>
    <w:p w14:paraId="1D8D287A" w14:textId="77777777" w:rsidR="009E5D07" w:rsidRDefault="00567DF0">
      <w:pPr>
        <w:pStyle w:val="Heading1"/>
      </w:pPr>
      <w:bookmarkStart w:id="10" w:name="_Toc242668362"/>
      <w:r>
        <w:t>10. Current synthesis</w:t>
      </w:r>
      <w:bookmarkEnd w:id="10"/>
    </w:p>
    <w:p w14:paraId="4B568FB6" w14:textId="565F54AC" w:rsidR="009E5D07" w:rsidRDefault="00567DF0">
      <w:r>
        <w:t>Histone modifications form a dynamic molecular network with direct structural effects, selective recognition, enzyme feedback and replication-coupled restoration. Recent primary studies extend that network through parental recycling, heterogeneous maintenance kinetics and metabolic substrates. Their contribution is to make more links experimentally explicit, not to turn every chromatin mark into a deterministic code. Chemical state, molecular activity and functional persistence should each retain an indepen</w:t>
      </w:r>
      <w:r>
        <w:t>dent measurement in the explanation.</w:t>
      </w:r>
      <w:hyperlink r:id="rId69" w:history="1">
        <w:r>
          <w:rPr>
            <w:color w:val="087B78"/>
            <w:sz w:val="18"/>
            <w:szCs w:val="18"/>
          </w:rPr>
          <w:t xml:space="preserve"> [3]</w:t>
        </w:r>
      </w:hyperlink>
      <w:hyperlink r:id="rId70" w:history="1">
        <w:r>
          <w:rPr>
            <w:color w:val="087B78"/>
            <w:sz w:val="18"/>
            <w:szCs w:val="18"/>
          </w:rPr>
          <w:t xml:space="preserve"> [5]</w:t>
        </w:r>
      </w:hyperlink>
      <w:hyperlink r:id="rId71" w:history="1">
        <w:r>
          <w:rPr>
            <w:color w:val="087B78"/>
            <w:sz w:val="18"/>
            <w:szCs w:val="18"/>
          </w:rPr>
          <w:t xml:space="preserve"> [14]</w:t>
        </w:r>
      </w:hyperlink>
      <w:hyperlink r:id="rId72" w:history="1">
        <w:r>
          <w:rPr>
            <w:color w:val="087B78"/>
            <w:sz w:val="18"/>
            <w:szCs w:val="18"/>
          </w:rPr>
          <w:t xml:space="preserve"> [8]</w:t>
        </w:r>
      </w:hyperlink>
      <w:hyperlink r:id="rId73" w:history="1">
        <w:r>
          <w:rPr>
            <w:color w:val="087B78"/>
            <w:sz w:val="18"/>
            <w:szCs w:val="18"/>
          </w:rPr>
          <w:t xml:space="preserve"> [18]</w:t>
        </w:r>
      </w:hyperlink>
    </w:p>
    <w:p w14:paraId="52D40638" w14:textId="69372DCB" w:rsidR="009E5D07" w:rsidRDefault="00567DF0">
      <w:r>
        <w:t>The clearest future tests will connect a defined histone residue to its reader or writer, local chromatin organization and a biological endpoint while controlling other substrates and protein functions. The studies reviewed here provide workable examples and identify where those separations remain incomplete. This source-linked approach supports broad cell-biological understanding while keeping mechanistic strength proportional to the actual experiment.</w:t>
      </w:r>
      <w:hyperlink r:id="rId74" w:history="1">
        <w:r>
          <w:rPr>
            <w:color w:val="087B78"/>
            <w:sz w:val="18"/>
            <w:szCs w:val="18"/>
          </w:rPr>
          <w:t xml:space="preserve"> [3]</w:t>
        </w:r>
      </w:hyperlink>
      <w:hyperlink r:id="rId75" w:history="1">
        <w:r>
          <w:rPr>
            <w:color w:val="087B78"/>
            <w:sz w:val="18"/>
            <w:szCs w:val="18"/>
          </w:rPr>
          <w:t xml:space="preserve"> [16]</w:t>
        </w:r>
      </w:hyperlink>
      <w:hyperlink r:id="rId76" w:history="1">
        <w:r>
          <w:rPr>
            <w:color w:val="087B78"/>
            <w:sz w:val="18"/>
            <w:szCs w:val="18"/>
          </w:rPr>
          <w:t xml:space="preserve"> [7]</w:t>
        </w:r>
      </w:hyperlink>
      <w:hyperlink r:id="rId77" w:history="1">
        <w:r>
          <w:rPr>
            <w:color w:val="087B78"/>
            <w:sz w:val="18"/>
            <w:szCs w:val="18"/>
          </w:rPr>
          <w:t xml:space="preserve"> [19]</w:t>
        </w:r>
      </w:hyperlink>
      <w:hyperlink r:id="rId78" w:history="1">
        <w:r>
          <w:rPr>
            <w:color w:val="087B78"/>
            <w:sz w:val="18"/>
            <w:szCs w:val="18"/>
          </w:rPr>
          <w:t xml:space="preserve"> [21]</w:t>
        </w:r>
      </w:hyperlink>
    </w:p>
    <w:p w14:paraId="2AFF68AA" w14:textId="77777777" w:rsidR="009E5D07" w:rsidRDefault="00567DF0">
      <w:pPr>
        <w:pStyle w:val="Heading1"/>
      </w:pPr>
      <w:bookmarkStart w:id="11" w:name="_Toc242668363"/>
      <w:r>
        <w:t>References</w:t>
      </w:r>
      <w:bookmarkEnd w:id="11"/>
    </w:p>
    <w:p w14:paraId="235EFED4" w14:textId="52232C79" w:rsidR="009E5D07" w:rsidRDefault="00567DF0">
      <w:pPr>
        <w:keepLines/>
        <w:spacing w:after="90" w:line="245" w:lineRule="auto"/>
      </w:pPr>
      <w:r>
        <w:rPr>
          <w:b/>
          <w:bCs/>
          <w:sz w:val="20"/>
          <w:szCs w:val="20"/>
        </w:rPr>
        <w:t xml:space="preserve">[1] Luger K, Mäder AW, Richmond RK, Sargent DF, Richmond TJ (1997). </w:t>
      </w:r>
      <w:r>
        <w:rPr>
          <w:sz w:val="20"/>
          <w:szCs w:val="20"/>
        </w:rPr>
        <w:t xml:space="preserve">Crystal structure of the nucleosome core particle at 2.8 Å resolution. Nature 389:251–260. </w:t>
      </w:r>
      <w:hyperlink r:id="rId79" w:history="1">
        <w:r>
          <w:rPr>
            <w:color w:val="087B78"/>
            <w:sz w:val="20"/>
            <w:szCs w:val="20"/>
            <w:u w:val="single"/>
          </w:rPr>
          <w:t>10.1038/38444</w:t>
        </w:r>
      </w:hyperlink>
    </w:p>
    <w:p w14:paraId="0E62BFEB" w14:textId="59494D73" w:rsidR="009E5D07" w:rsidRDefault="00567DF0">
      <w:pPr>
        <w:keepLines/>
        <w:spacing w:after="90" w:line="245" w:lineRule="auto"/>
      </w:pPr>
      <w:r>
        <w:rPr>
          <w:b/>
          <w:bCs/>
          <w:sz w:val="20"/>
          <w:szCs w:val="20"/>
        </w:rPr>
        <w:t xml:space="preserve">[2] Routh A, Sandin S, Rhodes D (2008). </w:t>
      </w:r>
      <w:r>
        <w:rPr>
          <w:sz w:val="20"/>
          <w:szCs w:val="20"/>
        </w:rPr>
        <w:t xml:space="preserve">Nucleosome repeat length and linker histone stoichiometry determine chromatin fiber structure. PNAS 105:8872–8877. </w:t>
      </w:r>
      <w:hyperlink r:id="rId80" w:history="1">
        <w:r>
          <w:rPr>
            <w:color w:val="087B78"/>
            <w:sz w:val="20"/>
            <w:szCs w:val="20"/>
            <w:u w:val="single"/>
          </w:rPr>
          <w:t>10.1073/pnas.0802336105</w:t>
        </w:r>
      </w:hyperlink>
    </w:p>
    <w:p w14:paraId="7D6956FC" w14:textId="1B006DC2" w:rsidR="009E5D07" w:rsidRDefault="00567DF0">
      <w:pPr>
        <w:keepLines/>
        <w:spacing w:after="90" w:line="245" w:lineRule="auto"/>
      </w:pPr>
      <w:r>
        <w:rPr>
          <w:b/>
          <w:bCs/>
          <w:sz w:val="20"/>
          <w:szCs w:val="20"/>
        </w:rPr>
        <w:t xml:space="preserve">[3] Shogren-Knaak M, Ishii H, Sun JM, Pazin MJ, Davie JR, Peterson CL (2006). </w:t>
      </w:r>
      <w:r>
        <w:rPr>
          <w:sz w:val="20"/>
          <w:szCs w:val="20"/>
        </w:rPr>
        <w:t xml:space="preserve">Histone H4-K16 Acetylation Controls Chromatin Structure and Protein Interactions. Science 311:844–847. </w:t>
      </w:r>
      <w:hyperlink r:id="rId81" w:history="1">
        <w:r>
          <w:rPr>
            <w:color w:val="087B78"/>
            <w:sz w:val="20"/>
            <w:szCs w:val="20"/>
            <w:u w:val="single"/>
          </w:rPr>
          <w:t>10.1126/science.1124000</w:t>
        </w:r>
      </w:hyperlink>
    </w:p>
    <w:p w14:paraId="4D3AFFBA" w14:textId="0558F213" w:rsidR="009E5D07" w:rsidRDefault="00567DF0">
      <w:pPr>
        <w:keepLines/>
        <w:spacing w:after="90" w:line="245" w:lineRule="auto"/>
      </w:pPr>
      <w:r>
        <w:rPr>
          <w:b/>
          <w:bCs/>
          <w:sz w:val="20"/>
          <w:szCs w:val="20"/>
        </w:rPr>
        <w:t xml:space="preserve">[4] Gibson BA, Doolittle LK, Schneider MWG, et al. (2019). </w:t>
      </w:r>
      <w:r>
        <w:rPr>
          <w:sz w:val="20"/>
          <w:szCs w:val="20"/>
        </w:rPr>
        <w:t xml:space="preserve">Organization of Chromatin by Intrinsic and Regulated Phase Separation. Cell 179:470–484.e21. </w:t>
      </w:r>
      <w:hyperlink r:id="rId82" w:history="1">
        <w:r>
          <w:rPr>
            <w:color w:val="087B78"/>
            <w:sz w:val="20"/>
            <w:szCs w:val="20"/>
            <w:u w:val="single"/>
          </w:rPr>
          <w:t>10.1016/j.cell.2019.08.037</w:t>
        </w:r>
      </w:hyperlink>
    </w:p>
    <w:p w14:paraId="6B7157E9" w14:textId="274058FC" w:rsidR="009E5D07" w:rsidRDefault="00567DF0">
      <w:pPr>
        <w:keepLines/>
        <w:spacing w:after="90" w:line="245" w:lineRule="auto"/>
      </w:pPr>
      <w:r>
        <w:rPr>
          <w:b/>
          <w:bCs/>
          <w:sz w:val="20"/>
          <w:szCs w:val="20"/>
        </w:rPr>
        <w:t xml:space="preserve">[5] Lachner M, O’Carroll D, Rea S, Mechtler K, Jenuwein T (2001). </w:t>
      </w:r>
      <w:r>
        <w:rPr>
          <w:sz w:val="20"/>
          <w:szCs w:val="20"/>
        </w:rPr>
        <w:t xml:space="preserve">Methylation of histone H3 lysine 9 creates a binding site for HP1 proteins. Nature 410:116–120. </w:t>
      </w:r>
      <w:hyperlink r:id="rId83" w:history="1">
        <w:r>
          <w:rPr>
            <w:color w:val="087B78"/>
            <w:sz w:val="20"/>
            <w:szCs w:val="20"/>
            <w:u w:val="single"/>
          </w:rPr>
          <w:t>10.1038/35065132</w:t>
        </w:r>
      </w:hyperlink>
    </w:p>
    <w:p w14:paraId="76468193" w14:textId="7827A135" w:rsidR="009E5D07" w:rsidRDefault="00567DF0">
      <w:pPr>
        <w:keepLines/>
        <w:spacing w:after="90" w:line="245" w:lineRule="auto"/>
      </w:pPr>
      <w:r>
        <w:rPr>
          <w:b/>
          <w:bCs/>
          <w:sz w:val="20"/>
          <w:szCs w:val="20"/>
        </w:rPr>
        <w:lastRenderedPageBreak/>
        <w:t xml:space="preserve">[6] Bannister AJ, Zegerman P, Partridge JF, et al. (2001). </w:t>
      </w:r>
      <w:r>
        <w:rPr>
          <w:sz w:val="20"/>
          <w:szCs w:val="20"/>
        </w:rPr>
        <w:t xml:space="preserve">Selective recognition of methylated lysine 9 on histone H3 by the HP1 chromo domain. Nature 410:120–124. </w:t>
      </w:r>
      <w:hyperlink r:id="rId84" w:history="1">
        <w:r>
          <w:rPr>
            <w:color w:val="087B78"/>
            <w:sz w:val="20"/>
            <w:szCs w:val="20"/>
            <w:u w:val="single"/>
          </w:rPr>
          <w:t>10.1038/35065138</w:t>
        </w:r>
      </w:hyperlink>
    </w:p>
    <w:p w14:paraId="09E5CF07" w14:textId="4204F815" w:rsidR="009E5D07" w:rsidRDefault="00567DF0">
      <w:pPr>
        <w:keepLines/>
        <w:spacing w:after="90" w:line="245" w:lineRule="auto"/>
      </w:pPr>
      <w:r>
        <w:rPr>
          <w:b/>
          <w:bCs/>
          <w:sz w:val="20"/>
          <w:szCs w:val="20"/>
        </w:rPr>
        <w:t xml:space="preserve">[7] Margueron R, Justin N, Ohno K, et al. (2009). </w:t>
      </w:r>
      <w:r>
        <w:rPr>
          <w:sz w:val="20"/>
          <w:szCs w:val="20"/>
        </w:rPr>
        <w:t xml:space="preserve">Role of the polycomb protein Eed in the propagation of repressive histone marks. Nature 461:762–767. </w:t>
      </w:r>
      <w:hyperlink r:id="rId85" w:history="1">
        <w:r>
          <w:rPr>
            <w:color w:val="087B78"/>
            <w:sz w:val="20"/>
            <w:szCs w:val="20"/>
            <w:u w:val="single"/>
          </w:rPr>
          <w:t>10.1038/nature08398</w:t>
        </w:r>
      </w:hyperlink>
    </w:p>
    <w:p w14:paraId="5044054D" w14:textId="5A3FB753" w:rsidR="009E5D07" w:rsidRDefault="00567DF0">
      <w:pPr>
        <w:keepLines/>
        <w:spacing w:after="90" w:line="245" w:lineRule="auto"/>
      </w:pPr>
      <w:r>
        <w:rPr>
          <w:b/>
          <w:bCs/>
          <w:sz w:val="20"/>
          <w:szCs w:val="20"/>
        </w:rPr>
        <w:t xml:space="preserve">[8] Zhang J, Donahue G, Gilbert MB, Lapidot T, Nicetto D, Zaret KS (2024). </w:t>
      </w:r>
      <w:r>
        <w:rPr>
          <w:sz w:val="20"/>
          <w:szCs w:val="20"/>
        </w:rPr>
        <w:t xml:space="preserve">Distinct H3K9me3 heterochromatin maintenance dynamics govern different gene programs and repeats in pluripotent cells. Nature Cell Biology 26:2115–2128. </w:t>
      </w:r>
      <w:hyperlink r:id="rId86" w:history="1">
        <w:r>
          <w:rPr>
            <w:color w:val="087B78"/>
            <w:sz w:val="20"/>
            <w:szCs w:val="20"/>
            <w:u w:val="single"/>
          </w:rPr>
          <w:t>10.1038/s41556-024-01547-z</w:t>
        </w:r>
      </w:hyperlink>
    </w:p>
    <w:p w14:paraId="5C8C38EE" w14:textId="22DE7B82" w:rsidR="009E5D07" w:rsidRDefault="00567DF0">
      <w:pPr>
        <w:keepLines/>
        <w:spacing w:after="90" w:line="245" w:lineRule="auto"/>
      </w:pPr>
      <w:r>
        <w:rPr>
          <w:b/>
          <w:bCs/>
          <w:sz w:val="20"/>
          <w:szCs w:val="20"/>
        </w:rPr>
        <w:t xml:space="preserve">[9] Buenrostro JD, Giresi PG, Zaba LC, Chang HY, Greenleaf WJ (2013). </w:t>
      </w:r>
      <w:r>
        <w:rPr>
          <w:sz w:val="20"/>
          <w:szCs w:val="20"/>
        </w:rPr>
        <w:t xml:space="preserve">Transposition of native chromatin for fast and sensitive epigenomic profiling of open chromatin, DNA-binding proteins and nucleosome position. Nature Methods 10:1213–1218. </w:t>
      </w:r>
      <w:hyperlink r:id="rId87" w:history="1">
        <w:r>
          <w:rPr>
            <w:color w:val="087B78"/>
            <w:sz w:val="20"/>
            <w:szCs w:val="20"/>
            <w:u w:val="single"/>
          </w:rPr>
          <w:t>10.1038/nmeth.2688</w:t>
        </w:r>
      </w:hyperlink>
    </w:p>
    <w:p w14:paraId="0A70FA20" w14:textId="26A80BD8" w:rsidR="009E5D07" w:rsidRDefault="00567DF0">
      <w:pPr>
        <w:keepLines/>
        <w:spacing w:after="90" w:line="245" w:lineRule="auto"/>
      </w:pPr>
      <w:r>
        <w:rPr>
          <w:b/>
          <w:bCs/>
          <w:sz w:val="20"/>
          <w:szCs w:val="20"/>
        </w:rPr>
        <w:t xml:space="preserve">[10] Heintzman ND, Hon GC, Hawkins RD, et al. (2009). </w:t>
      </w:r>
      <w:r>
        <w:rPr>
          <w:sz w:val="20"/>
          <w:szCs w:val="20"/>
        </w:rPr>
        <w:t xml:space="preserve">Histone modifications at human enhancers reflect global cell-type-specific gene expression. Nature 459:108–112. </w:t>
      </w:r>
      <w:hyperlink r:id="rId88" w:history="1">
        <w:r>
          <w:rPr>
            <w:color w:val="087B78"/>
            <w:sz w:val="20"/>
            <w:szCs w:val="20"/>
            <w:u w:val="single"/>
          </w:rPr>
          <w:t>10.1038/nature07829</w:t>
        </w:r>
      </w:hyperlink>
    </w:p>
    <w:p w14:paraId="2B38542D" w14:textId="4D7B9F2D" w:rsidR="009E5D07" w:rsidRDefault="00567DF0">
      <w:pPr>
        <w:keepLines/>
        <w:spacing w:after="90" w:line="245" w:lineRule="auto"/>
      </w:pPr>
      <w:r>
        <w:rPr>
          <w:b/>
          <w:bCs/>
          <w:sz w:val="20"/>
          <w:szCs w:val="20"/>
        </w:rPr>
        <w:t xml:space="preserve">[11] Basurto-Cayuela L, Guerrero-Martínez JA, Gómez-Marín E, et al. (2024). </w:t>
      </w:r>
      <w:r>
        <w:rPr>
          <w:sz w:val="20"/>
          <w:szCs w:val="20"/>
        </w:rPr>
        <w:t xml:space="preserve">SWI/SNF-dependent genes are defined by their chromatin landscape. Cell Reports 43:113855. </w:t>
      </w:r>
      <w:hyperlink r:id="rId89" w:history="1">
        <w:r>
          <w:rPr>
            <w:color w:val="087B78"/>
            <w:sz w:val="20"/>
            <w:szCs w:val="20"/>
            <w:u w:val="single"/>
          </w:rPr>
          <w:t>10.1016/j.celrep.2024.113855</w:t>
        </w:r>
      </w:hyperlink>
    </w:p>
    <w:p w14:paraId="2B01FED1" w14:textId="15B0AC8D" w:rsidR="009E5D07" w:rsidRDefault="00567DF0">
      <w:pPr>
        <w:keepLines/>
        <w:spacing w:after="90" w:line="245" w:lineRule="auto"/>
      </w:pPr>
      <w:r>
        <w:rPr>
          <w:b/>
          <w:bCs/>
          <w:sz w:val="20"/>
          <w:szCs w:val="20"/>
        </w:rPr>
        <w:t xml:space="preserve">[12] Alabert C, Barth TK, Reverón-Gómez N, et al. (2015). </w:t>
      </w:r>
      <w:r>
        <w:rPr>
          <w:sz w:val="20"/>
          <w:szCs w:val="20"/>
        </w:rPr>
        <w:t xml:space="preserve">Two distinct modes for propagation of histone PTMs across the cell cycle. Genes &amp; Development 29:585–590. </w:t>
      </w:r>
      <w:hyperlink r:id="rId90" w:history="1">
        <w:r>
          <w:rPr>
            <w:color w:val="087B78"/>
            <w:sz w:val="20"/>
            <w:szCs w:val="20"/>
            <w:u w:val="single"/>
          </w:rPr>
          <w:t>10.1101/gad.256354.114</w:t>
        </w:r>
      </w:hyperlink>
    </w:p>
    <w:p w14:paraId="069961CF" w14:textId="48BBFC42" w:rsidR="009E5D07" w:rsidRDefault="00567DF0">
      <w:pPr>
        <w:keepLines/>
        <w:spacing w:after="90" w:line="245" w:lineRule="auto"/>
      </w:pPr>
      <w:r>
        <w:rPr>
          <w:b/>
          <w:bCs/>
          <w:sz w:val="20"/>
          <w:szCs w:val="20"/>
        </w:rPr>
        <w:t xml:space="preserve">[13] Liu C, Yu J, Song A, et al. (2023). </w:t>
      </w:r>
      <w:r>
        <w:rPr>
          <w:sz w:val="20"/>
          <w:szCs w:val="20"/>
        </w:rPr>
        <w:t xml:space="preserve">Histone H1 facilitates restoration of H3K27me3 during DNA replication by chromatin compaction. Nature Communications 14:4081. </w:t>
      </w:r>
      <w:hyperlink r:id="rId91" w:history="1">
        <w:r>
          <w:rPr>
            <w:color w:val="087B78"/>
            <w:sz w:val="20"/>
            <w:szCs w:val="20"/>
            <w:u w:val="single"/>
          </w:rPr>
          <w:t>10.1038/s41467-023-39846-y</w:t>
        </w:r>
      </w:hyperlink>
    </w:p>
    <w:p w14:paraId="4549F96C" w14:textId="3952DD6B" w:rsidR="009E5D07" w:rsidRDefault="00567DF0">
      <w:pPr>
        <w:keepLines/>
        <w:spacing w:after="90" w:line="245" w:lineRule="auto"/>
      </w:pPr>
      <w:r>
        <w:rPr>
          <w:b/>
          <w:bCs/>
          <w:sz w:val="20"/>
          <w:szCs w:val="20"/>
        </w:rPr>
        <w:t xml:space="preserve">[14] Charlton SJ, Flury V, Kanoh Y, et al. (2024). </w:t>
      </w:r>
      <w:r>
        <w:rPr>
          <w:sz w:val="20"/>
          <w:szCs w:val="20"/>
        </w:rPr>
        <w:t xml:space="preserve">The fork protection complex promotes parental histone recycling and epigenetic memory. Cell 187:5029–5047.e21. </w:t>
      </w:r>
      <w:hyperlink r:id="rId92" w:history="1">
        <w:r>
          <w:rPr>
            <w:color w:val="087B78"/>
            <w:sz w:val="20"/>
            <w:szCs w:val="20"/>
            <w:u w:val="single"/>
          </w:rPr>
          <w:t>10.1016/j.cell.2024.07.017</w:t>
        </w:r>
      </w:hyperlink>
    </w:p>
    <w:p w14:paraId="41F2790E" w14:textId="520E63E8" w:rsidR="009E5D07" w:rsidRDefault="00567DF0">
      <w:pPr>
        <w:keepLines/>
        <w:spacing w:after="90" w:line="245" w:lineRule="auto"/>
      </w:pPr>
      <w:r>
        <w:rPr>
          <w:b/>
          <w:bCs/>
          <w:sz w:val="20"/>
          <w:szCs w:val="20"/>
        </w:rPr>
        <w:t xml:space="preserve">[15] Kouzarides T (2007). </w:t>
      </w:r>
      <w:r>
        <w:rPr>
          <w:sz w:val="20"/>
          <w:szCs w:val="20"/>
        </w:rPr>
        <w:t xml:space="preserve">Chromatin Modifications and Their Function. Cell 128:693–705. </w:t>
      </w:r>
      <w:hyperlink r:id="rId93" w:history="1">
        <w:r>
          <w:rPr>
            <w:color w:val="087B78"/>
            <w:sz w:val="20"/>
            <w:szCs w:val="20"/>
            <w:u w:val="single"/>
          </w:rPr>
          <w:t>10.1016/j.cell.2007.02.005</w:t>
        </w:r>
      </w:hyperlink>
    </w:p>
    <w:p w14:paraId="0E1AD93E" w14:textId="77F503C1" w:rsidR="009E5D07" w:rsidRDefault="00567DF0">
      <w:pPr>
        <w:keepLines/>
        <w:spacing w:after="90" w:line="245" w:lineRule="auto"/>
      </w:pPr>
      <w:r>
        <w:rPr>
          <w:b/>
          <w:bCs/>
          <w:sz w:val="20"/>
          <w:szCs w:val="20"/>
        </w:rPr>
        <w:t xml:space="preserve">[16] You SH, Lim HW, Sun Z, Broache M, Won KJ, Lazar MA (2013). </w:t>
      </w:r>
      <w:r>
        <w:rPr>
          <w:sz w:val="20"/>
          <w:szCs w:val="20"/>
        </w:rPr>
        <w:t xml:space="preserve">Nuclear receptor co-repressors are required for the histone-deacetylase activity of HDAC3 in vivo. Nature Structural &amp; Molecular Biology 20:182–187. </w:t>
      </w:r>
      <w:hyperlink r:id="rId94" w:history="1">
        <w:r>
          <w:rPr>
            <w:color w:val="087B78"/>
            <w:sz w:val="20"/>
            <w:szCs w:val="20"/>
            <w:u w:val="single"/>
          </w:rPr>
          <w:t>10.1038/nsmb.2476</w:t>
        </w:r>
      </w:hyperlink>
    </w:p>
    <w:p w14:paraId="370CDA1E" w14:textId="03453CEB" w:rsidR="009E5D07" w:rsidRDefault="00567DF0">
      <w:pPr>
        <w:keepLines/>
        <w:spacing w:after="90" w:line="245" w:lineRule="auto"/>
      </w:pPr>
      <w:r>
        <w:rPr>
          <w:b/>
          <w:bCs/>
          <w:sz w:val="20"/>
          <w:szCs w:val="20"/>
        </w:rPr>
        <w:t xml:space="preserve">[17] Egelhofer TA, Minoda A, Klugman S, et al. (2011). </w:t>
      </w:r>
      <w:r>
        <w:rPr>
          <w:sz w:val="20"/>
          <w:szCs w:val="20"/>
        </w:rPr>
        <w:t xml:space="preserve">An assessment of histone-modification antibody quality. Nature Structural &amp; Molecular Biology 18:91–93; online 5 December 2010. </w:t>
      </w:r>
      <w:hyperlink r:id="rId95" w:history="1">
        <w:r>
          <w:rPr>
            <w:color w:val="087B78"/>
            <w:sz w:val="20"/>
            <w:szCs w:val="20"/>
            <w:u w:val="single"/>
          </w:rPr>
          <w:t>10.1038/nsmb.1972</w:t>
        </w:r>
      </w:hyperlink>
    </w:p>
    <w:p w14:paraId="03188C64" w14:textId="0810F601" w:rsidR="009E5D07" w:rsidRDefault="00567DF0">
      <w:pPr>
        <w:keepLines/>
        <w:spacing w:after="90" w:line="245" w:lineRule="auto"/>
      </w:pPr>
      <w:r>
        <w:rPr>
          <w:b/>
          <w:bCs/>
          <w:sz w:val="20"/>
          <w:szCs w:val="20"/>
        </w:rPr>
        <w:t xml:space="preserve">[18] Zhang D, Tang Z, Huang H, et al. (2019). </w:t>
      </w:r>
      <w:r>
        <w:rPr>
          <w:sz w:val="20"/>
          <w:szCs w:val="20"/>
        </w:rPr>
        <w:t xml:space="preserve">Metabolic regulation of gene expression by histone lactylation. Nature 574:575–580. </w:t>
      </w:r>
      <w:hyperlink r:id="rId96" w:history="1">
        <w:r>
          <w:rPr>
            <w:color w:val="087B78"/>
            <w:sz w:val="20"/>
            <w:szCs w:val="20"/>
            <w:u w:val="single"/>
          </w:rPr>
          <w:t>10.1038/s41586-019-1678-1</w:t>
        </w:r>
      </w:hyperlink>
    </w:p>
    <w:p w14:paraId="5FCE837C" w14:textId="3E58A99F" w:rsidR="009E5D07" w:rsidRDefault="00567DF0">
      <w:pPr>
        <w:keepLines/>
        <w:spacing w:after="90" w:line="245" w:lineRule="auto"/>
      </w:pPr>
      <w:r>
        <w:rPr>
          <w:b/>
          <w:bCs/>
          <w:sz w:val="20"/>
          <w:szCs w:val="20"/>
        </w:rPr>
        <w:t xml:space="preserve">[19] Ju J, Zhang H, Lin M, et al. (2024). </w:t>
      </w:r>
      <w:r>
        <w:rPr>
          <w:sz w:val="20"/>
          <w:szCs w:val="20"/>
        </w:rPr>
        <w:t xml:space="preserve">The alanyl-tRNA synthetase AARS1 moonlights as a lactyltransferase to promote YAP signaling in gastric cancer. Journal of Clinical Investigation 134. </w:t>
      </w:r>
      <w:hyperlink r:id="rId97" w:history="1">
        <w:r>
          <w:rPr>
            <w:color w:val="087B78"/>
            <w:sz w:val="20"/>
            <w:szCs w:val="20"/>
            <w:u w:val="single"/>
          </w:rPr>
          <w:t>10.1172/JCI174587</w:t>
        </w:r>
      </w:hyperlink>
    </w:p>
    <w:p w14:paraId="10971DDE" w14:textId="653F1561" w:rsidR="009E5D07" w:rsidRDefault="00567DF0">
      <w:pPr>
        <w:keepLines/>
        <w:spacing w:after="90" w:line="245" w:lineRule="auto"/>
      </w:pPr>
      <w:r>
        <w:rPr>
          <w:b/>
          <w:bCs/>
          <w:sz w:val="20"/>
          <w:szCs w:val="20"/>
        </w:rPr>
        <w:t xml:space="preserve">[20] Rogakou EP, Boon C, Redon C, Bonner WM (1999). </w:t>
      </w:r>
      <w:r>
        <w:rPr>
          <w:sz w:val="20"/>
          <w:szCs w:val="20"/>
        </w:rPr>
        <w:t xml:space="preserve">Megabase Chromatin Domains Involved in DNA Double-Strand Breaks in Vivo. Journal of Cell Biology 146:905–916. </w:t>
      </w:r>
      <w:hyperlink r:id="rId98" w:history="1">
        <w:r>
          <w:rPr>
            <w:color w:val="087B78"/>
            <w:sz w:val="20"/>
            <w:szCs w:val="20"/>
            <w:u w:val="single"/>
          </w:rPr>
          <w:t>10.1083/jcb.146.5.905</w:t>
        </w:r>
      </w:hyperlink>
    </w:p>
    <w:p w14:paraId="106194C2" w14:textId="42C86D66" w:rsidR="009E5D07" w:rsidRDefault="00567DF0">
      <w:pPr>
        <w:keepLines/>
        <w:spacing w:after="90" w:line="245" w:lineRule="auto"/>
      </w:pPr>
      <w:r>
        <w:rPr>
          <w:b/>
          <w:bCs/>
          <w:sz w:val="20"/>
          <w:szCs w:val="20"/>
        </w:rPr>
        <w:t xml:space="preserve">[21] Clouaire T, Rocher V, Lashgari A, et al. (2018). </w:t>
      </w:r>
      <w:r>
        <w:rPr>
          <w:sz w:val="20"/>
          <w:szCs w:val="20"/>
        </w:rPr>
        <w:t xml:space="preserve">Comprehensive Mapping of Histone Modifications at DNA Double-Strand Breaks Deciphers Repair Pathway Chromatin Signatures. Molecular Cell 72:250–262.e6. </w:t>
      </w:r>
      <w:hyperlink r:id="rId99" w:history="1">
        <w:r>
          <w:rPr>
            <w:color w:val="087B78"/>
            <w:sz w:val="20"/>
            <w:szCs w:val="20"/>
            <w:u w:val="single"/>
          </w:rPr>
          <w:t>10.1016/j.molcel.2018.08.020</w:t>
        </w:r>
      </w:hyperlink>
    </w:p>
    <w:p w14:paraId="0A94986B" w14:textId="77777777" w:rsidR="009E5D07" w:rsidRDefault="00567DF0">
      <w:pPr>
        <w:pStyle w:val="Heading1"/>
      </w:pPr>
      <w:bookmarkStart w:id="12" w:name="_Toc242668364"/>
      <w:r>
        <w:t>Evidence scope</w:t>
      </w:r>
      <w:bookmarkEnd w:id="12"/>
    </w:p>
    <w:p w14:paraId="01A7EE5B" w14:textId="77777777" w:rsidR="009E5D07" w:rsidRDefault="00567DF0">
      <w:pPr>
        <w:keepLines/>
        <w:spacing w:after="160" w:line="270" w:lineRule="auto"/>
      </w:pPr>
      <w:r>
        <w:t>This narrative integrates foundational and recent primary studies available by 12 October 2026. Source access ranges from original abstracts to selected Results, figure captions and Methods, as specified for each reference. It is a scholarly synthesis of the measured systems; it does not independently reproduce their experiments, analyze their raw data or establish exhaustive literature coverage.</w:t>
      </w:r>
    </w:p>
    <w:sectPr w:rsidR="009E5D07">
      <w:headerReference w:type="default" r:id="rId100"/>
      <w:footerReference w:type="default" r:id="rId101"/>
      <w:pgSz w:w="12240" w:h="15840"/>
      <w:pgMar w:top="1250" w:right="1440" w:bottom="1250" w:left="1440" w:header="650" w:footer="65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45E85E" w14:textId="77777777" w:rsidR="00567DF0" w:rsidRDefault="00567DF0">
      <w:pPr>
        <w:spacing w:after="0" w:line="240" w:lineRule="auto"/>
      </w:pPr>
      <w:r>
        <w:separator/>
      </w:r>
    </w:p>
  </w:endnote>
  <w:endnote w:type="continuationSeparator" w:id="0">
    <w:p w14:paraId="41554BE8" w14:textId="77777777" w:rsidR="00567DF0" w:rsidRDefault="00567DF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001138" w14:textId="77777777" w:rsidR="009E5D07" w:rsidRDefault="00567DF0">
    <w:pPr>
      <w:jc w:val="right"/>
    </w:pPr>
    <w:r>
      <w:rPr>
        <w:color w:val="527077"/>
        <w:sz w:val="17"/>
        <w:szCs w:val="17"/>
      </w:rPr>
      <w:t xml:space="preserve">CellNucleus · Page </w:t>
    </w:r>
    <w:r>
      <w:rPr>
        <w:color w:val="527077"/>
        <w:sz w:val="17"/>
        <w:szCs w:val="17"/>
      </w:rPr>
      <w:fldChar w:fldCharType="begin"/>
    </w:r>
    <w:r>
      <w:rPr>
        <w:color w:val="527077"/>
        <w:sz w:val="17"/>
        <w:szCs w:val="17"/>
      </w:rPr>
      <w:instrText>PAGE</w:instrText>
    </w:r>
    <w:r>
      <w:rPr>
        <w:color w:val="527077"/>
        <w:sz w:val="17"/>
        <w:szCs w:val="17"/>
      </w:rPr>
      <w:fldChar w:fldCharType="separate"/>
    </w:r>
    <w:r w:rsidR="007766BB">
      <w:rPr>
        <w:noProof/>
        <w:color w:val="527077"/>
        <w:sz w:val="17"/>
        <w:szCs w:val="17"/>
      </w:rPr>
      <w:t>1</w:t>
    </w:r>
    <w:r>
      <w:rPr>
        <w:color w:val="527077"/>
        <w:sz w:val="17"/>
        <w:szCs w:val="17"/>
      </w:rPr>
      <w:fldChar w:fldCharType="end"/>
    </w:r>
    <w:r>
      <w:rPr>
        <w:color w:val="527077"/>
        <w:sz w:val="17"/>
        <w:szCs w:val="17"/>
      </w:rPr>
      <w:t xml:space="preserve"> of </w:t>
    </w:r>
    <w:r>
      <w:rPr>
        <w:color w:val="527077"/>
        <w:sz w:val="17"/>
        <w:szCs w:val="17"/>
      </w:rPr>
      <w:fldChar w:fldCharType="begin"/>
    </w:r>
    <w:r>
      <w:rPr>
        <w:color w:val="527077"/>
        <w:sz w:val="17"/>
        <w:szCs w:val="17"/>
      </w:rPr>
      <w:instrText>NUMPAGES</w:instrText>
    </w:r>
    <w:r>
      <w:rPr>
        <w:color w:val="527077"/>
        <w:sz w:val="17"/>
        <w:szCs w:val="17"/>
      </w:rPr>
      <w:fldChar w:fldCharType="separate"/>
    </w:r>
    <w:r w:rsidR="007766BB">
      <w:rPr>
        <w:noProof/>
        <w:color w:val="527077"/>
        <w:sz w:val="17"/>
        <w:szCs w:val="17"/>
      </w:rPr>
      <w:t>2</w:t>
    </w:r>
    <w:r>
      <w:rPr>
        <w:color w:val="527077"/>
        <w:sz w:val="17"/>
        <w:szCs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635AE6" w14:textId="77777777" w:rsidR="00567DF0" w:rsidRDefault="00567DF0">
      <w:pPr>
        <w:spacing w:after="0" w:line="240" w:lineRule="auto"/>
      </w:pPr>
      <w:r>
        <w:separator/>
      </w:r>
    </w:p>
  </w:footnote>
  <w:footnote w:type="continuationSeparator" w:id="0">
    <w:p w14:paraId="3053678F" w14:textId="77777777" w:rsidR="00567DF0" w:rsidRDefault="00567DF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9F08F8" w14:textId="77777777" w:rsidR="009E5D07" w:rsidRDefault="00567DF0">
    <w:pPr>
      <w:pBdr>
        <w:bottom w:val="single" w:sz="4" w:space="0" w:color="B8D1D0"/>
      </w:pBdr>
    </w:pPr>
    <w:r>
      <w:rPr>
        <w:color w:val="527077"/>
        <w:sz w:val="17"/>
        <w:szCs w:val="17"/>
      </w:rPr>
      <w:t>Histone post-translational modifications: chemistry, recognition and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852534"/>
    <w:multiLevelType w:val="hybridMultilevel"/>
    <w:tmpl w:val="CFEAD8E2"/>
    <w:lvl w:ilvl="0" w:tplc="D2CC5D0E">
      <w:start w:val="1"/>
      <w:numFmt w:val="bullet"/>
      <w:lvlText w:val="•"/>
      <w:lvlJc w:val="left"/>
      <w:pPr>
        <w:ind w:left="340" w:hanging="170"/>
      </w:pPr>
    </w:lvl>
    <w:lvl w:ilvl="1" w:tplc="3B904F0A">
      <w:numFmt w:val="decimal"/>
      <w:lvlText w:val=""/>
      <w:lvlJc w:val="left"/>
    </w:lvl>
    <w:lvl w:ilvl="2" w:tplc="B1303542">
      <w:numFmt w:val="decimal"/>
      <w:lvlText w:val=""/>
      <w:lvlJc w:val="left"/>
    </w:lvl>
    <w:lvl w:ilvl="3" w:tplc="91ACED8A">
      <w:numFmt w:val="decimal"/>
      <w:lvlText w:val=""/>
      <w:lvlJc w:val="left"/>
    </w:lvl>
    <w:lvl w:ilvl="4" w:tplc="6CC42944">
      <w:numFmt w:val="decimal"/>
      <w:lvlText w:val=""/>
      <w:lvlJc w:val="left"/>
    </w:lvl>
    <w:lvl w:ilvl="5" w:tplc="81808874">
      <w:numFmt w:val="decimal"/>
      <w:lvlText w:val=""/>
      <w:lvlJc w:val="left"/>
    </w:lvl>
    <w:lvl w:ilvl="6" w:tplc="69F8A668">
      <w:numFmt w:val="decimal"/>
      <w:lvlText w:val=""/>
      <w:lvlJc w:val="left"/>
    </w:lvl>
    <w:lvl w:ilvl="7" w:tplc="5ACA761A">
      <w:numFmt w:val="decimal"/>
      <w:lvlText w:val=""/>
      <w:lvlJc w:val="left"/>
    </w:lvl>
    <w:lvl w:ilvl="8" w:tplc="48F65DFC">
      <w:numFmt w:val="decimal"/>
      <w:lvlText w:val=""/>
      <w:lvlJc w:val="left"/>
    </w:lvl>
  </w:abstractNum>
  <w:abstractNum w:abstractNumId="1" w15:restartNumberingAfterBreak="0">
    <w:nsid w:val="713E2241"/>
    <w:multiLevelType w:val="hybridMultilevel"/>
    <w:tmpl w:val="7D1C2062"/>
    <w:lvl w:ilvl="0" w:tplc="CD40C8BE">
      <w:start w:val="1"/>
      <w:numFmt w:val="bullet"/>
      <w:lvlText w:val="●"/>
      <w:lvlJc w:val="left"/>
      <w:pPr>
        <w:ind w:left="720" w:hanging="360"/>
      </w:pPr>
    </w:lvl>
    <w:lvl w:ilvl="1" w:tplc="B820487E">
      <w:start w:val="1"/>
      <w:numFmt w:val="bullet"/>
      <w:lvlText w:val="○"/>
      <w:lvlJc w:val="left"/>
      <w:pPr>
        <w:ind w:left="1440" w:hanging="360"/>
      </w:pPr>
    </w:lvl>
    <w:lvl w:ilvl="2" w:tplc="991C4F44">
      <w:start w:val="1"/>
      <w:numFmt w:val="bullet"/>
      <w:lvlText w:val="■"/>
      <w:lvlJc w:val="left"/>
      <w:pPr>
        <w:ind w:left="2160" w:hanging="360"/>
      </w:pPr>
    </w:lvl>
    <w:lvl w:ilvl="3" w:tplc="75DA900A">
      <w:start w:val="1"/>
      <w:numFmt w:val="bullet"/>
      <w:lvlText w:val="●"/>
      <w:lvlJc w:val="left"/>
      <w:pPr>
        <w:ind w:left="2880" w:hanging="360"/>
      </w:pPr>
    </w:lvl>
    <w:lvl w:ilvl="4" w:tplc="71AC382A">
      <w:start w:val="1"/>
      <w:numFmt w:val="bullet"/>
      <w:lvlText w:val="○"/>
      <w:lvlJc w:val="left"/>
      <w:pPr>
        <w:ind w:left="3600" w:hanging="360"/>
      </w:pPr>
    </w:lvl>
    <w:lvl w:ilvl="5" w:tplc="FCEED090">
      <w:start w:val="1"/>
      <w:numFmt w:val="bullet"/>
      <w:lvlText w:val="■"/>
      <w:lvlJc w:val="left"/>
      <w:pPr>
        <w:ind w:left="4320" w:hanging="360"/>
      </w:pPr>
    </w:lvl>
    <w:lvl w:ilvl="6" w:tplc="9FF61E1C">
      <w:start w:val="1"/>
      <w:numFmt w:val="bullet"/>
      <w:lvlText w:val="●"/>
      <w:lvlJc w:val="left"/>
      <w:pPr>
        <w:ind w:left="5040" w:hanging="360"/>
      </w:pPr>
    </w:lvl>
    <w:lvl w:ilvl="7" w:tplc="8346A42C">
      <w:start w:val="1"/>
      <w:numFmt w:val="bullet"/>
      <w:lvlText w:val="●"/>
      <w:lvlJc w:val="left"/>
      <w:pPr>
        <w:ind w:left="5760" w:hanging="360"/>
      </w:pPr>
    </w:lvl>
    <w:lvl w:ilvl="8" w:tplc="97540532">
      <w:start w:val="1"/>
      <w:numFmt w:val="bullet"/>
      <w:lvlText w:val="●"/>
      <w:lvlJc w:val="left"/>
      <w:pPr>
        <w:ind w:left="6480" w:hanging="360"/>
      </w:pPr>
    </w:lvl>
  </w:abstractNum>
  <w:num w:numId="1" w16cid:durableId="199710640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5D07"/>
    <w:rsid w:val="003D2B79"/>
    <w:rsid w:val="00567DF0"/>
    <w:rsid w:val="007766BB"/>
    <w:rsid w:val="009E5D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E49FB63"/>
  <w15:docId w15:val="{A9109D28-9002-4222-BDD2-49D46BA5EF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color w:val="243F48"/>
        <w:sz w:val="22"/>
        <w:szCs w:val="22"/>
        <w:lang w:val="en-US" w:eastAsia="en-US" w:bidi="ar-SA"/>
      </w:rPr>
    </w:rPrDefault>
    <w:pPrDefault>
      <w:pPr>
        <w:spacing w:after="150" w:line="285"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spacing w:before="330"/>
      <w:outlineLvl w:val="0"/>
    </w:pPr>
    <w:rPr>
      <w:b/>
      <w:bCs/>
      <w:color w:val="173B4C"/>
      <w:sz w:val="32"/>
      <w:szCs w:val="32"/>
    </w:rPr>
  </w:style>
  <w:style w:type="paragraph" w:styleId="Heading2">
    <w:name w:val="heading 2"/>
    <w:uiPriority w:val="9"/>
    <w:semiHidden/>
    <w:unhideWhenUsed/>
    <w:qFormat/>
    <w:pPr>
      <w:keepNext/>
      <w:spacing w:before="240" w:after="120"/>
      <w:outlineLvl w:val="1"/>
    </w:pPr>
    <w:rPr>
      <w:b/>
      <w:bCs/>
      <w:color w:val="087B78"/>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next w:val="Subtitle"/>
    <w:uiPriority w:val="10"/>
    <w:qFormat/>
    <w:pPr>
      <w:spacing w:after="240"/>
    </w:pPr>
    <w:rPr>
      <w:b/>
      <w:bCs/>
      <w:color w:val="173B4C"/>
      <w:sz w:val="54"/>
      <w:szCs w:val="54"/>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Subtitle">
    <w:name w:val="Subtitle"/>
    <w:uiPriority w:val="11"/>
    <w:qFormat/>
    <w:pPr>
      <w:spacing w:after="180"/>
    </w:pPr>
    <w:rPr>
      <w:color w:val="527077"/>
      <w:sz w:val="25"/>
      <w:szCs w:val="25"/>
    </w:rPr>
  </w:style>
  <w:style w:type="paragraph" w:styleId="TOC1">
    <w:name w:val="toc 1"/>
    <w:basedOn w:val="Normal"/>
    <w:next w:val="Normal"/>
    <w:autoRedefine/>
    <w:uiPriority w:val="39"/>
    <w:unhideWhenUsed/>
    <w:rsid w:val="007766BB"/>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hyperlink" Target="https://doi.org/10.1073/pnas.0802336105" TargetMode="External"/><Relationship Id="rId21" Type="http://schemas.openxmlformats.org/officeDocument/2006/relationships/hyperlink" Target="https://doi.org/10.1038/nsmb.2476" TargetMode="External"/><Relationship Id="rId42" Type="http://schemas.openxmlformats.org/officeDocument/2006/relationships/hyperlink" Target="https://doi.org/10.1038/nature08398" TargetMode="External"/><Relationship Id="rId47" Type="http://schemas.openxmlformats.org/officeDocument/2006/relationships/hyperlink" Target="https://doi.org/10.1038/s41556-024-01547-z" TargetMode="External"/><Relationship Id="rId63" Type="http://schemas.openxmlformats.org/officeDocument/2006/relationships/hyperlink" Target="https://doi.org/10.1038/s41586-019-1678-1" TargetMode="External"/><Relationship Id="rId68" Type="http://schemas.openxmlformats.org/officeDocument/2006/relationships/hyperlink" Target="https://doi.org/10.1038/nsmb.1972" TargetMode="External"/><Relationship Id="rId84" Type="http://schemas.openxmlformats.org/officeDocument/2006/relationships/hyperlink" Target="https://doi.org/10.1038/35065138" TargetMode="External"/><Relationship Id="rId89" Type="http://schemas.openxmlformats.org/officeDocument/2006/relationships/hyperlink" Target="https://doi.org/10.1016/j.celrep.2024.113855" TargetMode="External"/><Relationship Id="rId16" Type="http://schemas.openxmlformats.org/officeDocument/2006/relationships/hyperlink" Target="https://doi.org/10.1016/j.cell.2007.02.005" TargetMode="External"/><Relationship Id="rId11" Type="http://schemas.openxmlformats.org/officeDocument/2006/relationships/hyperlink" Target="https://doi.org/10.1101/gad.256354.114" TargetMode="External"/><Relationship Id="rId32" Type="http://schemas.openxmlformats.org/officeDocument/2006/relationships/hyperlink" Target="https://doi.org/10.1038/nature07829" TargetMode="External"/><Relationship Id="rId37" Type="http://schemas.openxmlformats.org/officeDocument/2006/relationships/hyperlink" Target="https://doi.org/10.1038/nmeth.2688" TargetMode="External"/><Relationship Id="rId53" Type="http://schemas.openxmlformats.org/officeDocument/2006/relationships/hyperlink" Target="https://doi.org/10.1172/JCI174587" TargetMode="External"/><Relationship Id="rId58" Type="http://schemas.openxmlformats.org/officeDocument/2006/relationships/hyperlink" Target="https://doi.org/10.1038/nsmb.1972" TargetMode="External"/><Relationship Id="rId74" Type="http://schemas.openxmlformats.org/officeDocument/2006/relationships/hyperlink" Target="https://doi.org/10.1126/science.1124000" TargetMode="External"/><Relationship Id="rId79" Type="http://schemas.openxmlformats.org/officeDocument/2006/relationships/hyperlink" Target="https://doi.org/10.1038/38444" TargetMode="External"/><Relationship Id="rId102" Type="http://schemas.openxmlformats.org/officeDocument/2006/relationships/fontTable" Target="fontTable.xml"/><Relationship Id="rId5" Type="http://schemas.openxmlformats.org/officeDocument/2006/relationships/footnotes" Target="footnotes.xml"/><Relationship Id="rId90" Type="http://schemas.openxmlformats.org/officeDocument/2006/relationships/hyperlink" Target="https://doi.org/10.1101/gad.256354.114" TargetMode="External"/><Relationship Id="rId95" Type="http://schemas.openxmlformats.org/officeDocument/2006/relationships/hyperlink" Target="https://doi.org/10.1038/nsmb.1972" TargetMode="External"/><Relationship Id="rId22" Type="http://schemas.openxmlformats.org/officeDocument/2006/relationships/hyperlink" Target="https://doi.org/10.1172/JCI174587" TargetMode="External"/><Relationship Id="rId27" Type="http://schemas.openxmlformats.org/officeDocument/2006/relationships/hyperlink" Target="https://doi.org/10.1038/35065132" TargetMode="External"/><Relationship Id="rId43" Type="http://schemas.openxmlformats.org/officeDocument/2006/relationships/hyperlink" Target="https://doi.org/10.1038/s41556-024-01547-z" TargetMode="External"/><Relationship Id="rId48" Type="http://schemas.openxmlformats.org/officeDocument/2006/relationships/hyperlink" Target="https://doi.org/10.1083/jcb.146.5.905" TargetMode="External"/><Relationship Id="rId64" Type="http://schemas.openxmlformats.org/officeDocument/2006/relationships/hyperlink" Target="https://doi.org/10.1172/JCI174587" TargetMode="External"/><Relationship Id="rId69" Type="http://schemas.openxmlformats.org/officeDocument/2006/relationships/hyperlink" Target="https://doi.org/10.1126/science.1124000" TargetMode="External"/><Relationship Id="rId80" Type="http://schemas.openxmlformats.org/officeDocument/2006/relationships/hyperlink" Target="https://doi.org/10.1073/pnas.0802336105" TargetMode="External"/><Relationship Id="rId85" Type="http://schemas.openxmlformats.org/officeDocument/2006/relationships/hyperlink" Target="https://doi.org/10.1038/nature08398" TargetMode="External"/><Relationship Id="rId12" Type="http://schemas.openxmlformats.org/officeDocument/2006/relationships/hyperlink" Target="https://doi.org/10.1016/j.cell.2024.07.017" TargetMode="External"/><Relationship Id="rId17" Type="http://schemas.openxmlformats.org/officeDocument/2006/relationships/hyperlink" Target="https://doi.org/10.1038/s41586-019-1678-1" TargetMode="External"/><Relationship Id="rId25" Type="http://schemas.openxmlformats.org/officeDocument/2006/relationships/hyperlink" Target="https://doi.org/10.1016/j.cell.2019.08.037" TargetMode="External"/><Relationship Id="rId33" Type="http://schemas.openxmlformats.org/officeDocument/2006/relationships/hyperlink" Target="https://doi.org/10.1038/nsmb.2476" TargetMode="External"/><Relationship Id="rId38" Type="http://schemas.openxmlformats.org/officeDocument/2006/relationships/hyperlink" Target="https://doi.org/10.1101/gad.256354.114" TargetMode="External"/><Relationship Id="rId46" Type="http://schemas.openxmlformats.org/officeDocument/2006/relationships/hyperlink" Target="https://doi.org/10.1038/nature08398" TargetMode="External"/><Relationship Id="rId59" Type="http://schemas.openxmlformats.org/officeDocument/2006/relationships/hyperlink" Target="https://doi.org/10.1038/nature07829" TargetMode="External"/><Relationship Id="rId67" Type="http://schemas.openxmlformats.org/officeDocument/2006/relationships/hyperlink" Target="https://doi.org/10.1038/nature07829" TargetMode="External"/><Relationship Id="rId103" Type="http://schemas.openxmlformats.org/officeDocument/2006/relationships/theme" Target="theme/theme1.xml"/><Relationship Id="rId20" Type="http://schemas.openxmlformats.org/officeDocument/2006/relationships/hyperlink" Target="https://doi.org/10.1016/j.cell.2007.02.005" TargetMode="External"/><Relationship Id="rId41" Type="http://schemas.openxmlformats.org/officeDocument/2006/relationships/hyperlink" Target="https://doi.org/10.1016/j.cell.2024.07.017" TargetMode="External"/><Relationship Id="rId54" Type="http://schemas.openxmlformats.org/officeDocument/2006/relationships/hyperlink" Target="https://doi.org/10.1038/s41586-019-1678-1" TargetMode="External"/><Relationship Id="rId62" Type="http://schemas.openxmlformats.org/officeDocument/2006/relationships/hyperlink" Target="https://doi.org/10.1038/nsmb.2476" TargetMode="External"/><Relationship Id="rId70" Type="http://schemas.openxmlformats.org/officeDocument/2006/relationships/hyperlink" Target="https://doi.org/10.1038/35065132" TargetMode="External"/><Relationship Id="rId75" Type="http://schemas.openxmlformats.org/officeDocument/2006/relationships/hyperlink" Target="https://doi.org/10.1038/nsmb.2476" TargetMode="External"/><Relationship Id="rId83" Type="http://schemas.openxmlformats.org/officeDocument/2006/relationships/hyperlink" Target="https://doi.org/10.1038/35065132" TargetMode="External"/><Relationship Id="rId88" Type="http://schemas.openxmlformats.org/officeDocument/2006/relationships/hyperlink" Target="https://doi.org/10.1038/nature07829" TargetMode="External"/><Relationship Id="rId91" Type="http://schemas.openxmlformats.org/officeDocument/2006/relationships/hyperlink" Target="https://doi.org/10.1038/s41467-023-39846-y" TargetMode="External"/><Relationship Id="rId96" Type="http://schemas.openxmlformats.org/officeDocument/2006/relationships/hyperlink" Target="https://doi.org/10.1038/s41586-019-1678-1" TargetMode="Externa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doi.org/10.1172/JCI174587" TargetMode="External"/><Relationship Id="rId23" Type="http://schemas.openxmlformats.org/officeDocument/2006/relationships/hyperlink" Target="https://doi.org/10.1126/science.1124000" TargetMode="External"/><Relationship Id="rId28" Type="http://schemas.openxmlformats.org/officeDocument/2006/relationships/hyperlink" Target="https://doi.org/10.1038/35065138" TargetMode="External"/><Relationship Id="rId36" Type="http://schemas.openxmlformats.org/officeDocument/2006/relationships/hyperlink" Target="https://doi.org/10.1016/j.celrep.2024.113855" TargetMode="External"/><Relationship Id="rId49" Type="http://schemas.openxmlformats.org/officeDocument/2006/relationships/hyperlink" Target="https://doi.org/10.1016/j.molcel.2018.08.020" TargetMode="External"/><Relationship Id="rId57" Type="http://schemas.openxmlformats.org/officeDocument/2006/relationships/hyperlink" Target="https://doi.org/10.1126/science.1124000" TargetMode="External"/><Relationship Id="rId10" Type="http://schemas.openxmlformats.org/officeDocument/2006/relationships/hyperlink" Target="https://doi.org/10.1038/nature08398" TargetMode="External"/><Relationship Id="rId31" Type="http://schemas.openxmlformats.org/officeDocument/2006/relationships/hyperlink" Target="https://doi.org/10.1038/35065138" TargetMode="External"/><Relationship Id="rId44" Type="http://schemas.openxmlformats.org/officeDocument/2006/relationships/hyperlink" Target="https://doi.org/10.1016/j.cell.2024.07.017" TargetMode="External"/><Relationship Id="rId52" Type="http://schemas.openxmlformats.org/officeDocument/2006/relationships/hyperlink" Target="https://doi.org/10.1038/s41586-019-1678-1" TargetMode="External"/><Relationship Id="rId60" Type="http://schemas.openxmlformats.org/officeDocument/2006/relationships/hyperlink" Target="https://doi.org/10.1101/gad.256354.114" TargetMode="External"/><Relationship Id="rId65" Type="http://schemas.openxmlformats.org/officeDocument/2006/relationships/hyperlink" Target="https://doi.org/10.1038/nsmb.1972" TargetMode="External"/><Relationship Id="rId73" Type="http://schemas.openxmlformats.org/officeDocument/2006/relationships/hyperlink" Target="https://doi.org/10.1038/s41586-019-1678-1" TargetMode="External"/><Relationship Id="rId78" Type="http://schemas.openxmlformats.org/officeDocument/2006/relationships/hyperlink" Target="https://doi.org/10.1016/j.molcel.2018.08.020" TargetMode="External"/><Relationship Id="rId81" Type="http://schemas.openxmlformats.org/officeDocument/2006/relationships/hyperlink" Target="https://doi.org/10.1126/science.1124000" TargetMode="External"/><Relationship Id="rId86" Type="http://schemas.openxmlformats.org/officeDocument/2006/relationships/hyperlink" Target="https://doi.org/10.1038/s41556-024-01547-z" TargetMode="External"/><Relationship Id="rId94" Type="http://schemas.openxmlformats.org/officeDocument/2006/relationships/hyperlink" Target="https://doi.org/10.1038/nsmb.2476" TargetMode="External"/><Relationship Id="rId99" Type="http://schemas.openxmlformats.org/officeDocument/2006/relationships/hyperlink" Target="https://doi.org/10.1016/j.molcel.2018.08.020" TargetMode="External"/><Relationship Id="rId101"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s://doi.org/10.1038/35065132" TargetMode="External"/><Relationship Id="rId13" Type="http://schemas.openxmlformats.org/officeDocument/2006/relationships/hyperlink" Target="https://doi.org/10.1038/s41556-024-01547-z" TargetMode="External"/><Relationship Id="rId18" Type="http://schemas.openxmlformats.org/officeDocument/2006/relationships/hyperlink" Target="https://doi.org/10.1038/38444" TargetMode="External"/><Relationship Id="rId39" Type="http://schemas.openxmlformats.org/officeDocument/2006/relationships/hyperlink" Target="https://doi.org/10.1101/gad.256354.114" TargetMode="External"/><Relationship Id="rId34" Type="http://schemas.openxmlformats.org/officeDocument/2006/relationships/hyperlink" Target="https://doi.org/10.1038/nsmb.2476" TargetMode="External"/><Relationship Id="rId50" Type="http://schemas.openxmlformats.org/officeDocument/2006/relationships/hyperlink" Target="https://doi.org/10.1083/jcb.146.5.905" TargetMode="External"/><Relationship Id="rId55" Type="http://schemas.openxmlformats.org/officeDocument/2006/relationships/hyperlink" Target="https://doi.org/10.1172/JCI174587" TargetMode="External"/><Relationship Id="rId76" Type="http://schemas.openxmlformats.org/officeDocument/2006/relationships/hyperlink" Target="https://doi.org/10.1038/nature08398" TargetMode="External"/><Relationship Id="rId97" Type="http://schemas.openxmlformats.org/officeDocument/2006/relationships/hyperlink" Target="https://doi.org/10.1172/JCI174587" TargetMode="External"/><Relationship Id="rId7" Type="http://schemas.openxmlformats.org/officeDocument/2006/relationships/hyperlink" Target="https://doi.org/10.1016/j.cell.2007.02.005" TargetMode="External"/><Relationship Id="rId71" Type="http://schemas.openxmlformats.org/officeDocument/2006/relationships/hyperlink" Target="https://doi.org/10.1016/j.cell.2024.07.017" TargetMode="External"/><Relationship Id="rId92" Type="http://schemas.openxmlformats.org/officeDocument/2006/relationships/hyperlink" Target="https://doi.org/10.1016/j.cell.2024.07.017" TargetMode="External"/><Relationship Id="rId2" Type="http://schemas.openxmlformats.org/officeDocument/2006/relationships/styles" Target="styles.xml"/><Relationship Id="rId29" Type="http://schemas.openxmlformats.org/officeDocument/2006/relationships/hyperlink" Target="https://doi.org/10.1038/nature08398" TargetMode="External"/><Relationship Id="rId24" Type="http://schemas.openxmlformats.org/officeDocument/2006/relationships/hyperlink" Target="https://doi.org/10.1126/science.1124000" TargetMode="External"/><Relationship Id="rId40" Type="http://schemas.openxmlformats.org/officeDocument/2006/relationships/hyperlink" Target="https://doi.org/10.1038/s41467-023-39846-y" TargetMode="External"/><Relationship Id="rId45" Type="http://schemas.openxmlformats.org/officeDocument/2006/relationships/hyperlink" Target="https://doi.org/10.1101/gad.256354.114" TargetMode="External"/><Relationship Id="rId66" Type="http://schemas.openxmlformats.org/officeDocument/2006/relationships/hyperlink" Target="https://doi.org/10.1101/gad.256354.114" TargetMode="External"/><Relationship Id="rId87" Type="http://schemas.openxmlformats.org/officeDocument/2006/relationships/hyperlink" Target="https://doi.org/10.1038/nmeth.2688" TargetMode="External"/><Relationship Id="rId61" Type="http://schemas.openxmlformats.org/officeDocument/2006/relationships/hyperlink" Target="https://doi.org/10.1038/s41556-024-01547-z" TargetMode="External"/><Relationship Id="rId82" Type="http://schemas.openxmlformats.org/officeDocument/2006/relationships/hyperlink" Target="https://doi.org/10.1016/j.cell.2019.08.037" TargetMode="External"/><Relationship Id="rId19" Type="http://schemas.openxmlformats.org/officeDocument/2006/relationships/hyperlink" Target="https://doi.org/10.1126/science.1124000" TargetMode="External"/><Relationship Id="rId14" Type="http://schemas.openxmlformats.org/officeDocument/2006/relationships/hyperlink" Target="https://doi.org/10.1038/s41586-019-1678-1" TargetMode="External"/><Relationship Id="rId30" Type="http://schemas.openxmlformats.org/officeDocument/2006/relationships/hyperlink" Target="https://doi.org/10.1038/35065132" TargetMode="External"/><Relationship Id="rId35" Type="http://schemas.openxmlformats.org/officeDocument/2006/relationships/hyperlink" Target="https://doi.org/10.1038/nature07829" TargetMode="External"/><Relationship Id="rId56" Type="http://schemas.openxmlformats.org/officeDocument/2006/relationships/hyperlink" Target="https://doi.org/10.1038/s41586-019-1678-1" TargetMode="External"/><Relationship Id="rId77" Type="http://schemas.openxmlformats.org/officeDocument/2006/relationships/hyperlink" Target="https://doi.org/10.1172/JCI174587" TargetMode="External"/><Relationship Id="rId100" Type="http://schemas.openxmlformats.org/officeDocument/2006/relationships/header" Target="header1.xml"/><Relationship Id="rId8" Type="http://schemas.openxmlformats.org/officeDocument/2006/relationships/hyperlink" Target="https://doi.org/10.1126/science.1124000" TargetMode="External"/><Relationship Id="rId51" Type="http://schemas.openxmlformats.org/officeDocument/2006/relationships/hyperlink" Target="https://doi.org/10.1016/j.molcel.2018.08.020" TargetMode="External"/><Relationship Id="rId72" Type="http://schemas.openxmlformats.org/officeDocument/2006/relationships/hyperlink" Target="https://doi.org/10.1038/s41556-024-01547-z" TargetMode="External"/><Relationship Id="rId93" Type="http://schemas.openxmlformats.org/officeDocument/2006/relationships/hyperlink" Target="https://doi.org/10.1016/j.cell.2007.02.005" TargetMode="External"/><Relationship Id="rId98" Type="http://schemas.openxmlformats.org/officeDocument/2006/relationships/hyperlink" Target="https://doi.org/10.1083/jcb.146.5.905" TargetMode="Externa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2933</Words>
  <Characters>18970</Characters>
  <Application>Microsoft Office Word</Application>
  <DocSecurity>0</DocSecurity>
  <Lines>293</Lines>
  <Paragraphs>100</Paragraphs>
  <ScaleCrop>false</ScaleCrop>
  <Company/>
  <LinksUpToDate>false</LinksUpToDate>
  <CharactersWithSpaces>21780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Histone post-translational modifications: chemistry, recognition and chromatin memory</dc:title>
  <dc:subject>From defined molecular effects to replication-coupled restoration, damage signaling and metabolic regulation.</dc:subject>
  <dc:creator>CellNucleus</dc:creator>
  <dc:description>Current source-based review with a matching webpage edition.</dc:description>
  <cp:lastModifiedBy>Michael Hendzel</cp:lastModifiedBy>
  <cp:revision>2</cp:revision>
  <dcterms:created xsi:type="dcterms:W3CDTF">2026-10-12T09:31:00Z</dcterms:created>
  <dcterms:modified xsi:type="dcterms:W3CDTF">2026-10-12T09:32:00Z</dcterms:modified>
</cp:coreProperties>
</file>