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A49E0" w14:textId="77777777" w:rsidR="00FB38AD" w:rsidRDefault="00AE2D7E">
      <w:pPr>
        <w:pStyle w:val="Title"/>
      </w:pPr>
      <w:r>
        <w:t>Nuclear Biophysics: A Decade of Composite Mechanics and Molecular Organization</w:t>
      </w:r>
    </w:p>
    <w:p w14:paraId="1FC0E820" w14:textId="77777777" w:rsidR="00FB38AD" w:rsidRDefault="00AE2D7E">
      <w:pPr>
        <w:pStyle w:val="Subtitle"/>
      </w:pPr>
      <w:r>
        <w:t>Integrated structural, transport and force-based evidence through 2026</w:t>
      </w:r>
    </w:p>
    <w:p w14:paraId="4695CD9F" w14:textId="77777777" w:rsidR="00FB38AD" w:rsidRDefault="00AE2D7E">
      <w:pPr>
        <w:spacing w:before="200" w:after="320"/>
      </w:pPr>
      <w:r>
        <w:rPr>
          <w:color w:val="087B78"/>
          <w:sz w:val="20"/>
          <w:szCs w:val="20"/>
        </w:rPr>
        <w:t>CellNucleus · Current research review · 12 October 2026</w:t>
      </w:r>
    </w:p>
    <w:p w14:paraId="7BFE16DD" w14:textId="77777777" w:rsidR="00FB38AD" w:rsidRDefault="00AE2D7E">
      <w:pPr>
        <w:pStyle w:val="Heading1"/>
      </w:pPr>
      <w:bookmarkStart w:id="0" w:name="_Toc242668355"/>
      <w:r>
        <w:t>Abstract</w:t>
      </w:r>
      <w:bookmarkEnd w:id="0"/>
    </w:p>
    <w:p w14:paraId="5DC00EC6" w14:textId="45A4A79C" w:rsidR="00FB38AD" w:rsidRDefault="00AE2D7E">
      <w:r>
        <w:t xml:space="preserve">Nuclear biophysics connects the organization of chromatin and nuclear proteins with force transmission, molecular transport and material response. Over the past decade, primary experiments have resolved how chromatin and lamins contribute differently to deformation, how nuclear-body composition creates local material environments, and how envelope integrity can fail and recover. More recent work adds direct local force application, metabolically active nuclear preparations and quantitative coupling between </w:t>
      </w:r>
      <w:r>
        <w:t>density, volume and transport. The resulting nucleus is a structured, active composite whose physical properties depend on spatial scale, time scale and biological state.</w:t>
      </w:r>
      <w:hyperlink r:id="rId7" w:history="1">
        <w:r>
          <w:rPr>
            <w:color w:val="087B78"/>
            <w:sz w:val="18"/>
            <w:szCs w:val="18"/>
          </w:rPr>
          <w:t xml:space="preserve"> [1]</w:t>
        </w:r>
      </w:hyperlink>
      <w:hyperlink r:id="rId8" w:history="1">
        <w:r>
          <w:rPr>
            <w:color w:val="087B78"/>
            <w:sz w:val="18"/>
            <w:szCs w:val="18"/>
          </w:rPr>
          <w:t xml:space="preserve"> [2]</w:t>
        </w:r>
      </w:hyperlink>
      <w:hyperlink r:id="rId9" w:history="1">
        <w:r>
          <w:rPr>
            <w:color w:val="087B78"/>
            <w:sz w:val="18"/>
            <w:szCs w:val="18"/>
          </w:rPr>
          <w:t xml:space="preserve"> [3]</w:t>
        </w:r>
      </w:hyperlink>
      <w:hyperlink r:id="rId10" w:history="1">
        <w:r>
          <w:rPr>
            <w:color w:val="087B78"/>
            <w:sz w:val="18"/>
            <w:szCs w:val="18"/>
          </w:rPr>
          <w:t xml:space="preserve"> [4]</w:t>
        </w:r>
      </w:hyperlink>
      <w:hyperlink r:id="rId11" w:history="1">
        <w:r>
          <w:rPr>
            <w:color w:val="087B78"/>
            <w:sz w:val="18"/>
            <w:szCs w:val="18"/>
          </w:rPr>
          <w:t xml:space="preserve"> [5]</w:t>
        </w:r>
      </w:hyperlink>
      <w:hyperlink r:id="rId12" w:history="1">
        <w:r>
          <w:rPr>
            <w:color w:val="087B78"/>
            <w:sz w:val="18"/>
            <w:szCs w:val="18"/>
          </w:rPr>
          <w:t xml:space="preserve"> [6]</w:t>
        </w:r>
      </w:hyperlink>
    </w:p>
    <w:p w14:paraId="2C03B0C0" w14:textId="10CC8F04" w:rsidR="00FB38AD" w:rsidRDefault="00AE2D7E">
      <w:r>
        <w:t>This review integrates those developments without treating them as measurements of one universal nuclear stiffness or viscosity. It distinguishes structure from mechanical function, transport from binding, and material response from downstream regulation. Current 2024–2026 studies strengthen connections between chromatin tethering, nuclear-body organization and pore plasticity, while leaving important questions about causality and physiological generality open.</w:t>
      </w:r>
      <w:hyperlink r:id="rId13" w:history="1">
        <w:r>
          <w:rPr>
            <w:color w:val="087B78"/>
            <w:sz w:val="18"/>
            <w:szCs w:val="18"/>
          </w:rPr>
          <w:t xml:space="preserve"> [7]</w:t>
        </w:r>
      </w:hyperlink>
      <w:hyperlink r:id="rId14" w:history="1">
        <w:r>
          <w:rPr>
            <w:color w:val="087B78"/>
            <w:sz w:val="18"/>
            <w:szCs w:val="18"/>
          </w:rPr>
          <w:t xml:space="preserve"> [8]</w:t>
        </w:r>
      </w:hyperlink>
      <w:hyperlink r:id="rId15" w:history="1">
        <w:r>
          <w:rPr>
            <w:color w:val="087B78"/>
            <w:sz w:val="18"/>
            <w:szCs w:val="18"/>
          </w:rPr>
          <w:t xml:space="preserve"> [9]</w:t>
        </w:r>
      </w:hyperlink>
      <w:hyperlink r:id="rId16" w:history="1">
        <w:r>
          <w:rPr>
            <w:color w:val="087B78"/>
            <w:sz w:val="18"/>
            <w:szCs w:val="18"/>
          </w:rPr>
          <w:t xml:space="preserve"> [10]</w:t>
        </w:r>
      </w:hyperlink>
      <w:hyperlink r:id="rId17" w:history="1">
        <w:r>
          <w:rPr>
            <w:color w:val="087B78"/>
            <w:sz w:val="18"/>
            <w:szCs w:val="18"/>
          </w:rPr>
          <w:t xml:space="preserve"> [11]</w:t>
        </w:r>
      </w:hyperlink>
    </w:p>
    <w:p w14:paraId="24A08207" w14:textId="77777777" w:rsidR="00FB38AD" w:rsidRDefault="00AE2D7E">
      <w:pPr>
        <w:pageBreakBefore/>
        <w:spacing w:before="330"/>
      </w:pPr>
      <w:r>
        <w:rPr>
          <w:b/>
          <w:bCs/>
          <w:color w:val="173B4C"/>
          <w:sz w:val="32"/>
          <w:szCs w:val="32"/>
        </w:rPr>
        <w:lastRenderedPageBreak/>
        <w:t>Contents</w:t>
      </w:r>
    </w:p>
    <w:sdt>
      <w:sdtPr>
        <w:alias w:val="Contents"/>
        <w:id w:val="1082254709"/>
      </w:sdtPr>
      <w:sdtEndPr/>
      <w:sdtContent>
        <w:p w14:paraId="249D4E77" w14:textId="69A3E58C" w:rsidR="00EA3A73" w:rsidRDefault="00AE2D7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55" w:history="1">
            <w:r w:rsidR="00EA3A73" w:rsidRPr="00D72E62">
              <w:rPr>
                <w:rStyle w:val="Hyperlink"/>
                <w:noProof/>
              </w:rPr>
              <w:t>Abstract</w:t>
            </w:r>
            <w:r w:rsidR="00EA3A73">
              <w:rPr>
                <w:noProof/>
              </w:rPr>
              <w:tab/>
            </w:r>
            <w:r w:rsidR="00EA3A73">
              <w:rPr>
                <w:noProof/>
              </w:rPr>
              <w:fldChar w:fldCharType="begin"/>
            </w:r>
            <w:r w:rsidR="00EA3A73">
              <w:rPr>
                <w:noProof/>
              </w:rPr>
              <w:instrText xml:space="preserve"> PAGEREF _Toc242668355 \h </w:instrText>
            </w:r>
            <w:r w:rsidR="00EA3A73">
              <w:rPr>
                <w:noProof/>
              </w:rPr>
            </w:r>
            <w:r w:rsidR="00EA3A73">
              <w:rPr>
                <w:noProof/>
              </w:rPr>
              <w:fldChar w:fldCharType="separate"/>
            </w:r>
            <w:r w:rsidR="00EA3A73">
              <w:rPr>
                <w:noProof/>
              </w:rPr>
              <w:t>1</w:t>
            </w:r>
            <w:r w:rsidR="00EA3A73">
              <w:rPr>
                <w:noProof/>
              </w:rPr>
              <w:fldChar w:fldCharType="end"/>
            </w:r>
          </w:hyperlink>
        </w:p>
        <w:p w14:paraId="41D7ED3E" w14:textId="4B24B91E" w:rsidR="00EA3A73" w:rsidRDefault="00EA3A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6" w:history="1">
            <w:r w:rsidRPr="00D72E62">
              <w:rPr>
                <w:rStyle w:val="Hyperlink"/>
                <w:noProof/>
              </w:rPr>
              <w:t>1. The nucleus as a coupled physical system</w:t>
            </w:r>
            <w:r>
              <w:rPr>
                <w:noProof/>
              </w:rPr>
              <w:tab/>
            </w:r>
            <w:r>
              <w:rPr>
                <w:noProof/>
              </w:rPr>
              <w:fldChar w:fldCharType="begin"/>
            </w:r>
            <w:r>
              <w:rPr>
                <w:noProof/>
              </w:rPr>
              <w:instrText xml:space="preserve"> PAGEREF _Toc242668356 \h </w:instrText>
            </w:r>
            <w:r>
              <w:rPr>
                <w:noProof/>
              </w:rPr>
            </w:r>
            <w:r>
              <w:rPr>
                <w:noProof/>
              </w:rPr>
              <w:fldChar w:fldCharType="separate"/>
            </w:r>
            <w:r>
              <w:rPr>
                <w:noProof/>
              </w:rPr>
              <w:t>2</w:t>
            </w:r>
            <w:r>
              <w:rPr>
                <w:noProof/>
              </w:rPr>
              <w:fldChar w:fldCharType="end"/>
            </w:r>
          </w:hyperlink>
        </w:p>
        <w:p w14:paraId="13B53E57" w14:textId="285D6CE9" w:rsidR="00EA3A73" w:rsidRDefault="00EA3A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7" w:history="1">
            <w:r w:rsidRPr="00D72E62">
              <w:rPr>
                <w:rStyle w:val="Hyperlink"/>
                <w:noProof/>
              </w:rPr>
              <w:t>2. Structure identifies candidates, not mechanical constants</w:t>
            </w:r>
            <w:r>
              <w:rPr>
                <w:noProof/>
              </w:rPr>
              <w:tab/>
            </w:r>
            <w:r>
              <w:rPr>
                <w:noProof/>
              </w:rPr>
              <w:fldChar w:fldCharType="begin"/>
            </w:r>
            <w:r>
              <w:rPr>
                <w:noProof/>
              </w:rPr>
              <w:instrText xml:space="preserve"> PAGEREF _Toc242668357 \h </w:instrText>
            </w:r>
            <w:r>
              <w:rPr>
                <w:noProof/>
              </w:rPr>
            </w:r>
            <w:r>
              <w:rPr>
                <w:noProof/>
              </w:rPr>
              <w:fldChar w:fldCharType="separate"/>
            </w:r>
            <w:r>
              <w:rPr>
                <w:noProof/>
              </w:rPr>
              <w:t>3</w:t>
            </w:r>
            <w:r>
              <w:rPr>
                <w:noProof/>
              </w:rPr>
              <w:fldChar w:fldCharType="end"/>
            </w:r>
          </w:hyperlink>
        </w:p>
        <w:p w14:paraId="2B2548C7" w14:textId="4CE4720B" w:rsidR="00EA3A73" w:rsidRDefault="00EA3A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8" w:history="1">
            <w:r w:rsidRPr="00D72E62">
              <w:rPr>
                <w:rStyle w:val="Hyperlink"/>
                <w:noProof/>
              </w:rPr>
              <w:t>3. Chromatin and lamins contribute in different regimes</w:t>
            </w:r>
            <w:r>
              <w:rPr>
                <w:noProof/>
              </w:rPr>
              <w:tab/>
            </w:r>
            <w:r>
              <w:rPr>
                <w:noProof/>
              </w:rPr>
              <w:fldChar w:fldCharType="begin"/>
            </w:r>
            <w:r>
              <w:rPr>
                <w:noProof/>
              </w:rPr>
              <w:instrText xml:space="preserve"> PAGEREF _Toc242668358 \h </w:instrText>
            </w:r>
            <w:r>
              <w:rPr>
                <w:noProof/>
              </w:rPr>
            </w:r>
            <w:r>
              <w:rPr>
                <w:noProof/>
              </w:rPr>
              <w:fldChar w:fldCharType="separate"/>
            </w:r>
            <w:r>
              <w:rPr>
                <w:noProof/>
              </w:rPr>
              <w:t>3</w:t>
            </w:r>
            <w:r>
              <w:rPr>
                <w:noProof/>
              </w:rPr>
              <w:fldChar w:fldCharType="end"/>
            </w:r>
          </w:hyperlink>
        </w:p>
        <w:p w14:paraId="5065C479" w14:textId="2BAD2A19" w:rsidR="00EA3A73" w:rsidRDefault="00EA3A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9" w:history="1">
            <w:r w:rsidRPr="00D72E62">
              <w:rPr>
                <w:rStyle w:val="Hyperlink"/>
                <w:noProof/>
              </w:rPr>
              <w:t>4. Molecular mobility is another scale of physical organization</w:t>
            </w:r>
            <w:r>
              <w:rPr>
                <w:noProof/>
              </w:rPr>
              <w:tab/>
            </w:r>
            <w:r>
              <w:rPr>
                <w:noProof/>
              </w:rPr>
              <w:fldChar w:fldCharType="begin"/>
            </w:r>
            <w:r>
              <w:rPr>
                <w:noProof/>
              </w:rPr>
              <w:instrText xml:space="preserve"> PAGEREF _Toc242668359 \h </w:instrText>
            </w:r>
            <w:r>
              <w:rPr>
                <w:noProof/>
              </w:rPr>
            </w:r>
            <w:r>
              <w:rPr>
                <w:noProof/>
              </w:rPr>
              <w:fldChar w:fldCharType="separate"/>
            </w:r>
            <w:r>
              <w:rPr>
                <w:noProof/>
              </w:rPr>
              <w:t>3</w:t>
            </w:r>
            <w:r>
              <w:rPr>
                <w:noProof/>
              </w:rPr>
              <w:fldChar w:fldCharType="end"/>
            </w:r>
          </w:hyperlink>
        </w:p>
        <w:p w14:paraId="6B2F290D" w14:textId="5C38CA03" w:rsidR="00EA3A73" w:rsidRDefault="00EA3A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0" w:history="1">
            <w:r w:rsidRPr="00D72E62">
              <w:rPr>
                <w:rStyle w:val="Hyperlink"/>
                <w:noProof/>
              </w:rPr>
              <w:t>5. Nuclear bodies combine composition and material response</w:t>
            </w:r>
            <w:r>
              <w:rPr>
                <w:noProof/>
              </w:rPr>
              <w:tab/>
            </w:r>
            <w:r>
              <w:rPr>
                <w:noProof/>
              </w:rPr>
              <w:fldChar w:fldCharType="begin"/>
            </w:r>
            <w:r>
              <w:rPr>
                <w:noProof/>
              </w:rPr>
              <w:instrText xml:space="preserve"> PAGEREF _Toc242668360 \h </w:instrText>
            </w:r>
            <w:r>
              <w:rPr>
                <w:noProof/>
              </w:rPr>
            </w:r>
            <w:r>
              <w:rPr>
                <w:noProof/>
              </w:rPr>
              <w:fldChar w:fldCharType="separate"/>
            </w:r>
            <w:r>
              <w:rPr>
                <w:noProof/>
              </w:rPr>
              <w:t>4</w:t>
            </w:r>
            <w:r>
              <w:rPr>
                <w:noProof/>
              </w:rPr>
              <w:fldChar w:fldCharType="end"/>
            </w:r>
          </w:hyperlink>
        </w:p>
        <w:p w14:paraId="0B46C26D" w14:textId="7827828A" w:rsidR="00EA3A73" w:rsidRDefault="00EA3A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1" w:history="1">
            <w:r w:rsidRPr="00D72E62">
              <w:rPr>
                <w:rStyle w:val="Hyperlink"/>
                <w:noProof/>
              </w:rPr>
              <w:t>6. Active remodeling and persistent responses</w:t>
            </w:r>
            <w:r>
              <w:rPr>
                <w:noProof/>
              </w:rPr>
              <w:tab/>
            </w:r>
            <w:r>
              <w:rPr>
                <w:noProof/>
              </w:rPr>
              <w:fldChar w:fldCharType="begin"/>
            </w:r>
            <w:r>
              <w:rPr>
                <w:noProof/>
              </w:rPr>
              <w:instrText xml:space="preserve"> PAGEREF _Toc242668361 \h </w:instrText>
            </w:r>
            <w:r>
              <w:rPr>
                <w:noProof/>
              </w:rPr>
            </w:r>
            <w:r>
              <w:rPr>
                <w:noProof/>
              </w:rPr>
              <w:fldChar w:fldCharType="separate"/>
            </w:r>
            <w:r>
              <w:rPr>
                <w:noProof/>
              </w:rPr>
              <w:t>4</w:t>
            </w:r>
            <w:r>
              <w:rPr>
                <w:noProof/>
              </w:rPr>
              <w:fldChar w:fldCharType="end"/>
            </w:r>
          </w:hyperlink>
        </w:p>
        <w:p w14:paraId="349D75E3" w14:textId="7309E0F0" w:rsidR="00EA3A73" w:rsidRDefault="00EA3A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2" w:history="1">
            <w:r w:rsidRPr="00D72E62">
              <w:rPr>
                <w:rStyle w:val="Hyperlink"/>
                <w:noProof/>
              </w:rPr>
              <w:t>7. Envelope coupling, transport and failure</w:t>
            </w:r>
            <w:r>
              <w:rPr>
                <w:noProof/>
              </w:rPr>
              <w:tab/>
            </w:r>
            <w:r>
              <w:rPr>
                <w:noProof/>
              </w:rPr>
              <w:fldChar w:fldCharType="begin"/>
            </w:r>
            <w:r>
              <w:rPr>
                <w:noProof/>
              </w:rPr>
              <w:instrText xml:space="preserve"> PAGEREF _Toc242668362 \h </w:instrText>
            </w:r>
            <w:r>
              <w:rPr>
                <w:noProof/>
              </w:rPr>
            </w:r>
            <w:r>
              <w:rPr>
                <w:noProof/>
              </w:rPr>
              <w:fldChar w:fldCharType="separate"/>
            </w:r>
            <w:r>
              <w:rPr>
                <w:noProof/>
              </w:rPr>
              <w:t>5</w:t>
            </w:r>
            <w:r>
              <w:rPr>
                <w:noProof/>
              </w:rPr>
              <w:fldChar w:fldCharType="end"/>
            </w:r>
          </w:hyperlink>
        </w:p>
        <w:p w14:paraId="17C05857" w14:textId="7DE146CC" w:rsidR="00EA3A73" w:rsidRDefault="00EA3A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3" w:history="1">
            <w:r w:rsidRPr="00D72E62">
              <w:rPr>
                <w:rStyle w:val="Hyperlink"/>
                <w:noProof/>
              </w:rPr>
              <w:t>8. Current advances connect density, pores and genome tethers</w:t>
            </w:r>
            <w:r>
              <w:rPr>
                <w:noProof/>
              </w:rPr>
              <w:tab/>
            </w:r>
            <w:r>
              <w:rPr>
                <w:noProof/>
              </w:rPr>
              <w:fldChar w:fldCharType="begin"/>
            </w:r>
            <w:r>
              <w:rPr>
                <w:noProof/>
              </w:rPr>
              <w:instrText xml:space="preserve"> PAGEREF _Toc242668363 \h </w:instrText>
            </w:r>
            <w:r>
              <w:rPr>
                <w:noProof/>
              </w:rPr>
            </w:r>
            <w:r>
              <w:rPr>
                <w:noProof/>
              </w:rPr>
              <w:fldChar w:fldCharType="separate"/>
            </w:r>
            <w:r>
              <w:rPr>
                <w:noProof/>
              </w:rPr>
              <w:t>5</w:t>
            </w:r>
            <w:r>
              <w:rPr>
                <w:noProof/>
              </w:rPr>
              <w:fldChar w:fldCharType="end"/>
            </w:r>
          </w:hyperlink>
        </w:p>
        <w:p w14:paraId="4909B109" w14:textId="53156426" w:rsidR="00EA3A73" w:rsidRDefault="00EA3A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4" w:history="1">
            <w:r w:rsidRPr="00D72E62">
              <w:rPr>
                <w:rStyle w:val="Hyperlink"/>
                <w:noProof/>
              </w:rPr>
              <w:t>9. An evidence map for integrated nuclear biophysics</w:t>
            </w:r>
            <w:r>
              <w:rPr>
                <w:noProof/>
              </w:rPr>
              <w:tab/>
            </w:r>
            <w:r>
              <w:rPr>
                <w:noProof/>
              </w:rPr>
              <w:fldChar w:fldCharType="begin"/>
            </w:r>
            <w:r>
              <w:rPr>
                <w:noProof/>
              </w:rPr>
              <w:instrText xml:space="preserve"> PAGEREF _Toc242668364 \h </w:instrText>
            </w:r>
            <w:r>
              <w:rPr>
                <w:noProof/>
              </w:rPr>
            </w:r>
            <w:r>
              <w:rPr>
                <w:noProof/>
              </w:rPr>
              <w:fldChar w:fldCharType="separate"/>
            </w:r>
            <w:r>
              <w:rPr>
                <w:noProof/>
              </w:rPr>
              <w:t>6</w:t>
            </w:r>
            <w:r>
              <w:rPr>
                <w:noProof/>
              </w:rPr>
              <w:fldChar w:fldCharType="end"/>
            </w:r>
          </w:hyperlink>
        </w:p>
        <w:p w14:paraId="13D97F4A" w14:textId="56A491C6" w:rsidR="00EA3A73" w:rsidRDefault="00EA3A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5" w:history="1">
            <w:r w:rsidRPr="00D72E62">
              <w:rPr>
                <w:rStyle w:val="Hyperlink"/>
                <w:noProof/>
              </w:rPr>
              <w:t>10. Synthesis and research priorities</w:t>
            </w:r>
            <w:r>
              <w:rPr>
                <w:noProof/>
              </w:rPr>
              <w:tab/>
            </w:r>
            <w:r>
              <w:rPr>
                <w:noProof/>
              </w:rPr>
              <w:fldChar w:fldCharType="begin"/>
            </w:r>
            <w:r>
              <w:rPr>
                <w:noProof/>
              </w:rPr>
              <w:instrText xml:space="preserve"> PAGEREF _Toc242668365 \h </w:instrText>
            </w:r>
            <w:r>
              <w:rPr>
                <w:noProof/>
              </w:rPr>
            </w:r>
            <w:r>
              <w:rPr>
                <w:noProof/>
              </w:rPr>
              <w:fldChar w:fldCharType="separate"/>
            </w:r>
            <w:r>
              <w:rPr>
                <w:noProof/>
              </w:rPr>
              <w:t>7</w:t>
            </w:r>
            <w:r>
              <w:rPr>
                <w:noProof/>
              </w:rPr>
              <w:fldChar w:fldCharType="end"/>
            </w:r>
          </w:hyperlink>
        </w:p>
        <w:p w14:paraId="19F4E545" w14:textId="7ED13EE8" w:rsidR="00EA3A73" w:rsidRDefault="00EA3A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6" w:history="1">
            <w:r w:rsidRPr="00D72E62">
              <w:rPr>
                <w:rStyle w:val="Hyperlink"/>
                <w:noProof/>
              </w:rPr>
              <w:t>References</w:t>
            </w:r>
            <w:r>
              <w:rPr>
                <w:noProof/>
              </w:rPr>
              <w:tab/>
            </w:r>
            <w:r>
              <w:rPr>
                <w:noProof/>
              </w:rPr>
              <w:fldChar w:fldCharType="begin"/>
            </w:r>
            <w:r>
              <w:rPr>
                <w:noProof/>
              </w:rPr>
              <w:instrText xml:space="preserve"> PAGEREF _Toc242668366 \h </w:instrText>
            </w:r>
            <w:r>
              <w:rPr>
                <w:noProof/>
              </w:rPr>
            </w:r>
            <w:r>
              <w:rPr>
                <w:noProof/>
              </w:rPr>
              <w:fldChar w:fldCharType="separate"/>
            </w:r>
            <w:r>
              <w:rPr>
                <w:noProof/>
              </w:rPr>
              <w:t>7</w:t>
            </w:r>
            <w:r>
              <w:rPr>
                <w:noProof/>
              </w:rPr>
              <w:fldChar w:fldCharType="end"/>
            </w:r>
          </w:hyperlink>
        </w:p>
        <w:p w14:paraId="630C420F" w14:textId="61F1DC19" w:rsidR="00EA3A73" w:rsidRDefault="00EA3A7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7" w:history="1">
            <w:r w:rsidRPr="00D72E62">
              <w:rPr>
                <w:rStyle w:val="Hyperlink"/>
                <w:noProof/>
              </w:rPr>
              <w:t>Evidence scope</w:t>
            </w:r>
            <w:r>
              <w:rPr>
                <w:noProof/>
              </w:rPr>
              <w:tab/>
            </w:r>
            <w:r>
              <w:rPr>
                <w:noProof/>
              </w:rPr>
              <w:fldChar w:fldCharType="begin"/>
            </w:r>
            <w:r>
              <w:rPr>
                <w:noProof/>
              </w:rPr>
              <w:instrText xml:space="preserve"> PAGEREF _Toc242668367 \h </w:instrText>
            </w:r>
            <w:r>
              <w:rPr>
                <w:noProof/>
              </w:rPr>
            </w:r>
            <w:r>
              <w:rPr>
                <w:noProof/>
              </w:rPr>
              <w:fldChar w:fldCharType="separate"/>
            </w:r>
            <w:r>
              <w:rPr>
                <w:noProof/>
              </w:rPr>
              <w:t>9</w:t>
            </w:r>
            <w:r>
              <w:rPr>
                <w:noProof/>
              </w:rPr>
              <w:fldChar w:fldCharType="end"/>
            </w:r>
          </w:hyperlink>
        </w:p>
        <w:p w14:paraId="3EC7E739" w14:textId="684F29EA" w:rsidR="00FB38AD" w:rsidRDefault="00AE2D7E">
          <w:r>
            <w:fldChar w:fldCharType="end"/>
          </w:r>
        </w:p>
      </w:sdtContent>
    </w:sdt>
    <w:p w14:paraId="15FE4CDA" w14:textId="77777777" w:rsidR="00FB38AD" w:rsidRDefault="00AE2D7E">
      <w:pPr>
        <w:pStyle w:val="Heading1"/>
      </w:pPr>
      <w:bookmarkStart w:id="1" w:name="_Toc242668356"/>
      <w:r>
        <w:t>1. The nucleus as a coupled physical system</w:t>
      </w:r>
      <w:bookmarkEnd w:id="1"/>
    </w:p>
    <w:p w14:paraId="57D70430" w14:textId="754E039E" w:rsidR="00FB38AD" w:rsidRDefault="00AE2D7E">
      <w:r>
        <w:t>A useful physical description separates the chromatin network, accessible nucleoplasmic spaces, concentrated nuclear bodies and the envelope-associated boundary, then asks how they interact. Each component supplies a different observable. Inert proteins report movement through accessible space; a labeled locus remains embedded in chromatin; a nuclear-body fusion event probes collective relaxation; stretching the nuclear boundary loads a composite structure. These differences explain why nuclear measurements</w:t>
      </w:r>
      <w:r>
        <w:t xml:space="preserve"> can disagree numerically without contradicting one another. The measurements must first be matched by component, geometry and time scale before a common material interpretation is attempted.</w:t>
      </w:r>
      <w:hyperlink r:id="rId18" w:history="1">
        <w:r>
          <w:rPr>
            <w:color w:val="087B78"/>
            <w:sz w:val="18"/>
            <w:szCs w:val="18"/>
          </w:rPr>
          <w:t xml:space="preserve"> [12]</w:t>
        </w:r>
      </w:hyperlink>
      <w:hyperlink r:id="rId19" w:history="1">
        <w:r>
          <w:rPr>
            <w:color w:val="087B78"/>
            <w:sz w:val="18"/>
            <w:szCs w:val="18"/>
          </w:rPr>
          <w:t xml:space="preserve"> [13]</w:t>
        </w:r>
      </w:hyperlink>
      <w:hyperlink r:id="rId20" w:history="1">
        <w:r>
          <w:rPr>
            <w:color w:val="087B78"/>
            <w:sz w:val="18"/>
            <w:szCs w:val="18"/>
          </w:rPr>
          <w:t xml:space="preserve"> [2]</w:t>
        </w:r>
      </w:hyperlink>
      <w:hyperlink r:id="rId21" w:history="1">
        <w:r>
          <w:rPr>
            <w:color w:val="087B78"/>
            <w:sz w:val="18"/>
            <w:szCs w:val="18"/>
          </w:rPr>
          <w:t xml:space="preserve"> [1]</w:t>
        </w:r>
      </w:hyperlink>
    </w:p>
    <w:p w14:paraId="6EC879BB" w14:textId="073DB2FB" w:rsidR="00FB38AD" w:rsidRDefault="00AE2D7E">
      <w:r>
        <w:t>The word composite also implies coupling. A force delivered to the envelope does not necessarily load all chromatin equally. A molecule concentrated in a nucleolus does not necessarily share the environment of a nearby soluble molecule. The mechanical and chemical connections between these components can change during perturbation. Attar and colleagues modeled peripheral chromatin links as a route for load transmission, while Zhao and colleagues observed regional condensate responses during nuclear deformat</w:t>
      </w:r>
      <w:r>
        <w:t>ion. The nucleus should therefore be described by component properties together with their connections, rather than by an average value that hides those connections.</w:t>
      </w:r>
      <w:hyperlink r:id="rId22" w:history="1">
        <w:r>
          <w:rPr>
            <w:color w:val="087B78"/>
            <w:sz w:val="18"/>
            <w:szCs w:val="18"/>
          </w:rPr>
          <w:t xml:space="preserve"> [8]</w:t>
        </w:r>
      </w:hyperlink>
      <w:hyperlink r:id="rId23" w:history="1">
        <w:r>
          <w:rPr>
            <w:color w:val="087B78"/>
            <w:sz w:val="18"/>
            <w:szCs w:val="18"/>
          </w:rPr>
          <w:t xml:space="preserve"> [10]</w:t>
        </w:r>
      </w:hyperlink>
      <w:hyperlink r:id="rId24" w:history="1">
        <w:r>
          <w:rPr>
            <w:color w:val="087B78"/>
            <w:sz w:val="18"/>
            <w:szCs w:val="18"/>
          </w:rPr>
          <w:t xml:space="preserve"> [2]</w:t>
        </w:r>
      </w:hyperlink>
    </w:p>
    <w:p w14:paraId="1BF2E20A" w14:textId="77777777" w:rsidR="00FB38AD" w:rsidRDefault="00AE2D7E">
      <w:pPr>
        <w:pStyle w:val="Heading1"/>
      </w:pPr>
      <w:bookmarkStart w:id="2" w:name="_Toc242668357"/>
      <w:r>
        <w:lastRenderedPageBreak/>
        <w:t>2. Structure identifies candidates, not mechanical constants</w:t>
      </w:r>
      <w:bookmarkEnd w:id="2"/>
    </w:p>
    <w:p w14:paraId="4FD64AB6" w14:textId="42B24E18" w:rsidR="00FB38AD" w:rsidRDefault="00AE2D7E">
      <w:r>
        <w:t>Cryo-electron structural analysis by Turgay and colleagues resolved lamin filament organization in a prepared somatic-cell system. Such work establishes molecular architecture at the lamina, whereas its mechanical contribution requires a separate perturbation or force experiment. Likewise, modern nuclear-pore structures distinguish scaffold, linker and cytoplasmic-face components but do not alone measure transport rates or stress response. Structural models narrow the plausible mechanisms and identify inter</w:t>
      </w:r>
      <w:r>
        <w:t>faces to test. They should not be used to infer a material modulus solely from an image or to assign a universal pore diameter to all cell types and mechanical states.</w:t>
      </w:r>
      <w:hyperlink r:id="rId25" w:history="1">
        <w:r>
          <w:rPr>
            <w:color w:val="087B78"/>
            <w:sz w:val="18"/>
            <w:szCs w:val="18"/>
          </w:rPr>
          <w:t xml:space="preserve"> [14]</w:t>
        </w:r>
      </w:hyperlink>
      <w:hyperlink r:id="rId26" w:history="1">
        <w:r>
          <w:rPr>
            <w:color w:val="087B78"/>
            <w:sz w:val="18"/>
            <w:szCs w:val="18"/>
          </w:rPr>
          <w:t xml:space="preserve"> [15]</w:t>
        </w:r>
      </w:hyperlink>
      <w:hyperlink r:id="rId27" w:history="1">
        <w:r>
          <w:rPr>
            <w:color w:val="087B78"/>
            <w:sz w:val="18"/>
            <w:szCs w:val="18"/>
          </w:rPr>
          <w:t xml:space="preserve"> [16]</w:t>
        </w:r>
      </w:hyperlink>
      <w:hyperlink r:id="rId28" w:history="1">
        <w:r>
          <w:rPr>
            <w:color w:val="087B78"/>
            <w:sz w:val="18"/>
            <w:szCs w:val="18"/>
          </w:rPr>
          <w:t xml:space="preserve"> [11]</w:t>
        </w:r>
      </w:hyperlink>
    </w:p>
    <w:p w14:paraId="6AFD00FB" w14:textId="2B277733" w:rsidR="00FB38AD" w:rsidRDefault="00AE2D7E">
      <w:r>
        <w:t>Genome-position measurements supply another structural level. Guelen and colleagues mapped broad lamina-associated domains in human fibroblasts, linking peripheral association with a characteristic genomic organization. These maps are evidence of association, not direct measurements of tether strength or permanent attachment in every cell. The associated corrigendum corrects the identity and provenance of a chromatin-mark dataset and should accompany the original reference. Recent tether-depletion studies m</w:t>
      </w:r>
      <w:r>
        <w:t>ake the distinction productive by testing which envelope proteins are necessary for positioning and what changes after short versus persistent loss.</w:t>
      </w:r>
      <w:hyperlink r:id="rId29" w:history="1">
        <w:r>
          <w:rPr>
            <w:color w:val="087B78"/>
            <w:sz w:val="18"/>
            <w:szCs w:val="18"/>
          </w:rPr>
          <w:t xml:space="preserve"> [17]</w:t>
        </w:r>
      </w:hyperlink>
      <w:hyperlink r:id="rId30" w:history="1">
        <w:r>
          <w:rPr>
            <w:color w:val="087B78"/>
            <w:sz w:val="18"/>
            <w:szCs w:val="18"/>
          </w:rPr>
          <w:t xml:space="preserve"> [18]</w:t>
        </w:r>
      </w:hyperlink>
      <w:hyperlink r:id="rId31" w:history="1">
        <w:r>
          <w:rPr>
            <w:color w:val="087B78"/>
            <w:sz w:val="18"/>
            <w:szCs w:val="18"/>
          </w:rPr>
          <w:t xml:space="preserve"> [9]</w:t>
        </w:r>
      </w:hyperlink>
    </w:p>
    <w:p w14:paraId="071B875C" w14:textId="77777777" w:rsidR="00FB38AD" w:rsidRDefault="00AE2D7E">
      <w:pPr>
        <w:pStyle w:val="Heading1"/>
      </w:pPr>
      <w:bookmarkStart w:id="3" w:name="_Toc242668358"/>
      <w:r>
        <w:t>3. Chromatin and lamins contribute in different regimes</w:t>
      </w:r>
      <w:bookmarkEnd w:id="3"/>
    </w:p>
    <w:p w14:paraId="462496BC" w14:textId="45FEEC06" w:rsidR="00FB38AD" w:rsidRDefault="00AE2D7E">
      <w:r>
        <w:t>Stephens and colleagues used isolated-nucleus deformation to distinguish response regimes: chromatin contributed strongly at smaller extensions, whereas lamin A supported strain stiffening at larger extensions. This connects biochemical state to mechanical resistance without making one component the sole determinant of nuclear mechanics. The measured force–extension behavior depends on geometry and loading conditions. A slope in this assay is not directly interchangeable with an indentation modulus or a loc</w:t>
      </w:r>
      <w:r>
        <w:t>al viscosity. The useful mechanistic conclusion concerns how the relative load-bearing contributions change with deformation.</w:t>
      </w:r>
      <w:hyperlink r:id="rId32" w:history="1">
        <w:r>
          <w:rPr>
            <w:color w:val="087B78"/>
            <w:sz w:val="18"/>
            <w:szCs w:val="18"/>
          </w:rPr>
          <w:t xml:space="preserve"> [1]</w:t>
        </w:r>
      </w:hyperlink>
    </w:p>
    <w:p w14:paraId="04B77AA0" w14:textId="1EC3342E" w:rsidR="00FB38AD" w:rsidRDefault="00AE2D7E">
      <w:r>
        <w:t>Bergamaschi and colleagues extended the picture with optical-tweezer measurements accompanied by images of chromatin and the nuclear boundary, interpreting heterogeneous response through a hierarchical chain model. Attar and colleagues examined how peripheral tethering allows chromatin structure to affect force resistance in a polymer model constrained by experiments. These developments emphasize that internal organization and boundary coupling must be considered together. A chromatin change can alter globa</w:t>
      </w:r>
      <w:r>
        <w:t>l mechanics only to the extent that the imposed load engages that changed structure, and the form of engagement is itself an experimental variable.</w:t>
      </w:r>
      <w:hyperlink r:id="rId33" w:history="1">
        <w:r>
          <w:rPr>
            <w:color w:val="087B78"/>
            <w:sz w:val="18"/>
            <w:szCs w:val="18"/>
          </w:rPr>
          <w:t xml:space="preserve"> [7]</w:t>
        </w:r>
      </w:hyperlink>
      <w:hyperlink r:id="rId34" w:history="1">
        <w:r>
          <w:rPr>
            <w:color w:val="087B78"/>
            <w:sz w:val="18"/>
            <w:szCs w:val="18"/>
          </w:rPr>
          <w:t xml:space="preserve"> [8]</w:t>
        </w:r>
      </w:hyperlink>
    </w:p>
    <w:p w14:paraId="0DE7F4D0" w14:textId="77777777" w:rsidR="00FB38AD" w:rsidRDefault="00AE2D7E">
      <w:pPr>
        <w:pStyle w:val="Heading1"/>
      </w:pPr>
      <w:bookmarkStart w:id="4" w:name="_Toc242668359"/>
      <w:r>
        <w:t>4. Molecular mobility is another scale of physical organization</w:t>
      </w:r>
      <w:bookmarkEnd w:id="4"/>
    </w:p>
    <w:p w14:paraId="16A79B3E" w14:textId="40A65AEA" w:rsidR="00FB38AD" w:rsidRDefault="00AE2D7E">
      <w:r>
        <w:t>The eGFP-oligomer experiments of Dross and colleagues measured size-dependent mobility with calibrated FCS in living nuclear regions outside nucleoli. Erdel and colleagues combined tracer-</w:t>
      </w:r>
      <w:r>
        <w:lastRenderedPageBreak/>
        <w:t>size variation with modeling to identify intermediate-scale behavior consistent with obstacles and polymer organization. These observations show how the physical environment experienced by molecules depends on their dimensions and the scale of observation. They do not imply that every DNA-binding factor has the same mobility, because specific association with chromatin adds another process. Molecular search is consequently influenced by both the accessible environment and the binding chemistry of the search</w:t>
      </w:r>
      <w:r>
        <w:t>ing protein.</w:t>
      </w:r>
      <w:hyperlink r:id="rId35" w:history="1">
        <w:r>
          <w:rPr>
            <w:color w:val="087B78"/>
            <w:sz w:val="18"/>
            <w:szCs w:val="18"/>
          </w:rPr>
          <w:t xml:space="preserve"> [12]</w:t>
        </w:r>
      </w:hyperlink>
      <w:hyperlink r:id="rId36" w:history="1">
        <w:r>
          <w:rPr>
            <w:color w:val="087B78"/>
            <w:sz w:val="18"/>
            <w:szCs w:val="18"/>
          </w:rPr>
          <w:t xml:space="preserve"> [13]</w:t>
        </w:r>
      </w:hyperlink>
      <w:hyperlink r:id="rId37" w:history="1">
        <w:r>
          <w:rPr>
            <w:color w:val="087B78"/>
            <w:sz w:val="18"/>
            <w:szCs w:val="18"/>
          </w:rPr>
          <w:t xml:space="preserve"> [19]</w:t>
        </w:r>
      </w:hyperlink>
    </w:p>
    <w:p w14:paraId="36FB5E89" w14:textId="65622594" w:rsidR="00FB38AD" w:rsidRDefault="00AE2D7E">
      <w:r>
        <w:t>FRAP and single-particle tracking help resolve that distinction when their limitations are made explicit. Reaction–diffusion FRAP analysis separates transport and binding contributions only in identifiable model regimes. Spot-On demonstrated how blur and focal-volume escape bias apparent populations in tracking experiments. Such corrections matter when a mechanobiological perturbation changes the mobile fraction. A slower protein should not automatically be described as evidence of nuclear stiffening or inc</w:t>
      </w:r>
      <w:r>
        <w:t>reased viscosity; conversely, a mechanical softening need not accelerate a tightly bound factor. The two observations can be connected only by testing the relevant coupling.</w:t>
      </w:r>
      <w:hyperlink r:id="rId38" w:history="1">
        <w:r>
          <w:rPr>
            <w:color w:val="087B78"/>
            <w:sz w:val="18"/>
            <w:szCs w:val="18"/>
          </w:rPr>
          <w:t xml:space="preserve"> [20]</w:t>
        </w:r>
      </w:hyperlink>
      <w:hyperlink r:id="rId39" w:history="1">
        <w:r>
          <w:rPr>
            <w:color w:val="087B78"/>
            <w:sz w:val="18"/>
            <w:szCs w:val="18"/>
          </w:rPr>
          <w:t xml:space="preserve"> [21]</w:t>
        </w:r>
      </w:hyperlink>
      <w:hyperlink r:id="rId40" w:history="1">
        <w:r>
          <w:rPr>
            <w:color w:val="087B78"/>
            <w:sz w:val="18"/>
            <w:szCs w:val="18"/>
          </w:rPr>
          <w:t xml:space="preserve"> [19]</w:t>
        </w:r>
      </w:hyperlink>
    </w:p>
    <w:p w14:paraId="64666C68" w14:textId="77777777" w:rsidR="00FB38AD" w:rsidRDefault="00AE2D7E">
      <w:pPr>
        <w:pStyle w:val="Heading1"/>
      </w:pPr>
      <w:bookmarkStart w:id="5" w:name="_Toc242668360"/>
      <w:r>
        <w:t>5. Nuclear bodies combine composition and material response</w:t>
      </w:r>
      <w:bookmarkEnd w:id="5"/>
    </w:p>
    <w:p w14:paraId="4859CC4A" w14:textId="4D3B0260" w:rsidR="00FB38AD" w:rsidRDefault="00AE2D7E">
      <w:r>
        <w:t>Feric and colleagues demonstrated coexisting nucleolar subcompartments and component-specific dynamics in living systems and reconstituted droplets. The in-vitro tracer-viscosity experiment and the in-vivo fusion experiment measured different quantities, including viscosity and viscosity relative to surface tension. This supports a physically organized nucleolus while retaining preparation and component specificity. A spherical shape, exchange of fluorescent molecules or fusion event alone should not substi</w:t>
      </w:r>
      <w:r>
        <w:t>tute for a complete material characterization. Different molecular mechanisms can produce some similar imaging behaviors, and the surrounding chromatin can also constrain collective motion.</w:t>
      </w:r>
      <w:hyperlink r:id="rId41" w:history="1">
        <w:r>
          <w:rPr>
            <w:color w:val="087B78"/>
            <w:sz w:val="18"/>
            <w:szCs w:val="18"/>
          </w:rPr>
          <w:t xml:space="preserve"> [2]</w:t>
        </w:r>
      </w:hyperlink>
      <w:hyperlink r:id="rId42" w:history="1">
        <w:r>
          <w:rPr>
            <w:color w:val="087B78"/>
            <w:sz w:val="18"/>
            <w:szCs w:val="18"/>
          </w:rPr>
          <w:t xml:space="preserve"> [22]</w:t>
        </w:r>
      </w:hyperlink>
      <w:hyperlink r:id="rId43" w:history="1">
        <w:r>
          <w:rPr>
            <w:color w:val="087B78"/>
            <w:sz w:val="18"/>
            <w:szCs w:val="18"/>
          </w:rPr>
          <w:t xml:space="preserve"> [10]</w:t>
        </w:r>
      </w:hyperlink>
    </w:p>
    <w:p w14:paraId="37FF0C0C" w14:textId="30A11DB5" w:rsidR="00FB38AD" w:rsidRDefault="00AE2D7E">
      <w:r>
        <w:t>The 2024 confined-migration work of Zhao, Xia and Brangwynne makes that surrounding environment explicit. Chromatin became regionally heterogeneous as nuclei passed through microfluidic constrictions, with different opportunities for condensate formation in advancing and trailing regions. Endogenous-body deformation and model-assembly behavior were both studied, supplying complementary observations. The result connects nuclear mechanics with compartment organization without requiring a uniform global crowdi</w:t>
      </w:r>
      <w:r>
        <w:t>ng change or a universal phase-separation mechanism. Local protein concentration and mechanical permissiveness jointly define the relevant physical conditions.</w:t>
      </w:r>
      <w:hyperlink r:id="rId44" w:history="1">
        <w:r>
          <w:rPr>
            <w:color w:val="087B78"/>
            <w:sz w:val="18"/>
            <w:szCs w:val="18"/>
          </w:rPr>
          <w:t xml:space="preserve"> [10]</w:t>
        </w:r>
      </w:hyperlink>
    </w:p>
    <w:p w14:paraId="4E7E080B" w14:textId="77777777" w:rsidR="00FB38AD" w:rsidRDefault="00AE2D7E">
      <w:pPr>
        <w:pStyle w:val="Heading1"/>
      </w:pPr>
      <w:bookmarkStart w:id="6" w:name="_Toc242668361"/>
      <w:r>
        <w:t>6. Active remodeling and persistent responses</w:t>
      </w:r>
      <w:bookmarkEnd w:id="6"/>
    </w:p>
    <w:p w14:paraId="5407661C" w14:textId="2766027C" w:rsidR="00FB38AD" w:rsidRDefault="00AE2D7E">
      <w:r>
        <w:t>Rashid and colleagues directly loaded chromatin with approximately 200-nm-diameter targeted magnetic particles and connected local deformation with persistent changes in mobility and regulatory readouts. Their CHO chromatin-reporter and induced-pluripotent-stem-cell polymerase experiments are distinct biological arms. The lasting response after force cessation is not identical to the immediate viscoelastic phase response during oscillatory loading. It supplies a mechanism-</w:t>
      </w:r>
      <w:r>
        <w:lastRenderedPageBreak/>
        <w:t>oriented example of nuclear mechanomemory whose generality must be tested in other cell types and genomic contexts.</w:t>
      </w:r>
      <w:hyperlink r:id="rId45" w:history="1">
        <w:r>
          <w:rPr>
            <w:color w:val="087B78"/>
            <w:sz w:val="18"/>
            <w:szCs w:val="18"/>
          </w:rPr>
          <w:t xml:space="preserve"> [4]</w:t>
        </w:r>
      </w:hyperlink>
    </w:p>
    <w:p w14:paraId="3AE53164" w14:textId="3F454E27" w:rsidR="00FB38AD" w:rsidRDefault="00AE2D7E">
      <w:r>
        <w:t>Byfield and colleagues used metabolically active karyoplasts to probe dissipation and large deformation, with ATP-production and BRM/BRG1-remodeling perturbations. The work argues that active internal processes can permit nuclear fluidization and shape change. It also shows why loading hysteresis should not be assigned exclusively to passive viscosity. The preparation preserves a membrane-enclosed active nuclear system; it differs from detergent-isolated nuclei and from a nucleus still coupled to the full c</w:t>
      </w:r>
      <w:r>
        <w:t>ell. Such preparation differences are biological differences in the system, rather than nuisance details to remove from the discussion.</w:t>
      </w:r>
      <w:hyperlink r:id="rId46" w:history="1">
        <w:r>
          <w:rPr>
            <w:color w:val="087B78"/>
            <w:sz w:val="18"/>
            <w:szCs w:val="18"/>
          </w:rPr>
          <w:t xml:space="preserve"> [5]</w:t>
        </w:r>
      </w:hyperlink>
      <w:hyperlink r:id="rId47" w:history="1">
        <w:r>
          <w:rPr>
            <w:color w:val="087B78"/>
            <w:sz w:val="18"/>
            <w:szCs w:val="18"/>
          </w:rPr>
          <w:t xml:space="preserve"> [23]</w:t>
        </w:r>
      </w:hyperlink>
    </w:p>
    <w:p w14:paraId="05A48E6A" w14:textId="77777777" w:rsidR="00FB38AD" w:rsidRDefault="00AE2D7E">
      <w:pPr>
        <w:pStyle w:val="Heading1"/>
      </w:pPr>
      <w:bookmarkStart w:id="7" w:name="_Toc242668362"/>
      <w:r>
        <w:t>7. Envelope coupling, transport and failure</w:t>
      </w:r>
      <w:bookmarkEnd w:id="7"/>
    </w:p>
    <w:p w14:paraId="14F83E1F" w14:textId="7D0369F1" w:rsidR="00FB38AD" w:rsidRDefault="00AE2D7E">
      <w:r>
        <w:t xml:space="preserve">The SUN–nesprin experiments of Crisp and colleagues established a molecular route linking inner and outer nuclear-membrane proteins across the perinuclear space, supporting the LINC-complex model. This gives external force a plausible connection to nuclear structure, while specific mechanical and transport experiments are needed to establish its functional consequences. Elosegui-Artola and colleagues showed force-dependent YAP nuclear entry and changes in import behavior in defined cell systems. The result </w:t>
      </w:r>
      <w:r>
        <w:t>demonstrates a regulated cargo response rather than a universal rule that every protein crosses more rapidly whenever the nucleus flattens.</w:t>
      </w:r>
      <w:hyperlink r:id="rId48" w:history="1">
        <w:r>
          <w:rPr>
            <w:color w:val="087B78"/>
            <w:sz w:val="18"/>
            <w:szCs w:val="18"/>
          </w:rPr>
          <w:t xml:space="preserve"> [24]</w:t>
        </w:r>
      </w:hyperlink>
      <w:hyperlink r:id="rId49" w:history="1">
        <w:r>
          <w:rPr>
            <w:color w:val="087B78"/>
            <w:sz w:val="18"/>
            <w:szCs w:val="18"/>
          </w:rPr>
          <w:t xml:space="preserve"> [25]</w:t>
        </w:r>
      </w:hyperlink>
    </w:p>
    <w:p w14:paraId="1273D4ED" w14:textId="3BD02B01" w:rsidR="00FB38AD" w:rsidRDefault="00AE2D7E">
      <w:r>
        <w:t>Envelope rupture presents a different physical and biological state. Denais and colleagues observed loss of compartmentalization during constrained migration and studied ESCRT-III-dependent resealing alongside damage-associated responses. This does not mean every deformed nucleus ruptures, or that restoration of a localization reporter proves all DNA lesions have been repaired. The mechanical challenge and the subsequent recovery involve membrane integrity, molecular redistribution and genome consequences t</w:t>
      </w:r>
      <w:r>
        <w:t>hat need distinct readouts. A current account of nuclear function should preserve those stages rather than collapsing them into a binary healthy-versus-damaged shape classification.</w:t>
      </w:r>
      <w:hyperlink r:id="rId50" w:history="1">
        <w:r>
          <w:rPr>
            <w:color w:val="087B78"/>
            <w:sz w:val="18"/>
            <w:szCs w:val="18"/>
          </w:rPr>
          <w:t xml:space="preserve"> [3]</w:t>
        </w:r>
      </w:hyperlink>
      <w:hyperlink r:id="rId51" w:history="1">
        <w:r>
          <w:rPr>
            <w:color w:val="087B78"/>
            <w:sz w:val="18"/>
            <w:szCs w:val="18"/>
          </w:rPr>
          <w:t xml:space="preserve"> [26]</w:t>
        </w:r>
      </w:hyperlink>
    </w:p>
    <w:p w14:paraId="00BC3B47" w14:textId="77777777" w:rsidR="00FB38AD" w:rsidRDefault="00AE2D7E">
      <w:pPr>
        <w:pStyle w:val="Heading1"/>
      </w:pPr>
      <w:bookmarkStart w:id="8" w:name="_Toc242668363"/>
      <w:r>
        <w:t>8. Current advances connect density, pores and genome tethers</w:t>
      </w:r>
      <w:bookmarkEnd w:id="8"/>
    </w:p>
    <w:p w14:paraId="503AC897" w14:textId="39E532B2" w:rsidR="00FB38AD" w:rsidRDefault="00AE2D7E">
      <w:r>
        <w:t>The density-homeostasis study of Biswas and colleagues connects nuclear volume to imported macromolecules and chromatin through a pressure-balance model supported by measurements in several systems. Hoffmann and colleagues studied pressure-dependent nucleocytosolic flow in Dictyostelium and related it to pore dilation. These are complementary physical questions: one concerns volume and concentration, the other flow under a pressure difference. Neither is identical to passive protein exchange or receptor-med</w:t>
      </w:r>
      <w:r>
        <w:t>iated cargo transport. Together they broaden nuclear biophysics beyond structural stiffness to include composition, osmotic balance and membrane-crossing mechanics.</w:t>
      </w:r>
      <w:hyperlink r:id="rId52" w:history="1">
        <w:r>
          <w:rPr>
            <w:color w:val="087B78"/>
            <w:sz w:val="18"/>
            <w:szCs w:val="18"/>
          </w:rPr>
          <w:t xml:space="preserve"> [6]</w:t>
        </w:r>
      </w:hyperlink>
      <w:hyperlink r:id="rId53" w:history="1">
        <w:r>
          <w:rPr>
            <w:color w:val="087B78"/>
            <w:sz w:val="18"/>
            <w:szCs w:val="18"/>
          </w:rPr>
          <w:t xml:space="preserve"> [27]</w:t>
        </w:r>
      </w:hyperlink>
    </w:p>
    <w:p w14:paraId="7A2E32BA" w14:textId="72ED78FB" w:rsidR="00FB38AD" w:rsidRDefault="00AE2D7E">
      <w:r>
        <w:t xml:space="preserve">Pore plasticity and genome positioning are also becoming more experimentally resolved. Morgan and colleagues used pan-expansion microscopy to examine NPC diameter distributions, surface </w:t>
      </w:r>
      <w:r>
        <w:lastRenderedPageBreak/>
        <w:t>biases and perturbations. Lewis and colleagues identified redundant contributions from LBR and membrane-bound LAP2 isoforms to peripheral heterochromatin positioning in mammalian cells. These studies show that neither pore geometry nor chromatin attachment should be regarded as a fixed universal boundary condition. Understanding their dynamic regulation will require linking structural measurements to matched transport, force and transcription assays in the same biological context.</w:t>
      </w:r>
      <w:hyperlink r:id="rId54" w:history="1">
        <w:r>
          <w:rPr>
            <w:color w:val="087B78"/>
            <w:sz w:val="18"/>
            <w:szCs w:val="18"/>
          </w:rPr>
          <w:t xml:space="preserve"> [11]</w:t>
        </w:r>
      </w:hyperlink>
      <w:hyperlink r:id="rId55" w:history="1">
        <w:r>
          <w:rPr>
            <w:color w:val="087B78"/>
            <w:sz w:val="18"/>
            <w:szCs w:val="18"/>
          </w:rPr>
          <w:t xml:space="preserve"> [9]</w:t>
        </w:r>
      </w:hyperlink>
      <w:hyperlink r:id="rId56" w:history="1">
        <w:r>
          <w:rPr>
            <w:color w:val="087B78"/>
            <w:sz w:val="18"/>
            <w:szCs w:val="18"/>
          </w:rPr>
          <w:t xml:space="preserve"> [8]</w:t>
        </w:r>
      </w:hyperlink>
    </w:p>
    <w:p w14:paraId="595D081F" w14:textId="15B84A10" w:rsidR="00FB38AD" w:rsidRDefault="00AE2D7E">
      <w:r>
        <w:t>A recent biological example comes from McCreery and colleagues’ study of human embryo and primed-pluripotent-cell models. Growth-factor state was linked to nuclear deformation, osmotic stress and chromatin regulation during fate transitions. Mechanical or osmotic priming could accelerate transitions, while sustained biochemical signals remained necessary for robust lineage induction. This connects nuclear physical organization to a regulated developmental context and shows why a mechanical response should b</w:t>
      </w:r>
      <w:r>
        <w:t>e interpreted together with the signaling state in which it occurs.</w:t>
      </w:r>
      <w:hyperlink r:id="rId57" w:history="1">
        <w:r>
          <w:rPr>
            <w:color w:val="087B78"/>
            <w:sz w:val="18"/>
            <w:szCs w:val="18"/>
          </w:rPr>
          <w:t xml:space="preserve"> [29]</w:t>
        </w:r>
      </w:hyperlink>
    </w:p>
    <w:p w14:paraId="610D8585" w14:textId="396235B0" w:rsidR="00FB38AD" w:rsidRDefault="00AE2D7E">
      <w:r>
        <w:t>An integrated account also needs to distinguish reversible adaptation from loss of compartment integrity. Regional condensate changes during confinement can accompany deformation without being identical to envelope rupture, while the restoration of a leakage reporter after rupture does not establish that chromatin organization is fully restored. Following both body organization and boundary integrity can identify which response comes first and whether it persists after migration. This temporal information h</w:t>
      </w:r>
      <w:r>
        <w:t>elps connect the immediate mechanical event to subsequent nuclear function rather than treating every endpoint image as the same biological state.</w:t>
      </w:r>
      <w:hyperlink r:id="rId58" w:history="1">
        <w:r>
          <w:rPr>
            <w:color w:val="087B78"/>
            <w:sz w:val="18"/>
            <w:szCs w:val="18"/>
          </w:rPr>
          <w:t xml:space="preserve"> [10]</w:t>
        </w:r>
      </w:hyperlink>
      <w:hyperlink r:id="rId59" w:history="1">
        <w:r>
          <w:rPr>
            <w:color w:val="087B78"/>
            <w:sz w:val="18"/>
            <w:szCs w:val="18"/>
          </w:rPr>
          <w:t xml:space="preserve"> [3]</w:t>
        </w:r>
      </w:hyperlink>
    </w:p>
    <w:p w14:paraId="5EC82D9C" w14:textId="1ED471DB" w:rsidR="00FB38AD" w:rsidRDefault="00AE2D7E">
      <w:r>
        <w:t>The link between density and active response remains especially promising. A transport-driven change in imported macromolecules can alter the pressure balance and nuclear volume, while remodeling activity can change how chromatin accommodates load. These mechanisms could interact during a state transition, but their relationship is not established simply because both respond to substrate or growth-factor conditions. A joint experiment should track composition, nuclear geometry, loading response and regulato</w:t>
      </w:r>
      <w:r>
        <w:t>ry state. Such an approach can test whether changes in nuclear volume are a cause, consequence or partner of changes in mechanical behavior.</w:t>
      </w:r>
      <w:hyperlink r:id="rId60" w:history="1">
        <w:r>
          <w:rPr>
            <w:color w:val="087B78"/>
            <w:sz w:val="18"/>
            <w:szCs w:val="18"/>
          </w:rPr>
          <w:t xml:space="preserve"> [6]</w:t>
        </w:r>
      </w:hyperlink>
      <w:hyperlink r:id="rId61" w:history="1">
        <w:r>
          <w:rPr>
            <w:color w:val="087B78"/>
            <w:sz w:val="18"/>
            <w:szCs w:val="18"/>
          </w:rPr>
          <w:t xml:space="preserve"> [5]</w:t>
        </w:r>
      </w:hyperlink>
      <w:hyperlink r:id="rId62" w:history="1">
        <w:r>
          <w:rPr>
            <w:color w:val="087B78"/>
            <w:sz w:val="18"/>
            <w:szCs w:val="18"/>
          </w:rPr>
          <w:t xml:space="preserve"> [4]</w:t>
        </w:r>
      </w:hyperlink>
    </w:p>
    <w:p w14:paraId="408AA1E6" w14:textId="77777777" w:rsidR="00FB38AD" w:rsidRDefault="00AE2D7E">
      <w:pPr>
        <w:pStyle w:val="Heading1"/>
      </w:pPr>
      <w:bookmarkStart w:id="9" w:name="_Toc242668364"/>
      <w:r>
        <w:t>9. An evidence map for integrated nuclear biophysics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B38AD" w14:paraId="0551F880"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2171C16F" w14:textId="77777777" w:rsidR="00FB38AD" w:rsidRDefault="00AE2D7E">
            <w:pPr>
              <w:spacing w:after="50" w:line="255" w:lineRule="auto"/>
            </w:pPr>
            <w:r>
              <w:rPr>
                <w:b/>
                <w:bCs/>
                <w:color w:val="173B4C"/>
                <w:sz w:val="19"/>
                <w:szCs w:val="19"/>
              </w:rPr>
              <w:t>Experimental level</w:t>
            </w:r>
          </w:p>
        </w:tc>
        <w:tc>
          <w:tcPr>
            <w:tcW w:w="3120" w:type="dxa"/>
            <w:shd w:val="clear" w:color="auto" w:fill="EAF3F3"/>
            <w:tcMar>
              <w:top w:w="105" w:type="dxa"/>
              <w:left w:w="125" w:type="dxa"/>
              <w:bottom w:w="105" w:type="dxa"/>
              <w:right w:w="125" w:type="dxa"/>
            </w:tcMar>
          </w:tcPr>
          <w:p w14:paraId="241680BD" w14:textId="77777777" w:rsidR="00FB38AD" w:rsidRDefault="00AE2D7E">
            <w:pPr>
              <w:spacing w:after="50" w:line="255" w:lineRule="auto"/>
            </w:pPr>
            <w:r>
              <w:rPr>
                <w:b/>
                <w:bCs/>
                <w:color w:val="173B4C"/>
                <w:sz w:val="19"/>
                <w:szCs w:val="19"/>
              </w:rPr>
              <w:t>What primary studies establish</w:t>
            </w:r>
          </w:p>
        </w:tc>
        <w:tc>
          <w:tcPr>
            <w:tcW w:w="3120" w:type="dxa"/>
            <w:shd w:val="clear" w:color="auto" w:fill="EAF3F3"/>
            <w:tcMar>
              <w:top w:w="105" w:type="dxa"/>
              <w:left w:w="125" w:type="dxa"/>
              <w:bottom w:w="105" w:type="dxa"/>
              <w:right w:w="125" w:type="dxa"/>
            </w:tcMar>
          </w:tcPr>
          <w:p w14:paraId="0E559C18" w14:textId="77777777" w:rsidR="00FB38AD" w:rsidRDefault="00AE2D7E">
            <w:pPr>
              <w:spacing w:after="50" w:line="255" w:lineRule="auto"/>
            </w:pPr>
            <w:r>
              <w:rPr>
                <w:b/>
                <w:bCs/>
                <w:color w:val="173B4C"/>
                <w:sz w:val="19"/>
                <w:szCs w:val="19"/>
              </w:rPr>
              <w:t>What additional evidence is needed</w:t>
            </w:r>
          </w:p>
        </w:tc>
      </w:tr>
      <w:tr w:rsidR="00FB38AD" w14:paraId="5CDF6AFE" w14:textId="77777777">
        <w:tblPrEx>
          <w:tblCellMar>
            <w:top w:w="0" w:type="dxa"/>
            <w:bottom w:w="0" w:type="dxa"/>
          </w:tblCellMar>
        </w:tblPrEx>
        <w:trPr>
          <w:cantSplit/>
        </w:trPr>
        <w:tc>
          <w:tcPr>
            <w:tcW w:w="3120" w:type="dxa"/>
            <w:tcMar>
              <w:top w:w="105" w:type="dxa"/>
              <w:left w:w="125" w:type="dxa"/>
              <w:bottom w:w="105" w:type="dxa"/>
              <w:right w:w="125" w:type="dxa"/>
            </w:tcMar>
          </w:tcPr>
          <w:p w14:paraId="34B6E752" w14:textId="77777777" w:rsidR="00FB38AD" w:rsidRDefault="00AE2D7E">
            <w:pPr>
              <w:spacing w:after="50" w:line="255" w:lineRule="auto"/>
            </w:pPr>
            <w:r>
              <w:rPr>
                <w:sz w:val="19"/>
                <w:szCs w:val="19"/>
              </w:rPr>
              <w:t>Molecular architecture</w:t>
            </w:r>
          </w:p>
        </w:tc>
        <w:tc>
          <w:tcPr>
            <w:tcW w:w="3120" w:type="dxa"/>
            <w:tcMar>
              <w:top w:w="105" w:type="dxa"/>
              <w:left w:w="125" w:type="dxa"/>
              <w:bottom w:w="105" w:type="dxa"/>
              <w:right w:w="125" w:type="dxa"/>
            </w:tcMar>
          </w:tcPr>
          <w:p w14:paraId="67D4FDB1" w14:textId="77777777" w:rsidR="00FB38AD" w:rsidRDefault="00AE2D7E">
            <w:pPr>
              <w:spacing w:after="50" w:line="255" w:lineRule="auto"/>
            </w:pPr>
            <w:r>
              <w:rPr>
                <w:sz w:val="19"/>
                <w:szCs w:val="19"/>
              </w:rPr>
              <w:t>Lamin and NPC components in defined structural preparations</w:t>
            </w:r>
          </w:p>
        </w:tc>
        <w:tc>
          <w:tcPr>
            <w:tcW w:w="3120" w:type="dxa"/>
            <w:tcMar>
              <w:top w:w="105" w:type="dxa"/>
              <w:left w:w="125" w:type="dxa"/>
              <w:bottom w:w="105" w:type="dxa"/>
              <w:right w:w="125" w:type="dxa"/>
            </w:tcMar>
          </w:tcPr>
          <w:p w14:paraId="71156563" w14:textId="33DEC1F9" w:rsidR="00FB38AD" w:rsidRDefault="00AE2D7E">
            <w:pPr>
              <w:spacing w:after="50" w:line="255" w:lineRule="auto"/>
            </w:pPr>
            <w:r>
              <w:rPr>
                <w:sz w:val="19"/>
                <w:szCs w:val="19"/>
              </w:rPr>
              <w:t>Force response, dynamics and cellular context</w:t>
            </w:r>
            <w:hyperlink r:id="rId63" w:history="1">
              <w:r>
                <w:rPr>
                  <w:color w:val="087B78"/>
                  <w:sz w:val="18"/>
                  <w:szCs w:val="18"/>
                </w:rPr>
                <w:t xml:space="preserve"> [14]</w:t>
              </w:r>
            </w:hyperlink>
            <w:hyperlink r:id="rId64" w:history="1">
              <w:r>
                <w:rPr>
                  <w:color w:val="087B78"/>
                  <w:sz w:val="18"/>
                  <w:szCs w:val="18"/>
                </w:rPr>
                <w:t xml:space="preserve"> [15]</w:t>
              </w:r>
            </w:hyperlink>
            <w:hyperlink r:id="rId65" w:history="1">
              <w:r>
                <w:rPr>
                  <w:color w:val="087B78"/>
                  <w:sz w:val="18"/>
                  <w:szCs w:val="18"/>
                </w:rPr>
                <w:t xml:space="preserve"> [16]</w:t>
              </w:r>
            </w:hyperlink>
          </w:p>
        </w:tc>
      </w:tr>
      <w:tr w:rsidR="00FB38AD" w14:paraId="2C240A43" w14:textId="77777777">
        <w:tblPrEx>
          <w:tblCellMar>
            <w:top w:w="0" w:type="dxa"/>
            <w:bottom w:w="0" w:type="dxa"/>
          </w:tblCellMar>
        </w:tblPrEx>
        <w:trPr>
          <w:cantSplit/>
        </w:trPr>
        <w:tc>
          <w:tcPr>
            <w:tcW w:w="3120" w:type="dxa"/>
            <w:tcMar>
              <w:top w:w="105" w:type="dxa"/>
              <w:left w:w="125" w:type="dxa"/>
              <w:bottom w:w="105" w:type="dxa"/>
              <w:right w:w="125" w:type="dxa"/>
            </w:tcMar>
          </w:tcPr>
          <w:p w14:paraId="02187F00" w14:textId="77777777" w:rsidR="00FB38AD" w:rsidRDefault="00AE2D7E">
            <w:pPr>
              <w:spacing w:after="50" w:line="255" w:lineRule="auto"/>
            </w:pPr>
            <w:r>
              <w:rPr>
                <w:sz w:val="19"/>
                <w:szCs w:val="19"/>
              </w:rPr>
              <w:t>Molecular mobility</w:t>
            </w:r>
          </w:p>
        </w:tc>
        <w:tc>
          <w:tcPr>
            <w:tcW w:w="3120" w:type="dxa"/>
            <w:tcMar>
              <w:top w:w="105" w:type="dxa"/>
              <w:left w:w="125" w:type="dxa"/>
              <w:bottom w:w="105" w:type="dxa"/>
              <w:right w:w="125" w:type="dxa"/>
            </w:tcMar>
          </w:tcPr>
          <w:p w14:paraId="00CCC59F" w14:textId="77777777" w:rsidR="00FB38AD" w:rsidRDefault="00AE2D7E">
            <w:pPr>
              <w:spacing w:after="50" w:line="255" w:lineRule="auto"/>
            </w:pPr>
            <w:r>
              <w:rPr>
                <w:sz w:val="19"/>
                <w:szCs w:val="19"/>
              </w:rPr>
              <w:t>Probe-specific diffusion and fitted occupancy populations</w:t>
            </w:r>
          </w:p>
        </w:tc>
        <w:tc>
          <w:tcPr>
            <w:tcW w:w="3120" w:type="dxa"/>
            <w:tcMar>
              <w:top w:w="105" w:type="dxa"/>
              <w:left w:w="125" w:type="dxa"/>
              <w:bottom w:w="105" w:type="dxa"/>
              <w:right w:w="125" w:type="dxa"/>
            </w:tcMar>
          </w:tcPr>
          <w:p w14:paraId="4AC61518" w14:textId="510EAA31" w:rsidR="00FB38AD" w:rsidRDefault="00AE2D7E">
            <w:pPr>
              <w:spacing w:after="50" w:line="255" w:lineRule="auto"/>
            </w:pPr>
            <w:r>
              <w:rPr>
                <w:sz w:val="19"/>
                <w:szCs w:val="19"/>
              </w:rPr>
              <w:t>Calibrated binding and material interpretation</w:t>
            </w:r>
            <w:hyperlink r:id="rId66" w:history="1">
              <w:r>
                <w:rPr>
                  <w:color w:val="087B78"/>
                  <w:sz w:val="18"/>
                  <w:szCs w:val="18"/>
                </w:rPr>
                <w:t xml:space="preserve"> [12]</w:t>
              </w:r>
            </w:hyperlink>
            <w:hyperlink r:id="rId67" w:history="1">
              <w:r>
                <w:rPr>
                  <w:color w:val="087B78"/>
                  <w:sz w:val="18"/>
                  <w:szCs w:val="18"/>
                </w:rPr>
                <w:t xml:space="preserve"> [21]</w:t>
              </w:r>
            </w:hyperlink>
            <w:hyperlink r:id="rId68" w:history="1">
              <w:r>
                <w:rPr>
                  <w:color w:val="087B78"/>
                  <w:sz w:val="18"/>
                  <w:szCs w:val="18"/>
                </w:rPr>
                <w:t xml:space="preserve"> [20]</w:t>
              </w:r>
            </w:hyperlink>
          </w:p>
        </w:tc>
      </w:tr>
      <w:tr w:rsidR="00FB38AD" w14:paraId="377FF1E9" w14:textId="77777777">
        <w:tblPrEx>
          <w:tblCellMar>
            <w:top w:w="0" w:type="dxa"/>
            <w:bottom w:w="0" w:type="dxa"/>
          </w:tblCellMar>
        </w:tblPrEx>
        <w:trPr>
          <w:cantSplit/>
        </w:trPr>
        <w:tc>
          <w:tcPr>
            <w:tcW w:w="3120" w:type="dxa"/>
            <w:tcMar>
              <w:top w:w="105" w:type="dxa"/>
              <w:left w:w="125" w:type="dxa"/>
              <w:bottom w:w="105" w:type="dxa"/>
              <w:right w:w="125" w:type="dxa"/>
            </w:tcMar>
          </w:tcPr>
          <w:p w14:paraId="7DAA7D2F" w14:textId="77777777" w:rsidR="00FB38AD" w:rsidRDefault="00AE2D7E">
            <w:pPr>
              <w:spacing w:after="50" w:line="255" w:lineRule="auto"/>
            </w:pPr>
            <w:r>
              <w:rPr>
                <w:sz w:val="19"/>
                <w:szCs w:val="19"/>
              </w:rPr>
              <w:lastRenderedPageBreak/>
              <w:t>Local force response</w:t>
            </w:r>
          </w:p>
        </w:tc>
        <w:tc>
          <w:tcPr>
            <w:tcW w:w="3120" w:type="dxa"/>
            <w:tcMar>
              <w:top w:w="105" w:type="dxa"/>
              <w:left w:w="125" w:type="dxa"/>
              <w:bottom w:w="105" w:type="dxa"/>
              <w:right w:w="125" w:type="dxa"/>
            </w:tcMar>
          </w:tcPr>
          <w:p w14:paraId="109173E8" w14:textId="77777777" w:rsidR="00FB38AD" w:rsidRDefault="00AE2D7E">
            <w:pPr>
              <w:spacing w:after="50" w:line="255" w:lineRule="auto"/>
            </w:pPr>
            <w:r>
              <w:rPr>
                <w:sz w:val="19"/>
                <w:szCs w:val="19"/>
              </w:rPr>
              <w:t>Response of the particle-coupled nuclear component</w:t>
            </w:r>
          </w:p>
        </w:tc>
        <w:tc>
          <w:tcPr>
            <w:tcW w:w="3120" w:type="dxa"/>
            <w:tcMar>
              <w:top w:w="105" w:type="dxa"/>
              <w:left w:w="125" w:type="dxa"/>
              <w:bottom w:w="105" w:type="dxa"/>
              <w:right w:w="125" w:type="dxa"/>
            </w:tcMar>
          </w:tcPr>
          <w:p w14:paraId="37183A43" w14:textId="3DD816FC" w:rsidR="00FB38AD" w:rsidRDefault="00AE2D7E">
            <w:pPr>
              <w:spacing w:after="50" w:line="255" w:lineRule="auto"/>
            </w:pPr>
            <w:r>
              <w:rPr>
                <w:sz w:val="19"/>
                <w:szCs w:val="19"/>
              </w:rPr>
              <w:t>Geometry, specificity and physiological comparison</w:t>
            </w:r>
            <w:hyperlink r:id="rId69" w:history="1">
              <w:r>
                <w:rPr>
                  <w:color w:val="087B78"/>
                  <w:sz w:val="18"/>
                  <w:szCs w:val="18"/>
                </w:rPr>
                <w:t xml:space="preserve"> [4]</w:t>
              </w:r>
            </w:hyperlink>
          </w:p>
        </w:tc>
      </w:tr>
      <w:tr w:rsidR="00FB38AD" w14:paraId="1EC8D839" w14:textId="77777777">
        <w:tblPrEx>
          <w:tblCellMar>
            <w:top w:w="0" w:type="dxa"/>
            <w:bottom w:w="0" w:type="dxa"/>
          </w:tblCellMar>
        </w:tblPrEx>
        <w:trPr>
          <w:cantSplit/>
        </w:trPr>
        <w:tc>
          <w:tcPr>
            <w:tcW w:w="3120" w:type="dxa"/>
            <w:tcMar>
              <w:top w:w="105" w:type="dxa"/>
              <w:left w:w="125" w:type="dxa"/>
              <w:bottom w:w="105" w:type="dxa"/>
              <w:right w:w="125" w:type="dxa"/>
            </w:tcMar>
          </w:tcPr>
          <w:p w14:paraId="42703BC1" w14:textId="77777777" w:rsidR="00FB38AD" w:rsidRDefault="00AE2D7E">
            <w:pPr>
              <w:spacing w:after="50" w:line="255" w:lineRule="auto"/>
            </w:pPr>
            <w:r>
              <w:rPr>
                <w:sz w:val="19"/>
                <w:szCs w:val="19"/>
              </w:rPr>
              <w:t>Composite deformation</w:t>
            </w:r>
          </w:p>
        </w:tc>
        <w:tc>
          <w:tcPr>
            <w:tcW w:w="3120" w:type="dxa"/>
            <w:tcMar>
              <w:top w:w="105" w:type="dxa"/>
              <w:left w:w="125" w:type="dxa"/>
              <w:bottom w:w="105" w:type="dxa"/>
              <w:right w:w="125" w:type="dxa"/>
            </w:tcMar>
          </w:tcPr>
          <w:p w14:paraId="66B13939" w14:textId="77777777" w:rsidR="00FB38AD" w:rsidRDefault="00AE2D7E">
            <w:pPr>
              <w:spacing w:after="50" w:line="255" w:lineRule="auto"/>
            </w:pPr>
            <w:r>
              <w:rPr>
                <w:sz w:val="19"/>
                <w:szCs w:val="19"/>
              </w:rPr>
              <w:t>Component-dependent strain response and hysteresis</w:t>
            </w:r>
          </w:p>
        </w:tc>
        <w:tc>
          <w:tcPr>
            <w:tcW w:w="3120" w:type="dxa"/>
            <w:tcMar>
              <w:top w:w="105" w:type="dxa"/>
              <w:left w:w="125" w:type="dxa"/>
              <w:bottom w:w="105" w:type="dxa"/>
              <w:right w:w="125" w:type="dxa"/>
            </w:tcMar>
          </w:tcPr>
          <w:p w14:paraId="37ED1EF1" w14:textId="03A87C49" w:rsidR="00FB38AD" w:rsidRDefault="00AE2D7E">
            <w:pPr>
              <w:spacing w:after="50" w:line="255" w:lineRule="auto"/>
            </w:pPr>
            <w:r>
              <w:rPr>
                <w:sz w:val="19"/>
                <w:szCs w:val="19"/>
              </w:rPr>
              <w:t>Cross-method matching and metabolic-state control</w:t>
            </w:r>
            <w:hyperlink r:id="rId70" w:history="1">
              <w:r>
                <w:rPr>
                  <w:color w:val="087B78"/>
                  <w:sz w:val="18"/>
                  <w:szCs w:val="18"/>
                </w:rPr>
                <w:t xml:space="preserve"> [1]</w:t>
              </w:r>
            </w:hyperlink>
            <w:hyperlink r:id="rId71" w:history="1">
              <w:r>
                <w:rPr>
                  <w:color w:val="087B78"/>
                  <w:sz w:val="18"/>
                  <w:szCs w:val="18"/>
                </w:rPr>
                <w:t xml:space="preserve"> [7]</w:t>
              </w:r>
            </w:hyperlink>
            <w:hyperlink r:id="rId72" w:history="1">
              <w:r>
                <w:rPr>
                  <w:color w:val="087B78"/>
                  <w:sz w:val="18"/>
                  <w:szCs w:val="18"/>
                </w:rPr>
                <w:t xml:space="preserve"> [5]</w:t>
              </w:r>
            </w:hyperlink>
          </w:p>
        </w:tc>
      </w:tr>
      <w:tr w:rsidR="00FB38AD" w14:paraId="088A3CE2" w14:textId="77777777">
        <w:tblPrEx>
          <w:tblCellMar>
            <w:top w:w="0" w:type="dxa"/>
            <w:bottom w:w="0" w:type="dxa"/>
          </w:tblCellMar>
        </w:tblPrEx>
        <w:trPr>
          <w:cantSplit/>
        </w:trPr>
        <w:tc>
          <w:tcPr>
            <w:tcW w:w="3120" w:type="dxa"/>
            <w:tcMar>
              <w:top w:w="105" w:type="dxa"/>
              <w:left w:w="125" w:type="dxa"/>
              <w:bottom w:w="105" w:type="dxa"/>
              <w:right w:w="125" w:type="dxa"/>
            </w:tcMar>
          </w:tcPr>
          <w:p w14:paraId="1A1BBFED" w14:textId="77777777" w:rsidR="00FB38AD" w:rsidRDefault="00AE2D7E">
            <w:pPr>
              <w:spacing w:after="50" w:line="255" w:lineRule="auto"/>
            </w:pPr>
            <w:r>
              <w:rPr>
                <w:sz w:val="19"/>
                <w:szCs w:val="19"/>
              </w:rPr>
              <w:t>Nuclear-body organization</w:t>
            </w:r>
          </w:p>
        </w:tc>
        <w:tc>
          <w:tcPr>
            <w:tcW w:w="3120" w:type="dxa"/>
            <w:tcMar>
              <w:top w:w="105" w:type="dxa"/>
              <w:left w:w="125" w:type="dxa"/>
              <w:bottom w:w="105" w:type="dxa"/>
              <w:right w:w="125" w:type="dxa"/>
            </w:tcMar>
          </w:tcPr>
          <w:p w14:paraId="359EA9EF" w14:textId="77777777" w:rsidR="00FB38AD" w:rsidRDefault="00AE2D7E">
            <w:pPr>
              <w:spacing w:after="50" w:line="255" w:lineRule="auto"/>
            </w:pPr>
            <w:r>
              <w:rPr>
                <w:sz w:val="19"/>
                <w:szCs w:val="19"/>
              </w:rPr>
              <w:t>Component-specific partitioning and mechanically responsive assemblies</w:t>
            </w:r>
          </w:p>
        </w:tc>
        <w:tc>
          <w:tcPr>
            <w:tcW w:w="3120" w:type="dxa"/>
            <w:tcMar>
              <w:top w:w="105" w:type="dxa"/>
              <w:left w:w="125" w:type="dxa"/>
              <w:bottom w:w="105" w:type="dxa"/>
              <w:right w:w="125" w:type="dxa"/>
            </w:tcMar>
          </w:tcPr>
          <w:p w14:paraId="22EA1091" w14:textId="24F0A9D0" w:rsidR="00FB38AD" w:rsidRDefault="00AE2D7E">
            <w:pPr>
              <w:spacing w:after="50" w:line="255" w:lineRule="auto"/>
            </w:pPr>
            <w:r>
              <w:rPr>
                <w:sz w:val="19"/>
                <w:szCs w:val="19"/>
              </w:rPr>
              <w:t>Phase boundaries and preparation-specific rheology</w:t>
            </w:r>
            <w:hyperlink r:id="rId73" w:history="1">
              <w:r>
                <w:rPr>
                  <w:color w:val="087B78"/>
                  <w:sz w:val="18"/>
                  <w:szCs w:val="18"/>
                </w:rPr>
                <w:t xml:space="preserve"> [2]</w:t>
              </w:r>
            </w:hyperlink>
            <w:hyperlink r:id="rId74" w:history="1">
              <w:r>
                <w:rPr>
                  <w:color w:val="087B78"/>
                  <w:sz w:val="18"/>
                  <w:szCs w:val="18"/>
                </w:rPr>
                <w:t xml:space="preserve"> [10]</w:t>
              </w:r>
            </w:hyperlink>
          </w:p>
        </w:tc>
      </w:tr>
      <w:tr w:rsidR="00FB38AD" w14:paraId="47E47044" w14:textId="77777777">
        <w:tblPrEx>
          <w:tblCellMar>
            <w:top w:w="0" w:type="dxa"/>
            <w:bottom w:w="0" w:type="dxa"/>
          </w:tblCellMar>
        </w:tblPrEx>
        <w:trPr>
          <w:cantSplit/>
        </w:trPr>
        <w:tc>
          <w:tcPr>
            <w:tcW w:w="3120" w:type="dxa"/>
            <w:tcMar>
              <w:top w:w="105" w:type="dxa"/>
              <w:left w:w="125" w:type="dxa"/>
              <w:bottom w:w="105" w:type="dxa"/>
              <w:right w:w="125" w:type="dxa"/>
            </w:tcMar>
          </w:tcPr>
          <w:p w14:paraId="3A4E520A" w14:textId="77777777" w:rsidR="00FB38AD" w:rsidRDefault="00AE2D7E">
            <w:pPr>
              <w:spacing w:after="50" w:line="255" w:lineRule="auto"/>
            </w:pPr>
            <w:r>
              <w:rPr>
                <w:sz w:val="19"/>
                <w:szCs w:val="19"/>
              </w:rPr>
              <w:t>Nuclear boundary function</w:t>
            </w:r>
          </w:p>
        </w:tc>
        <w:tc>
          <w:tcPr>
            <w:tcW w:w="3120" w:type="dxa"/>
            <w:tcMar>
              <w:top w:w="105" w:type="dxa"/>
              <w:left w:w="125" w:type="dxa"/>
              <w:bottom w:w="105" w:type="dxa"/>
              <w:right w:w="125" w:type="dxa"/>
            </w:tcMar>
          </w:tcPr>
          <w:p w14:paraId="69AE1C5A" w14:textId="77777777" w:rsidR="00FB38AD" w:rsidRDefault="00AE2D7E">
            <w:pPr>
              <w:spacing w:after="50" w:line="255" w:lineRule="auto"/>
            </w:pPr>
            <w:r>
              <w:rPr>
                <w:sz w:val="19"/>
                <w:szCs w:val="19"/>
              </w:rPr>
              <w:t>Cargo regulation, permeability and pressure-driven flow in defined systems</w:t>
            </w:r>
          </w:p>
        </w:tc>
        <w:tc>
          <w:tcPr>
            <w:tcW w:w="3120" w:type="dxa"/>
            <w:tcMar>
              <w:top w:w="105" w:type="dxa"/>
              <w:left w:w="125" w:type="dxa"/>
              <w:bottom w:w="105" w:type="dxa"/>
              <w:right w:w="125" w:type="dxa"/>
            </w:tcMar>
          </w:tcPr>
          <w:p w14:paraId="578296EA" w14:textId="63A5953F" w:rsidR="00FB38AD" w:rsidRDefault="00AE2D7E">
            <w:pPr>
              <w:spacing w:after="50" w:line="255" w:lineRule="auto"/>
            </w:pPr>
            <w:r>
              <w:rPr>
                <w:sz w:val="19"/>
                <w:szCs w:val="19"/>
              </w:rPr>
              <w:t>A common model only after distinguishing pathways</w:t>
            </w:r>
            <w:hyperlink r:id="rId75" w:history="1">
              <w:r>
                <w:rPr>
                  <w:color w:val="087B78"/>
                  <w:sz w:val="18"/>
                  <w:szCs w:val="18"/>
                </w:rPr>
                <w:t xml:space="preserve"> [25]</w:t>
              </w:r>
            </w:hyperlink>
            <w:hyperlink r:id="rId76" w:history="1">
              <w:r>
                <w:rPr>
                  <w:color w:val="087B78"/>
                  <w:sz w:val="18"/>
                  <w:szCs w:val="18"/>
                </w:rPr>
                <w:t xml:space="preserve"> [28]</w:t>
              </w:r>
            </w:hyperlink>
            <w:hyperlink r:id="rId77" w:history="1">
              <w:r>
                <w:rPr>
                  <w:color w:val="087B78"/>
                  <w:sz w:val="18"/>
                  <w:szCs w:val="18"/>
                </w:rPr>
                <w:t xml:space="preserve"> [27]</w:t>
              </w:r>
            </w:hyperlink>
          </w:p>
        </w:tc>
      </w:tr>
      <w:tr w:rsidR="00FB38AD" w14:paraId="27D08064" w14:textId="77777777">
        <w:tblPrEx>
          <w:tblCellMar>
            <w:top w:w="0" w:type="dxa"/>
            <w:bottom w:w="0" w:type="dxa"/>
          </w:tblCellMar>
        </w:tblPrEx>
        <w:trPr>
          <w:cantSplit/>
        </w:trPr>
        <w:tc>
          <w:tcPr>
            <w:tcW w:w="3120" w:type="dxa"/>
            <w:tcMar>
              <w:top w:w="105" w:type="dxa"/>
              <w:left w:w="125" w:type="dxa"/>
              <w:bottom w:w="105" w:type="dxa"/>
              <w:right w:w="125" w:type="dxa"/>
            </w:tcMar>
          </w:tcPr>
          <w:p w14:paraId="21B3B1B4" w14:textId="77777777" w:rsidR="00FB38AD" w:rsidRDefault="00AE2D7E">
            <w:pPr>
              <w:spacing w:after="50" w:line="255" w:lineRule="auto"/>
            </w:pPr>
            <w:r>
              <w:rPr>
                <w:sz w:val="19"/>
                <w:szCs w:val="19"/>
              </w:rPr>
              <w:t>Genome positioning</w:t>
            </w:r>
          </w:p>
        </w:tc>
        <w:tc>
          <w:tcPr>
            <w:tcW w:w="3120" w:type="dxa"/>
            <w:tcMar>
              <w:top w:w="105" w:type="dxa"/>
              <w:left w:w="125" w:type="dxa"/>
              <w:bottom w:w="105" w:type="dxa"/>
              <w:right w:w="125" w:type="dxa"/>
            </w:tcMar>
          </w:tcPr>
          <w:p w14:paraId="05B5076F" w14:textId="77777777" w:rsidR="00FB38AD" w:rsidRDefault="00AE2D7E">
            <w:pPr>
              <w:spacing w:after="50" w:line="255" w:lineRule="auto"/>
            </w:pPr>
            <w:r>
              <w:rPr>
                <w:sz w:val="19"/>
                <w:szCs w:val="19"/>
              </w:rPr>
              <w:t>Lamina association and tether-depletion phenotypes</w:t>
            </w:r>
          </w:p>
        </w:tc>
        <w:tc>
          <w:tcPr>
            <w:tcW w:w="3120" w:type="dxa"/>
            <w:tcMar>
              <w:top w:w="105" w:type="dxa"/>
              <w:left w:w="125" w:type="dxa"/>
              <w:bottom w:w="105" w:type="dxa"/>
              <w:right w:w="125" w:type="dxa"/>
            </w:tcMar>
          </w:tcPr>
          <w:p w14:paraId="0CEAD3EA" w14:textId="7A3CFA82" w:rsidR="00FB38AD" w:rsidRDefault="00AE2D7E">
            <w:pPr>
              <w:spacing w:after="50" w:line="255" w:lineRule="auto"/>
            </w:pPr>
            <w:r>
              <w:rPr>
                <w:sz w:val="19"/>
                <w:szCs w:val="19"/>
              </w:rPr>
              <w:t>Mechanistic separation of immediate positioning and delayed gene effects</w:t>
            </w:r>
            <w:hyperlink r:id="rId78" w:history="1">
              <w:r>
                <w:rPr>
                  <w:color w:val="087B78"/>
                  <w:sz w:val="18"/>
                  <w:szCs w:val="18"/>
                </w:rPr>
                <w:t xml:space="preserve"> [17]</w:t>
              </w:r>
            </w:hyperlink>
            <w:hyperlink r:id="rId79" w:history="1">
              <w:r>
                <w:rPr>
                  <w:color w:val="087B78"/>
                  <w:sz w:val="18"/>
                  <w:szCs w:val="18"/>
                </w:rPr>
                <w:t xml:space="preserve"> [9]</w:t>
              </w:r>
            </w:hyperlink>
          </w:p>
        </w:tc>
      </w:tr>
    </w:tbl>
    <w:p w14:paraId="04DA41A4" w14:textId="77777777" w:rsidR="00FB38AD" w:rsidRDefault="00FB38AD">
      <w:pPr>
        <w:spacing w:after="170"/>
      </w:pPr>
    </w:p>
    <w:p w14:paraId="4414E4BA" w14:textId="6C1012A3" w:rsidR="00FB38AD" w:rsidRDefault="00AE2D7E">
      <w:r>
        <w:t>The most informative comparisons preserve both the observable and the state of the cell. A nuclear mechanics phenotype can coexist with an unchanged soluble-probe diffusivity, and a pore diameter change can coexist with cargo-specific regulation. Matched studies should report location, scale, loading regime, specimen preparation and the exact molecular reporter. A disagreement then becomes a concrete question about component recruitment or regulation. Without that information, a collection of numerical stif</w:t>
      </w:r>
      <w:r>
        <w:t>fness or viscosity values can create apparent precision while comparing physically different systems.</w:t>
      </w:r>
      <w:hyperlink r:id="rId80" w:history="1">
        <w:r>
          <w:rPr>
            <w:color w:val="087B78"/>
            <w:sz w:val="18"/>
            <w:szCs w:val="18"/>
          </w:rPr>
          <w:t xml:space="preserve"> [23]</w:t>
        </w:r>
      </w:hyperlink>
      <w:hyperlink r:id="rId81" w:history="1">
        <w:r>
          <w:rPr>
            <w:color w:val="087B78"/>
            <w:sz w:val="18"/>
            <w:szCs w:val="18"/>
          </w:rPr>
          <w:t xml:space="preserve"> [1]</w:t>
        </w:r>
      </w:hyperlink>
      <w:hyperlink r:id="rId82" w:history="1">
        <w:r>
          <w:rPr>
            <w:color w:val="087B78"/>
            <w:sz w:val="18"/>
            <w:szCs w:val="18"/>
          </w:rPr>
          <w:t xml:space="preserve"> [12]</w:t>
        </w:r>
      </w:hyperlink>
      <w:hyperlink r:id="rId83" w:history="1">
        <w:r>
          <w:rPr>
            <w:color w:val="087B78"/>
            <w:sz w:val="18"/>
            <w:szCs w:val="18"/>
          </w:rPr>
          <w:t xml:space="preserve"> [11]</w:t>
        </w:r>
      </w:hyperlink>
      <w:hyperlink r:id="rId84" w:history="1">
        <w:r>
          <w:rPr>
            <w:color w:val="087B78"/>
            <w:sz w:val="18"/>
            <w:szCs w:val="18"/>
          </w:rPr>
          <w:t xml:space="preserve"> [25]</w:t>
        </w:r>
      </w:hyperlink>
    </w:p>
    <w:p w14:paraId="70979D97" w14:textId="77777777" w:rsidR="00FB38AD" w:rsidRDefault="00AE2D7E">
      <w:pPr>
        <w:pStyle w:val="Heading1"/>
      </w:pPr>
      <w:bookmarkStart w:id="10" w:name="_Toc242668365"/>
      <w:r>
        <w:t>10. Synthesis and research priorities</w:t>
      </w:r>
      <w:bookmarkEnd w:id="10"/>
    </w:p>
    <w:p w14:paraId="0385AAE3" w14:textId="3454AAA1" w:rsidR="00FB38AD" w:rsidRDefault="00AE2D7E">
      <w:r>
        <w:t>The past decade established that nuclear structure, transport and mechanics are coupled while retaining distinct physical descriptions. Current work is beginning to identify the connections: peripheral tethering recruits chromatin into force response, active remodeling contributes dissipation, spatial heterogeneity affects condensates, and transport helps set nuclear density. The next step is joint causal measurement across these levels. Tracking the sequence of structural, mechanical and regulatory changes</w:t>
      </w:r>
      <w:r>
        <w:t xml:space="preserve"> in one biological transition will be more revealing than assigning a universal nuclear material label or treating a single assay as sufficient for all mechanisms.</w:t>
      </w:r>
      <w:hyperlink r:id="rId85" w:history="1">
        <w:r>
          <w:rPr>
            <w:color w:val="087B78"/>
            <w:sz w:val="18"/>
            <w:szCs w:val="18"/>
          </w:rPr>
          <w:t xml:space="preserve"> [8]</w:t>
        </w:r>
      </w:hyperlink>
      <w:hyperlink r:id="rId86" w:history="1">
        <w:r>
          <w:rPr>
            <w:color w:val="087B78"/>
            <w:sz w:val="18"/>
            <w:szCs w:val="18"/>
          </w:rPr>
          <w:t xml:space="preserve"> [5]</w:t>
        </w:r>
      </w:hyperlink>
      <w:hyperlink r:id="rId87" w:history="1">
        <w:r>
          <w:rPr>
            <w:color w:val="087B78"/>
            <w:sz w:val="18"/>
            <w:szCs w:val="18"/>
          </w:rPr>
          <w:t xml:space="preserve"> [10]</w:t>
        </w:r>
      </w:hyperlink>
      <w:hyperlink r:id="rId88" w:history="1">
        <w:r>
          <w:rPr>
            <w:color w:val="087B78"/>
            <w:sz w:val="18"/>
            <w:szCs w:val="18"/>
          </w:rPr>
          <w:t xml:space="preserve"> [6]</w:t>
        </w:r>
      </w:hyperlink>
      <w:hyperlink r:id="rId89" w:history="1">
        <w:r>
          <w:rPr>
            <w:color w:val="087B78"/>
            <w:sz w:val="18"/>
            <w:szCs w:val="18"/>
          </w:rPr>
          <w:t xml:space="preserve"> [9]</w:t>
        </w:r>
      </w:hyperlink>
    </w:p>
    <w:p w14:paraId="39F971D9" w14:textId="77777777" w:rsidR="00FB38AD" w:rsidRDefault="00AE2D7E">
      <w:pPr>
        <w:pStyle w:val="Heading1"/>
      </w:pPr>
      <w:bookmarkStart w:id="11" w:name="_Toc242668366"/>
      <w:r>
        <w:t>References</w:t>
      </w:r>
      <w:bookmarkEnd w:id="11"/>
    </w:p>
    <w:p w14:paraId="31917231" w14:textId="622139E0" w:rsidR="00FB38AD" w:rsidRDefault="00AE2D7E">
      <w:pPr>
        <w:keepLines/>
        <w:spacing w:after="90" w:line="245" w:lineRule="auto"/>
      </w:pPr>
      <w:r>
        <w:rPr>
          <w:b/>
          <w:bCs/>
          <w:sz w:val="20"/>
          <w:szCs w:val="20"/>
        </w:rPr>
        <w:t xml:space="preserve">[1] Andrew D. Stephens, Edward J. Banigan, Stephen A. Adam et al. (2017). </w:t>
      </w:r>
      <w:r>
        <w:rPr>
          <w:sz w:val="20"/>
          <w:szCs w:val="20"/>
        </w:rPr>
        <w:t xml:space="preserve">Chromatin and lamin A determine two different mechanical response regimes of the cell nucleus. Molecular Biology of the Cell. </w:t>
      </w:r>
      <w:hyperlink r:id="rId90" w:history="1">
        <w:r>
          <w:rPr>
            <w:color w:val="087B78"/>
            <w:sz w:val="20"/>
            <w:szCs w:val="20"/>
            <w:u w:val="single"/>
          </w:rPr>
          <w:t>10.1091/mbc.E16-09-0653</w:t>
        </w:r>
      </w:hyperlink>
    </w:p>
    <w:p w14:paraId="33D68BE8" w14:textId="7D1AC051" w:rsidR="00FB38AD" w:rsidRDefault="00AE2D7E">
      <w:pPr>
        <w:keepLines/>
        <w:spacing w:after="90" w:line="245" w:lineRule="auto"/>
      </w:pPr>
      <w:r>
        <w:rPr>
          <w:b/>
          <w:bCs/>
          <w:sz w:val="20"/>
          <w:szCs w:val="20"/>
        </w:rPr>
        <w:lastRenderedPageBreak/>
        <w:t xml:space="preserve">[2] Marina Feric, Nilesh Vaidya, Tyler S. Harmon et al. (2016). </w:t>
      </w:r>
      <w:r>
        <w:rPr>
          <w:sz w:val="20"/>
          <w:szCs w:val="20"/>
        </w:rPr>
        <w:t xml:space="preserve">Coexisting Liquid Phases Underlie Nucleolar Subcompartments. Cell. </w:t>
      </w:r>
      <w:hyperlink r:id="rId91" w:history="1">
        <w:r>
          <w:rPr>
            <w:color w:val="087B78"/>
            <w:sz w:val="20"/>
            <w:szCs w:val="20"/>
            <w:u w:val="single"/>
          </w:rPr>
          <w:t>10.1016/j.cell.2016.04.047</w:t>
        </w:r>
      </w:hyperlink>
    </w:p>
    <w:p w14:paraId="48C20F68" w14:textId="66567EF6" w:rsidR="00FB38AD" w:rsidRDefault="00AE2D7E">
      <w:pPr>
        <w:keepLines/>
        <w:spacing w:after="90" w:line="245" w:lineRule="auto"/>
      </w:pPr>
      <w:r>
        <w:rPr>
          <w:b/>
          <w:bCs/>
          <w:sz w:val="20"/>
          <w:szCs w:val="20"/>
        </w:rPr>
        <w:t xml:space="preserve">[3] Céline Denais, Rachel M. Gilbert, Philipp Isermann et al. (2016). </w:t>
      </w:r>
      <w:r>
        <w:rPr>
          <w:sz w:val="20"/>
          <w:szCs w:val="20"/>
        </w:rPr>
        <w:t xml:space="preserve">Nuclear envelope rupture and repair during cancer cell migration. Science. </w:t>
      </w:r>
      <w:hyperlink r:id="rId92" w:history="1">
        <w:r>
          <w:rPr>
            <w:color w:val="087B78"/>
            <w:sz w:val="20"/>
            <w:szCs w:val="20"/>
            <w:u w:val="single"/>
          </w:rPr>
          <w:t>10.1126/science.aad7297</w:t>
        </w:r>
      </w:hyperlink>
    </w:p>
    <w:p w14:paraId="57D5F799" w14:textId="157C3D93" w:rsidR="00FB38AD" w:rsidRDefault="00AE2D7E">
      <w:pPr>
        <w:keepLines/>
        <w:spacing w:after="90" w:line="245" w:lineRule="auto"/>
      </w:pPr>
      <w:r>
        <w:rPr>
          <w:b/>
          <w:bCs/>
          <w:sz w:val="20"/>
          <w:szCs w:val="20"/>
        </w:rPr>
        <w:t xml:space="preserve">[4] Fazlur Rashid, Sadia Amin Kabbo, Ning Wang (2024). </w:t>
      </w:r>
      <w:r>
        <w:rPr>
          <w:sz w:val="20"/>
          <w:szCs w:val="20"/>
        </w:rPr>
        <w:t xml:space="preserve">Mechanomemory of nucleoplasm and RNA polymerase II after chromatin stretching by a microinjected magnetic nanoparticle force. Cell Reports. </w:t>
      </w:r>
      <w:hyperlink r:id="rId93" w:history="1">
        <w:r>
          <w:rPr>
            <w:color w:val="087B78"/>
            <w:sz w:val="20"/>
            <w:szCs w:val="20"/>
            <w:u w:val="single"/>
          </w:rPr>
          <w:t>10.1016/j.celrep.2024.114462</w:t>
        </w:r>
      </w:hyperlink>
    </w:p>
    <w:p w14:paraId="46889B39" w14:textId="395BDC25" w:rsidR="00FB38AD" w:rsidRDefault="00AE2D7E">
      <w:pPr>
        <w:keepLines/>
        <w:spacing w:after="90" w:line="245" w:lineRule="auto"/>
      </w:pPr>
      <w:r>
        <w:rPr>
          <w:b/>
          <w:bCs/>
          <w:sz w:val="20"/>
          <w:szCs w:val="20"/>
        </w:rPr>
        <w:t xml:space="preserve">[5] Fitzroy J. Byfield, Behnaz Eftekhari, Kaeli Kaymak-Loveless et al. (2025). </w:t>
      </w:r>
      <w:r>
        <w:rPr>
          <w:sz w:val="20"/>
          <w:szCs w:val="20"/>
        </w:rPr>
        <w:t xml:space="preserve">Metabolically intact nuclei are fluidized by the activity of the chromatin remodeling motor BRG1. Biophysical Journal. </w:t>
      </w:r>
      <w:hyperlink r:id="rId94" w:history="1">
        <w:r>
          <w:rPr>
            <w:color w:val="087B78"/>
            <w:sz w:val="20"/>
            <w:szCs w:val="20"/>
            <w:u w:val="single"/>
          </w:rPr>
          <w:t>10.1016/j.bpj.2024.11.3322</w:t>
        </w:r>
      </w:hyperlink>
    </w:p>
    <w:p w14:paraId="01B7B01A" w14:textId="271CCDB0" w:rsidR="00FB38AD" w:rsidRDefault="00AE2D7E">
      <w:pPr>
        <w:keepLines/>
        <w:spacing w:after="90" w:line="245" w:lineRule="auto"/>
      </w:pPr>
      <w:r>
        <w:rPr>
          <w:b/>
          <w:bCs/>
          <w:sz w:val="20"/>
          <w:szCs w:val="20"/>
        </w:rPr>
        <w:t xml:space="preserve">[6] Abin Biswas, Omar Muñoz, Kyoohyun Kim et al. (2025). </w:t>
      </w:r>
      <w:r>
        <w:rPr>
          <w:sz w:val="20"/>
          <w:szCs w:val="20"/>
        </w:rPr>
        <w:t xml:space="preserve">Conserved nucleocytoplasmic density homeostasis drives cellular organization across eukaryotes. Nature Communications. </w:t>
      </w:r>
      <w:hyperlink r:id="rId95" w:history="1">
        <w:r>
          <w:rPr>
            <w:color w:val="087B78"/>
            <w:sz w:val="20"/>
            <w:szCs w:val="20"/>
            <w:u w:val="single"/>
          </w:rPr>
          <w:t>10.1038/s41467-025-62605-0</w:t>
        </w:r>
      </w:hyperlink>
    </w:p>
    <w:p w14:paraId="7EEB997A" w14:textId="348EC838" w:rsidR="00FB38AD" w:rsidRDefault="00AE2D7E">
      <w:pPr>
        <w:keepLines/>
        <w:spacing w:after="90" w:line="245" w:lineRule="auto"/>
      </w:pPr>
      <w:r>
        <w:rPr>
          <w:b/>
          <w:bCs/>
          <w:sz w:val="20"/>
          <w:szCs w:val="20"/>
        </w:rPr>
        <w:t xml:space="preserve">[7] G. Bergamaschi, A. Biebricher, Hannes Witt, F. Byfield, Xamanie M R Seymonson, Cornelis Storm, P. Janmey, G. Wuite (2024). </w:t>
      </w:r>
      <w:r>
        <w:rPr>
          <w:sz w:val="20"/>
          <w:szCs w:val="20"/>
        </w:rPr>
        <w:t xml:space="preserve">Heterogeneous force response of chromatin in isolated nuclei.. Cell Reports. </w:t>
      </w:r>
      <w:hyperlink r:id="rId96" w:history="1">
        <w:r>
          <w:rPr>
            <w:color w:val="087B78"/>
            <w:sz w:val="20"/>
            <w:szCs w:val="20"/>
            <w:u w:val="single"/>
          </w:rPr>
          <w:t>10.1016/j.celrep.2024.114852</w:t>
        </w:r>
      </w:hyperlink>
    </w:p>
    <w:p w14:paraId="2F6BDAD4" w14:textId="7D949852" w:rsidR="00FB38AD" w:rsidRDefault="00AE2D7E">
      <w:pPr>
        <w:keepLines/>
        <w:spacing w:after="90" w:line="245" w:lineRule="auto"/>
      </w:pPr>
      <w:r>
        <w:rPr>
          <w:b/>
          <w:bCs/>
          <w:sz w:val="20"/>
          <w:szCs w:val="20"/>
        </w:rPr>
        <w:t xml:space="preserve">[8] A. G. Attar, J. Paturej, Ozan S. Sarıyer, E. Banigan, A. Erbaş (2025). </w:t>
      </w:r>
      <w:r>
        <w:rPr>
          <w:sz w:val="20"/>
          <w:szCs w:val="20"/>
        </w:rPr>
        <w:t xml:space="preserve">Peripheral heterochromatin tethering is required for chromatin-based nuclear mechanical response. Nucleic Acids Research. </w:t>
      </w:r>
      <w:hyperlink r:id="rId97" w:history="1">
        <w:r>
          <w:rPr>
            <w:color w:val="087B78"/>
            <w:sz w:val="20"/>
            <w:szCs w:val="20"/>
            <w:u w:val="single"/>
          </w:rPr>
          <w:t>10.1093/nar/gkaf763</w:t>
        </w:r>
      </w:hyperlink>
    </w:p>
    <w:p w14:paraId="57B6CB02" w14:textId="6BA58D3A" w:rsidR="00FB38AD" w:rsidRDefault="00AE2D7E">
      <w:pPr>
        <w:keepLines/>
        <w:spacing w:after="90" w:line="245" w:lineRule="auto"/>
      </w:pPr>
      <w:r>
        <w:rPr>
          <w:b/>
          <w:bCs/>
          <w:sz w:val="20"/>
          <w:szCs w:val="20"/>
        </w:rPr>
        <w:t xml:space="preserve">[9] Renard Lewis, Virginia Sinigiani, Noura Maziak et al. (2026). </w:t>
      </w:r>
      <w:r>
        <w:rPr>
          <w:sz w:val="20"/>
          <w:szCs w:val="20"/>
        </w:rPr>
        <w:t xml:space="preserve">LBR and LAP2 mediate heterochromatin tethering to the nuclear periphery to preserve genome homeostasis. Nature Cell Biology. </w:t>
      </w:r>
      <w:hyperlink r:id="rId98" w:history="1">
        <w:r>
          <w:rPr>
            <w:color w:val="087B78"/>
            <w:sz w:val="20"/>
            <w:szCs w:val="20"/>
            <w:u w:val="single"/>
          </w:rPr>
          <w:t>10.1038/s41556-025-01822-7</w:t>
        </w:r>
      </w:hyperlink>
    </w:p>
    <w:p w14:paraId="1A96FD52" w14:textId="1723217E" w:rsidR="00FB38AD" w:rsidRDefault="00AE2D7E">
      <w:pPr>
        <w:keepLines/>
        <w:spacing w:after="90" w:line="245" w:lineRule="auto"/>
      </w:pPr>
      <w:r>
        <w:rPr>
          <w:b/>
          <w:bCs/>
          <w:sz w:val="20"/>
          <w:szCs w:val="20"/>
        </w:rPr>
        <w:t xml:space="preserve">[10] Jessica Z. Zhao, Jing Xia, Clifford P. Brangwynne (2024). </w:t>
      </w:r>
      <w:r>
        <w:rPr>
          <w:sz w:val="20"/>
          <w:szCs w:val="20"/>
        </w:rPr>
        <w:t xml:space="preserve">Chromatin compaction during confined cell migration induces and reshapes nuclear condensates. Nature Communications. </w:t>
      </w:r>
      <w:hyperlink r:id="rId99" w:history="1">
        <w:r>
          <w:rPr>
            <w:color w:val="087B78"/>
            <w:sz w:val="20"/>
            <w:szCs w:val="20"/>
            <w:u w:val="single"/>
          </w:rPr>
          <w:t>10.1038/s41467-024-54120-5</w:t>
        </w:r>
      </w:hyperlink>
    </w:p>
    <w:p w14:paraId="2D80F45A" w14:textId="6109771D" w:rsidR="00FB38AD" w:rsidRDefault="00AE2D7E">
      <w:pPr>
        <w:keepLines/>
        <w:spacing w:after="90" w:line="245" w:lineRule="auto"/>
      </w:pPr>
      <w:r>
        <w:rPr>
          <w:b/>
          <w:bCs/>
          <w:sz w:val="20"/>
          <w:szCs w:val="20"/>
        </w:rPr>
        <w:t xml:space="preserve">[11] Kimberly J. Morgan, Emma Carley, Alyssa N. Coyne, Jeffrey D. Rothstein, C. Patrick Lusk, Megan C. King (2025). </w:t>
      </w:r>
      <w:r>
        <w:rPr>
          <w:sz w:val="20"/>
          <w:szCs w:val="20"/>
        </w:rPr>
        <w:t xml:space="preserve">Visualizing nuclear pore complex plasticity with pan-expansion microscopy. Journal of Cell Biology. </w:t>
      </w:r>
      <w:hyperlink r:id="rId100" w:history="1">
        <w:r>
          <w:rPr>
            <w:color w:val="087B78"/>
            <w:sz w:val="20"/>
            <w:szCs w:val="20"/>
            <w:u w:val="single"/>
          </w:rPr>
          <w:t>10.1083/jcb.202409120</w:t>
        </w:r>
      </w:hyperlink>
    </w:p>
    <w:p w14:paraId="472AF810" w14:textId="79317271" w:rsidR="00FB38AD" w:rsidRDefault="00AE2D7E">
      <w:pPr>
        <w:keepLines/>
        <w:spacing w:after="90" w:line="245" w:lineRule="auto"/>
      </w:pPr>
      <w:r>
        <w:rPr>
          <w:b/>
          <w:bCs/>
          <w:sz w:val="20"/>
          <w:szCs w:val="20"/>
        </w:rPr>
        <w:t xml:space="preserve">[12] Nicolas Dross, Corentin Spriet, Monika Zwerger et al. (2009). </w:t>
      </w:r>
      <w:r>
        <w:rPr>
          <w:sz w:val="20"/>
          <w:szCs w:val="20"/>
        </w:rPr>
        <w:t xml:space="preserve">Mapping eGFP Oligomer Mobility in Living Cell Nuclei. PLOS ONE. </w:t>
      </w:r>
      <w:hyperlink r:id="rId101" w:history="1">
        <w:r>
          <w:rPr>
            <w:color w:val="087B78"/>
            <w:sz w:val="20"/>
            <w:szCs w:val="20"/>
            <w:u w:val="single"/>
          </w:rPr>
          <w:t>10.1371/journal.pone.0005041</w:t>
        </w:r>
      </w:hyperlink>
    </w:p>
    <w:p w14:paraId="567B4FB5" w14:textId="1CD48B4B" w:rsidR="00FB38AD" w:rsidRDefault="00AE2D7E">
      <w:pPr>
        <w:keepLines/>
        <w:spacing w:after="90" w:line="245" w:lineRule="auto"/>
      </w:pPr>
      <w:r>
        <w:rPr>
          <w:b/>
          <w:bCs/>
          <w:sz w:val="20"/>
          <w:szCs w:val="20"/>
        </w:rPr>
        <w:t xml:space="preserve">[13] Fabian Erdel, Michael Baum, Karsten Rippe (2015). </w:t>
      </w:r>
      <w:r>
        <w:rPr>
          <w:sz w:val="20"/>
          <w:szCs w:val="20"/>
        </w:rPr>
        <w:t xml:space="preserve">The viscoelastic properties of chromatin and the nucleoplasm revealed by scale-dependent protein mobility. Journal of Physics: Condensed Matter. </w:t>
      </w:r>
      <w:hyperlink r:id="rId102" w:history="1">
        <w:r>
          <w:rPr>
            <w:color w:val="087B78"/>
            <w:sz w:val="20"/>
            <w:szCs w:val="20"/>
            <w:u w:val="single"/>
          </w:rPr>
          <w:t>10.1088/0953-8984/27/6/064115</w:t>
        </w:r>
      </w:hyperlink>
    </w:p>
    <w:p w14:paraId="53ADC10C" w14:textId="433FDAC6" w:rsidR="00FB38AD" w:rsidRDefault="00AE2D7E">
      <w:pPr>
        <w:keepLines/>
        <w:spacing w:after="90" w:line="245" w:lineRule="auto"/>
      </w:pPr>
      <w:r>
        <w:rPr>
          <w:b/>
          <w:bCs/>
          <w:sz w:val="20"/>
          <w:szCs w:val="20"/>
        </w:rPr>
        <w:t xml:space="preserve">[14] Yagmur Turgay, Matthias Eibauer, Anne E. Goldman et al. (2017). </w:t>
      </w:r>
      <w:r>
        <w:rPr>
          <w:sz w:val="20"/>
          <w:szCs w:val="20"/>
        </w:rPr>
        <w:t xml:space="preserve">The molecular architecture of lamins in somatic cells. Nature. </w:t>
      </w:r>
      <w:hyperlink r:id="rId103" w:history="1">
        <w:r>
          <w:rPr>
            <w:color w:val="087B78"/>
            <w:sz w:val="20"/>
            <w:szCs w:val="20"/>
            <w:u w:val="single"/>
          </w:rPr>
          <w:t>10.1038/nature21382</w:t>
        </w:r>
      </w:hyperlink>
    </w:p>
    <w:p w14:paraId="4BD3D196" w14:textId="62CA7714" w:rsidR="00FB38AD" w:rsidRDefault="00AE2D7E">
      <w:pPr>
        <w:keepLines/>
        <w:spacing w:after="90" w:line="245" w:lineRule="auto"/>
      </w:pPr>
      <w:r>
        <w:rPr>
          <w:b/>
          <w:bCs/>
          <w:sz w:val="20"/>
          <w:szCs w:val="20"/>
        </w:rPr>
        <w:t xml:space="preserve">[15] Stefan Petrovic, Dipanjan Samanta, Thibaud Perriches et al. (2022). </w:t>
      </w:r>
      <w:r>
        <w:rPr>
          <w:sz w:val="20"/>
          <w:szCs w:val="20"/>
        </w:rPr>
        <w:t xml:space="preserve">Architecture of the linker-scaffold in the nuclear pore. Science. </w:t>
      </w:r>
      <w:hyperlink r:id="rId104" w:history="1">
        <w:r>
          <w:rPr>
            <w:color w:val="087B78"/>
            <w:sz w:val="20"/>
            <w:szCs w:val="20"/>
            <w:u w:val="single"/>
          </w:rPr>
          <w:t>10.1126/science.abm9798</w:t>
        </w:r>
      </w:hyperlink>
    </w:p>
    <w:p w14:paraId="181C345F" w14:textId="20538508" w:rsidR="00FB38AD" w:rsidRDefault="00AE2D7E">
      <w:pPr>
        <w:keepLines/>
        <w:spacing w:after="90" w:line="245" w:lineRule="auto"/>
      </w:pPr>
      <w:r>
        <w:rPr>
          <w:b/>
          <w:bCs/>
          <w:sz w:val="20"/>
          <w:szCs w:val="20"/>
        </w:rPr>
        <w:t xml:space="preserve">[16] Christopher J. Bley, Si Nie, George W. Mobbs et al. (2022). </w:t>
      </w:r>
      <w:r>
        <w:rPr>
          <w:sz w:val="20"/>
          <w:szCs w:val="20"/>
        </w:rPr>
        <w:t xml:space="preserve">Architecture of the cytoplasmic face of the nuclear pore. Science. </w:t>
      </w:r>
      <w:hyperlink r:id="rId105" w:history="1">
        <w:r>
          <w:rPr>
            <w:color w:val="087B78"/>
            <w:sz w:val="20"/>
            <w:szCs w:val="20"/>
            <w:u w:val="single"/>
          </w:rPr>
          <w:t>10.1126/science.abm9129</w:t>
        </w:r>
      </w:hyperlink>
    </w:p>
    <w:p w14:paraId="0D11E1ED" w14:textId="471BA4BC" w:rsidR="00FB38AD" w:rsidRDefault="00AE2D7E">
      <w:pPr>
        <w:keepLines/>
        <w:spacing w:after="90" w:line="245" w:lineRule="auto"/>
      </w:pPr>
      <w:r>
        <w:rPr>
          <w:b/>
          <w:bCs/>
          <w:sz w:val="20"/>
          <w:szCs w:val="20"/>
        </w:rPr>
        <w:t xml:space="preserve">[17] Lars Guelen, Ludo Pagie, Émilie Brasset et al. (2008). </w:t>
      </w:r>
      <w:r>
        <w:rPr>
          <w:sz w:val="20"/>
          <w:szCs w:val="20"/>
        </w:rPr>
        <w:t xml:space="preserve">Domain organization of human chromosomes revealed by mapping of nuclear lamina interactions. Nature. </w:t>
      </w:r>
      <w:hyperlink r:id="rId106" w:history="1">
        <w:r>
          <w:rPr>
            <w:color w:val="087B78"/>
            <w:sz w:val="20"/>
            <w:szCs w:val="20"/>
            <w:u w:val="single"/>
          </w:rPr>
          <w:t>10.1038/nature06947</w:t>
        </w:r>
      </w:hyperlink>
    </w:p>
    <w:p w14:paraId="02150A88" w14:textId="2B28E56B" w:rsidR="00FB38AD" w:rsidRDefault="00AE2D7E">
      <w:pPr>
        <w:keepLines/>
        <w:spacing w:after="90" w:line="245" w:lineRule="auto"/>
      </w:pPr>
      <w:r>
        <w:rPr>
          <w:b/>
          <w:bCs/>
          <w:sz w:val="20"/>
          <w:szCs w:val="20"/>
        </w:rPr>
        <w:t xml:space="preserve">[18] Lars Guelen, Ludo Pagie, Émilie Brasset et al. (2013). </w:t>
      </w:r>
      <w:r>
        <w:rPr>
          <w:sz w:val="20"/>
          <w:szCs w:val="20"/>
        </w:rPr>
        <w:t xml:space="preserve">Correction: Corrigendum: Domain organization of human chromosomes revealed by mapping of nuclear lamina interactions. Nature. </w:t>
      </w:r>
      <w:hyperlink r:id="rId107" w:history="1">
        <w:r>
          <w:rPr>
            <w:color w:val="087B78"/>
            <w:sz w:val="20"/>
            <w:szCs w:val="20"/>
            <w:u w:val="single"/>
          </w:rPr>
          <w:t>10.1038/nature12316</w:t>
        </w:r>
      </w:hyperlink>
    </w:p>
    <w:p w14:paraId="7C41B72E" w14:textId="2CF1C3B4" w:rsidR="00FB38AD" w:rsidRDefault="00AE2D7E">
      <w:pPr>
        <w:keepLines/>
        <w:spacing w:after="90" w:line="245" w:lineRule="auto"/>
      </w:pPr>
      <w:r>
        <w:rPr>
          <w:b/>
          <w:bCs/>
          <w:sz w:val="20"/>
          <w:szCs w:val="20"/>
        </w:rPr>
        <w:t xml:space="preserve">[19] Aurélien Bancaud, Sébastien Huet, Nathalie Daigle et al. (2009). </w:t>
      </w:r>
      <w:r>
        <w:rPr>
          <w:sz w:val="20"/>
          <w:szCs w:val="20"/>
        </w:rPr>
        <w:t xml:space="preserve">Molecular crowding affects diffusion and binding of nuclear proteins in heterochromatin and reveals the fractal organization of chromatin. The EMBO Journal. </w:t>
      </w:r>
      <w:hyperlink r:id="rId108" w:history="1">
        <w:r>
          <w:rPr>
            <w:color w:val="087B78"/>
            <w:sz w:val="20"/>
            <w:szCs w:val="20"/>
            <w:u w:val="single"/>
          </w:rPr>
          <w:t>10.1038/emboj.2009.340</w:t>
        </w:r>
      </w:hyperlink>
    </w:p>
    <w:p w14:paraId="001D4D43" w14:textId="260FE674" w:rsidR="00FB38AD" w:rsidRDefault="00AE2D7E">
      <w:pPr>
        <w:keepLines/>
        <w:spacing w:after="90" w:line="245" w:lineRule="auto"/>
      </w:pPr>
      <w:r>
        <w:rPr>
          <w:b/>
          <w:bCs/>
          <w:sz w:val="20"/>
          <w:szCs w:val="20"/>
        </w:rPr>
        <w:lastRenderedPageBreak/>
        <w:t xml:space="preserve">[20] Brian L. Sprague, Robert L. Pego, Diana A. Stavreva et al. (2004). </w:t>
      </w:r>
      <w:r>
        <w:rPr>
          <w:sz w:val="20"/>
          <w:szCs w:val="20"/>
        </w:rPr>
        <w:t xml:space="preserve">Analysis of Binding Reactions by Fluorescence Recovery after Photobleaching. Biophysical Journal. </w:t>
      </w:r>
      <w:hyperlink r:id="rId109" w:history="1">
        <w:r>
          <w:rPr>
            <w:color w:val="087B78"/>
            <w:sz w:val="20"/>
            <w:szCs w:val="20"/>
            <w:u w:val="single"/>
          </w:rPr>
          <w:t>10.1529/biophysj.103.026765</w:t>
        </w:r>
      </w:hyperlink>
    </w:p>
    <w:p w14:paraId="7F29BCF5" w14:textId="262BEE0E" w:rsidR="00FB38AD" w:rsidRDefault="00AE2D7E">
      <w:pPr>
        <w:keepLines/>
        <w:spacing w:after="90" w:line="245" w:lineRule="auto"/>
      </w:pPr>
      <w:r>
        <w:rPr>
          <w:b/>
          <w:bCs/>
          <w:sz w:val="20"/>
          <w:szCs w:val="20"/>
        </w:rPr>
        <w:t xml:space="preserve">[21] Anders S. Hansen, Maxime Woringer, Jonathan B. Grimm et al. (2018). </w:t>
      </w:r>
      <w:r>
        <w:rPr>
          <w:sz w:val="20"/>
          <w:szCs w:val="20"/>
        </w:rPr>
        <w:t xml:space="preserve">Robust model-based analysis of single-particle tracking experiments with Spot-On. eLife. </w:t>
      </w:r>
      <w:hyperlink r:id="rId110" w:history="1">
        <w:r>
          <w:rPr>
            <w:color w:val="087B78"/>
            <w:sz w:val="20"/>
            <w:szCs w:val="20"/>
            <w:u w:val="single"/>
          </w:rPr>
          <w:t>10.7554/eLife.33125</w:t>
        </w:r>
      </w:hyperlink>
    </w:p>
    <w:p w14:paraId="7F42F6FE" w14:textId="1CE14A43" w:rsidR="00FB38AD" w:rsidRDefault="00AE2D7E">
      <w:pPr>
        <w:keepLines/>
        <w:spacing w:after="90" w:line="245" w:lineRule="auto"/>
      </w:pPr>
      <w:r>
        <w:rPr>
          <w:b/>
          <w:bCs/>
          <w:sz w:val="20"/>
          <w:szCs w:val="20"/>
        </w:rPr>
        <w:t xml:space="preserve">[22] Todd M. Squires, Thomas G. Mason (2010). </w:t>
      </w:r>
      <w:r>
        <w:rPr>
          <w:sz w:val="20"/>
          <w:szCs w:val="20"/>
        </w:rPr>
        <w:t xml:space="preserve">Fluid Mechanics of Microrheology. Annual Review of Fluid Mechanics. </w:t>
      </w:r>
      <w:hyperlink r:id="rId111" w:history="1">
        <w:r>
          <w:rPr>
            <w:color w:val="087B78"/>
            <w:sz w:val="20"/>
            <w:szCs w:val="20"/>
            <w:u w:val="single"/>
          </w:rPr>
          <w:t>10.1146/annurev-fluid-121108-145608</w:t>
        </w:r>
      </w:hyperlink>
    </w:p>
    <w:p w14:paraId="470A5D64" w14:textId="08B16A39" w:rsidR="00FB38AD" w:rsidRDefault="00AE2D7E">
      <w:pPr>
        <w:keepLines/>
        <w:spacing w:after="90" w:line="245" w:lineRule="auto"/>
      </w:pPr>
      <w:r>
        <w:rPr>
          <w:b/>
          <w:bCs/>
          <w:sz w:val="20"/>
          <w:szCs w:val="20"/>
        </w:rPr>
        <w:t xml:space="preserve">[23] Ellen Juel Pørtner, Anna Mularski, Tobias William Jarrett, Stine Lauritzen Sønder, Jesper Nylandsted, Adam Cohen Simonsen (2025). </w:t>
      </w:r>
      <w:r>
        <w:rPr>
          <w:sz w:val="20"/>
          <w:szCs w:val="20"/>
        </w:rPr>
        <w:t xml:space="preserve">Viscoelastic differences between isolated and live MCF7 cancer cell nuclei resolved with AFM microrheology. Journal of the Royal Society Interface. </w:t>
      </w:r>
      <w:hyperlink r:id="rId112" w:history="1">
        <w:r>
          <w:rPr>
            <w:color w:val="087B78"/>
            <w:sz w:val="20"/>
            <w:szCs w:val="20"/>
            <w:u w:val="single"/>
          </w:rPr>
          <w:t>10.1098/rsif.2024.0885</w:t>
        </w:r>
      </w:hyperlink>
    </w:p>
    <w:p w14:paraId="73ADAD8D" w14:textId="7D87DD00" w:rsidR="00FB38AD" w:rsidRDefault="00AE2D7E">
      <w:pPr>
        <w:keepLines/>
        <w:spacing w:after="90" w:line="245" w:lineRule="auto"/>
      </w:pPr>
      <w:r>
        <w:rPr>
          <w:b/>
          <w:bCs/>
          <w:sz w:val="20"/>
          <w:szCs w:val="20"/>
        </w:rPr>
        <w:t xml:space="preserve">[24] Melissa Crisp, Qian Liu, Kyle Roux et al. (2006). </w:t>
      </w:r>
      <w:r>
        <w:rPr>
          <w:sz w:val="20"/>
          <w:szCs w:val="20"/>
        </w:rPr>
        <w:t xml:space="preserve">Coupling of the nucleus and cytoplasm: role of the LINC complex. Journal of Cell Biology. </w:t>
      </w:r>
      <w:hyperlink r:id="rId113" w:history="1">
        <w:r>
          <w:rPr>
            <w:color w:val="087B78"/>
            <w:sz w:val="20"/>
            <w:szCs w:val="20"/>
            <w:u w:val="single"/>
          </w:rPr>
          <w:t>10.1083/jcb.200509124</w:t>
        </w:r>
      </w:hyperlink>
    </w:p>
    <w:p w14:paraId="68E7ED76" w14:textId="1ECE1431" w:rsidR="00FB38AD" w:rsidRDefault="00AE2D7E">
      <w:pPr>
        <w:keepLines/>
        <w:spacing w:after="90" w:line="245" w:lineRule="auto"/>
      </w:pPr>
      <w:r>
        <w:rPr>
          <w:b/>
          <w:bCs/>
          <w:sz w:val="20"/>
          <w:szCs w:val="20"/>
        </w:rPr>
        <w:t xml:space="preserve">[25] Alberto Elosegui-Artola, Ion Andreu, Amy E. M. Beedle et al. (2017). </w:t>
      </w:r>
      <w:r>
        <w:rPr>
          <w:sz w:val="20"/>
          <w:szCs w:val="20"/>
        </w:rPr>
        <w:t xml:space="preserve">Force Triggers YAP Nuclear Entry by Regulating Transport across Nuclear Pores. Cell. </w:t>
      </w:r>
      <w:hyperlink r:id="rId114" w:history="1">
        <w:r>
          <w:rPr>
            <w:color w:val="087B78"/>
            <w:sz w:val="20"/>
            <w:szCs w:val="20"/>
            <w:u w:val="single"/>
          </w:rPr>
          <w:t>10.1016/j.cell.2017.10.008</w:t>
        </w:r>
      </w:hyperlink>
    </w:p>
    <w:p w14:paraId="248DAFCB" w14:textId="2B904899" w:rsidR="00FB38AD" w:rsidRDefault="00AE2D7E">
      <w:pPr>
        <w:keepLines/>
        <w:spacing w:after="90" w:line="245" w:lineRule="auto"/>
      </w:pPr>
      <w:r>
        <w:rPr>
          <w:b/>
          <w:bCs/>
          <w:sz w:val="20"/>
          <w:szCs w:val="20"/>
        </w:rPr>
        <w:t xml:space="preserve">[26] Yolanda Olmos, Lorna Hodgson, Judith Mantell, Paul Verkade, Jeremy G. Carlton (2015). </w:t>
      </w:r>
      <w:r>
        <w:rPr>
          <w:sz w:val="20"/>
          <w:szCs w:val="20"/>
        </w:rPr>
        <w:t xml:space="preserve">ESCRT-III controls nuclear envelope reformation. Nature. </w:t>
      </w:r>
      <w:hyperlink r:id="rId115" w:history="1">
        <w:r>
          <w:rPr>
            <w:color w:val="087B78"/>
            <w:sz w:val="20"/>
            <w:szCs w:val="20"/>
            <w:u w:val="single"/>
          </w:rPr>
          <w:t>10.1038/nature14503</w:t>
        </w:r>
      </w:hyperlink>
    </w:p>
    <w:p w14:paraId="6A9DD61C" w14:textId="32E3EFC9" w:rsidR="00FB38AD" w:rsidRDefault="00AE2D7E">
      <w:pPr>
        <w:keepLines/>
        <w:spacing w:after="90" w:line="245" w:lineRule="auto"/>
      </w:pPr>
      <w:r>
        <w:rPr>
          <w:b/>
          <w:bCs/>
          <w:sz w:val="20"/>
          <w:szCs w:val="20"/>
        </w:rPr>
        <w:t xml:space="preserve">[27] Patrick C. Hoffmann, Hyuntae Kim, Aleksandra Obarska-Kosińska et al. (2024). </w:t>
      </w:r>
      <w:r>
        <w:rPr>
          <w:sz w:val="20"/>
          <w:szCs w:val="20"/>
        </w:rPr>
        <w:t xml:space="preserve">Nuclear pore permeability and fluid flow are modulated by its dilation state. Molecular Cell. </w:t>
      </w:r>
      <w:hyperlink r:id="rId116" w:history="1">
        <w:r>
          <w:rPr>
            <w:color w:val="087B78"/>
            <w:sz w:val="20"/>
            <w:szCs w:val="20"/>
            <w:u w:val="single"/>
          </w:rPr>
          <w:t>10.1016/j.molcel.2024.11.038</w:t>
        </w:r>
      </w:hyperlink>
    </w:p>
    <w:p w14:paraId="442BE86F" w14:textId="666E3AD4" w:rsidR="00FB38AD" w:rsidRDefault="00AE2D7E">
      <w:pPr>
        <w:keepLines/>
        <w:spacing w:after="90" w:line="245" w:lineRule="auto"/>
      </w:pPr>
      <w:r>
        <w:rPr>
          <w:b/>
          <w:bCs/>
          <w:sz w:val="20"/>
          <w:szCs w:val="20"/>
        </w:rPr>
        <w:t xml:space="preserve">[28] Benjamin L. Timney, Barak Raveh, Roxana Mironska et al. (2016). </w:t>
      </w:r>
      <w:r>
        <w:rPr>
          <w:sz w:val="20"/>
          <w:szCs w:val="20"/>
        </w:rPr>
        <w:t xml:space="preserve">Simple rules for passive diffusion through the nuclear pore complex. Journal of Cell Biology. </w:t>
      </w:r>
      <w:hyperlink r:id="rId117" w:history="1">
        <w:r>
          <w:rPr>
            <w:color w:val="087B78"/>
            <w:sz w:val="20"/>
            <w:szCs w:val="20"/>
            <w:u w:val="single"/>
          </w:rPr>
          <w:t>10.1083/jcb.201601004</w:t>
        </w:r>
      </w:hyperlink>
    </w:p>
    <w:p w14:paraId="6380B241" w14:textId="2DFDCA2E" w:rsidR="00FB38AD" w:rsidRDefault="00AE2D7E">
      <w:pPr>
        <w:keepLines/>
        <w:spacing w:after="90" w:line="245" w:lineRule="auto"/>
      </w:pPr>
      <w:r>
        <w:rPr>
          <w:b/>
          <w:bCs/>
          <w:sz w:val="20"/>
          <w:szCs w:val="20"/>
        </w:rPr>
        <w:t xml:space="preserve">[29] Kaitlin P. McCreery, Aki Stubb, Rebecca Stephens et al. (2025). </w:t>
      </w:r>
      <w:r>
        <w:rPr>
          <w:sz w:val="20"/>
          <w:szCs w:val="20"/>
        </w:rPr>
        <w:t xml:space="preserve">Mechano-osmotic signals control chromatin state and fate transitions in pluripotent stem cells. Nature Cell Biology. </w:t>
      </w:r>
      <w:hyperlink r:id="rId118" w:history="1">
        <w:r>
          <w:rPr>
            <w:color w:val="087B78"/>
            <w:sz w:val="20"/>
            <w:szCs w:val="20"/>
            <w:u w:val="single"/>
          </w:rPr>
          <w:t>10.1038/s41556-025-01767-x</w:t>
        </w:r>
      </w:hyperlink>
    </w:p>
    <w:p w14:paraId="5B434FD6" w14:textId="77777777" w:rsidR="00FB38AD" w:rsidRDefault="00AE2D7E">
      <w:pPr>
        <w:pStyle w:val="Heading1"/>
      </w:pPr>
      <w:bookmarkStart w:id="12" w:name="_Toc242668367"/>
      <w:r>
        <w:t>Evidence scope</w:t>
      </w:r>
      <w:bookmarkEnd w:id="12"/>
    </w:p>
    <w:p w14:paraId="405AB7FB" w14:textId="77777777" w:rsidR="00FB38AD" w:rsidRDefault="00AE2D7E">
      <w:pPr>
        <w:keepLines/>
        <w:spacing w:after="160" w:line="270" w:lineRule="auto"/>
      </w:pPr>
      <w:r>
        <w:t>This review integrates published primary research with a foundational methods review where needed. Source access ranges from primary abstracts to the selected main Results and Methods identified in each reference record. It is a scholarly synthesis rather than an independent reanalysis of experimental data. Conclusions retain the biological system, measurement scale and model assumptions of the cited studies.</w:t>
      </w:r>
    </w:p>
    <w:sectPr w:rsidR="00FB38AD">
      <w:headerReference w:type="default" r:id="rId119"/>
      <w:footerReference w:type="default" r:id="rId120"/>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D2DEC" w14:textId="77777777" w:rsidR="00AE2D7E" w:rsidRDefault="00AE2D7E">
      <w:pPr>
        <w:spacing w:after="0" w:line="240" w:lineRule="auto"/>
      </w:pPr>
      <w:r>
        <w:separator/>
      </w:r>
    </w:p>
  </w:endnote>
  <w:endnote w:type="continuationSeparator" w:id="0">
    <w:p w14:paraId="1A9F4321" w14:textId="77777777" w:rsidR="00AE2D7E" w:rsidRDefault="00AE2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6CEB8" w14:textId="77777777" w:rsidR="00FB38AD" w:rsidRDefault="00AE2D7E">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EA3A73">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EA3A73">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5C51F" w14:textId="77777777" w:rsidR="00AE2D7E" w:rsidRDefault="00AE2D7E">
      <w:pPr>
        <w:spacing w:after="0" w:line="240" w:lineRule="auto"/>
      </w:pPr>
      <w:r>
        <w:separator/>
      </w:r>
    </w:p>
  </w:footnote>
  <w:footnote w:type="continuationSeparator" w:id="0">
    <w:p w14:paraId="63ED4C38" w14:textId="77777777" w:rsidR="00AE2D7E" w:rsidRDefault="00AE2D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6666B" w14:textId="77777777" w:rsidR="00FB38AD" w:rsidRDefault="00AE2D7E">
    <w:pPr>
      <w:pBdr>
        <w:bottom w:val="single" w:sz="4" w:space="0" w:color="B8D1D0"/>
      </w:pBdr>
    </w:pPr>
    <w:r>
      <w:rPr>
        <w:color w:val="527077"/>
        <w:sz w:val="17"/>
        <w:szCs w:val="17"/>
      </w:rPr>
      <w:t>Nuclear Biophysics: A Decade of Composite Mechanics and Molecular 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202FC"/>
    <w:multiLevelType w:val="hybridMultilevel"/>
    <w:tmpl w:val="2D7670DC"/>
    <w:lvl w:ilvl="0" w:tplc="2318CCD2">
      <w:start w:val="1"/>
      <w:numFmt w:val="bullet"/>
      <w:lvlText w:val="●"/>
      <w:lvlJc w:val="left"/>
      <w:pPr>
        <w:ind w:left="720" w:hanging="360"/>
      </w:pPr>
    </w:lvl>
    <w:lvl w:ilvl="1" w:tplc="20025032">
      <w:start w:val="1"/>
      <w:numFmt w:val="bullet"/>
      <w:lvlText w:val="○"/>
      <w:lvlJc w:val="left"/>
      <w:pPr>
        <w:ind w:left="1440" w:hanging="360"/>
      </w:pPr>
    </w:lvl>
    <w:lvl w:ilvl="2" w:tplc="0074DD98">
      <w:start w:val="1"/>
      <w:numFmt w:val="bullet"/>
      <w:lvlText w:val="■"/>
      <w:lvlJc w:val="left"/>
      <w:pPr>
        <w:ind w:left="2160" w:hanging="360"/>
      </w:pPr>
    </w:lvl>
    <w:lvl w:ilvl="3" w:tplc="9B7449FE">
      <w:start w:val="1"/>
      <w:numFmt w:val="bullet"/>
      <w:lvlText w:val="●"/>
      <w:lvlJc w:val="left"/>
      <w:pPr>
        <w:ind w:left="2880" w:hanging="360"/>
      </w:pPr>
    </w:lvl>
    <w:lvl w:ilvl="4" w:tplc="23B8D016">
      <w:start w:val="1"/>
      <w:numFmt w:val="bullet"/>
      <w:lvlText w:val="○"/>
      <w:lvlJc w:val="left"/>
      <w:pPr>
        <w:ind w:left="3600" w:hanging="360"/>
      </w:pPr>
    </w:lvl>
    <w:lvl w:ilvl="5" w:tplc="559A57DE">
      <w:start w:val="1"/>
      <w:numFmt w:val="bullet"/>
      <w:lvlText w:val="■"/>
      <w:lvlJc w:val="left"/>
      <w:pPr>
        <w:ind w:left="4320" w:hanging="360"/>
      </w:pPr>
    </w:lvl>
    <w:lvl w:ilvl="6" w:tplc="47ECA7A4">
      <w:start w:val="1"/>
      <w:numFmt w:val="bullet"/>
      <w:lvlText w:val="●"/>
      <w:lvlJc w:val="left"/>
      <w:pPr>
        <w:ind w:left="5040" w:hanging="360"/>
      </w:pPr>
    </w:lvl>
    <w:lvl w:ilvl="7" w:tplc="AED6CAE0">
      <w:start w:val="1"/>
      <w:numFmt w:val="bullet"/>
      <w:lvlText w:val="●"/>
      <w:lvlJc w:val="left"/>
      <w:pPr>
        <w:ind w:left="5760" w:hanging="360"/>
      </w:pPr>
    </w:lvl>
    <w:lvl w:ilvl="8" w:tplc="9864A81A">
      <w:start w:val="1"/>
      <w:numFmt w:val="bullet"/>
      <w:lvlText w:val="●"/>
      <w:lvlJc w:val="left"/>
      <w:pPr>
        <w:ind w:left="6480" w:hanging="360"/>
      </w:pPr>
    </w:lvl>
  </w:abstractNum>
  <w:abstractNum w:abstractNumId="1" w15:restartNumberingAfterBreak="0">
    <w:nsid w:val="743143EB"/>
    <w:multiLevelType w:val="hybridMultilevel"/>
    <w:tmpl w:val="86A26F3C"/>
    <w:lvl w:ilvl="0" w:tplc="E33E7AEA">
      <w:start w:val="1"/>
      <w:numFmt w:val="bullet"/>
      <w:lvlText w:val="•"/>
      <w:lvlJc w:val="left"/>
      <w:pPr>
        <w:ind w:left="340" w:hanging="170"/>
      </w:pPr>
    </w:lvl>
    <w:lvl w:ilvl="1" w:tplc="DDBE8586">
      <w:numFmt w:val="decimal"/>
      <w:lvlText w:val=""/>
      <w:lvlJc w:val="left"/>
    </w:lvl>
    <w:lvl w:ilvl="2" w:tplc="C6FA0C44">
      <w:numFmt w:val="decimal"/>
      <w:lvlText w:val=""/>
      <w:lvlJc w:val="left"/>
    </w:lvl>
    <w:lvl w:ilvl="3" w:tplc="EBD84602">
      <w:numFmt w:val="decimal"/>
      <w:lvlText w:val=""/>
      <w:lvlJc w:val="left"/>
    </w:lvl>
    <w:lvl w:ilvl="4" w:tplc="0C100528">
      <w:numFmt w:val="decimal"/>
      <w:lvlText w:val=""/>
      <w:lvlJc w:val="left"/>
    </w:lvl>
    <w:lvl w:ilvl="5" w:tplc="2BA00E38">
      <w:numFmt w:val="decimal"/>
      <w:lvlText w:val=""/>
      <w:lvlJc w:val="left"/>
    </w:lvl>
    <w:lvl w:ilvl="6" w:tplc="D1789C16">
      <w:numFmt w:val="decimal"/>
      <w:lvlText w:val=""/>
      <w:lvlJc w:val="left"/>
    </w:lvl>
    <w:lvl w:ilvl="7" w:tplc="8528B9C2">
      <w:numFmt w:val="decimal"/>
      <w:lvlText w:val=""/>
      <w:lvlJc w:val="left"/>
    </w:lvl>
    <w:lvl w:ilvl="8" w:tplc="BCBE62C6">
      <w:numFmt w:val="decimal"/>
      <w:lvlText w:val=""/>
      <w:lvlJc w:val="left"/>
    </w:lvl>
  </w:abstractNum>
  <w:num w:numId="1" w16cid:durableId="1144196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8AD"/>
    <w:rsid w:val="001E4A91"/>
    <w:rsid w:val="00AE2D7E"/>
    <w:rsid w:val="00EA3A73"/>
    <w:rsid w:val="00FB3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F54EA6"/>
  <w15:docId w15:val="{200025F3-8124-45CC-9BA4-CA9F41CCA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EA3A7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126/science.abm9798" TargetMode="External"/><Relationship Id="rId117" Type="http://schemas.openxmlformats.org/officeDocument/2006/relationships/hyperlink" Target="https://doi.org/10.1083/jcb.201601004" TargetMode="External"/><Relationship Id="rId21" Type="http://schemas.openxmlformats.org/officeDocument/2006/relationships/hyperlink" Target="https://doi.org/10.1091/mbc.E16-09-0653" TargetMode="External"/><Relationship Id="rId42" Type="http://schemas.openxmlformats.org/officeDocument/2006/relationships/hyperlink" Target="https://doi.org/10.1146/annurev-fluid-121108-145608" TargetMode="External"/><Relationship Id="rId47" Type="http://schemas.openxmlformats.org/officeDocument/2006/relationships/hyperlink" Target="https://doi.org/10.1098/rsif.2024.0885" TargetMode="External"/><Relationship Id="rId63" Type="http://schemas.openxmlformats.org/officeDocument/2006/relationships/hyperlink" Target="https://doi.org/10.1038/nature21382" TargetMode="External"/><Relationship Id="rId68" Type="http://schemas.openxmlformats.org/officeDocument/2006/relationships/hyperlink" Target="https://doi.org/10.1529/biophysj.103.026765" TargetMode="External"/><Relationship Id="rId84" Type="http://schemas.openxmlformats.org/officeDocument/2006/relationships/hyperlink" Target="https://doi.org/10.1016/j.cell.2017.10.008" TargetMode="External"/><Relationship Id="rId89" Type="http://schemas.openxmlformats.org/officeDocument/2006/relationships/hyperlink" Target="https://doi.org/10.1038/s41556-025-01822-7" TargetMode="External"/><Relationship Id="rId112" Type="http://schemas.openxmlformats.org/officeDocument/2006/relationships/hyperlink" Target="https://doi.org/10.1098/rsif.2024.0885" TargetMode="External"/><Relationship Id="rId16" Type="http://schemas.openxmlformats.org/officeDocument/2006/relationships/hyperlink" Target="https://doi.org/10.1038/s41467-024-54120-5" TargetMode="External"/><Relationship Id="rId107" Type="http://schemas.openxmlformats.org/officeDocument/2006/relationships/hyperlink" Target="https://doi.org/10.1038/nature12316" TargetMode="External"/><Relationship Id="rId11" Type="http://schemas.openxmlformats.org/officeDocument/2006/relationships/hyperlink" Target="https://doi.org/10.1016/j.bpj.2024.11.3322" TargetMode="External"/><Relationship Id="rId32" Type="http://schemas.openxmlformats.org/officeDocument/2006/relationships/hyperlink" Target="https://doi.org/10.1091/mbc.E16-09-0653" TargetMode="External"/><Relationship Id="rId37" Type="http://schemas.openxmlformats.org/officeDocument/2006/relationships/hyperlink" Target="https://doi.org/10.1038/emboj.2009.340" TargetMode="External"/><Relationship Id="rId53" Type="http://schemas.openxmlformats.org/officeDocument/2006/relationships/hyperlink" Target="https://doi.org/10.1016/j.molcel.2024.11.038" TargetMode="External"/><Relationship Id="rId58" Type="http://schemas.openxmlformats.org/officeDocument/2006/relationships/hyperlink" Target="https://doi.org/10.1038/s41467-024-54120-5" TargetMode="External"/><Relationship Id="rId74" Type="http://schemas.openxmlformats.org/officeDocument/2006/relationships/hyperlink" Target="https://doi.org/10.1038/s41467-024-54120-5" TargetMode="External"/><Relationship Id="rId79" Type="http://schemas.openxmlformats.org/officeDocument/2006/relationships/hyperlink" Target="https://doi.org/10.1038/s41556-025-01822-7" TargetMode="External"/><Relationship Id="rId102" Type="http://schemas.openxmlformats.org/officeDocument/2006/relationships/hyperlink" Target="https://doi.org/10.1088/0953-8984/27/6/064115" TargetMode="External"/><Relationship Id="rId5" Type="http://schemas.openxmlformats.org/officeDocument/2006/relationships/footnotes" Target="footnotes.xml"/><Relationship Id="rId90" Type="http://schemas.openxmlformats.org/officeDocument/2006/relationships/hyperlink" Target="https://doi.org/10.1091/mbc.E16-09-0653" TargetMode="External"/><Relationship Id="rId95" Type="http://schemas.openxmlformats.org/officeDocument/2006/relationships/hyperlink" Target="https://doi.org/10.1038/s41467-025-62605-0" TargetMode="External"/><Relationship Id="rId22" Type="http://schemas.openxmlformats.org/officeDocument/2006/relationships/hyperlink" Target="https://doi.org/10.1093/nar/gkaf763" TargetMode="External"/><Relationship Id="rId27" Type="http://schemas.openxmlformats.org/officeDocument/2006/relationships/hyperlink" Target="https://doi.org/10.1126/science.abm9129" TargetMode="External"/><Relationship Id="rId43" Type="http://schemas.openxmlformats.org/officeDocument/2006/relationships/hyperlink" Target="https://doi.org/10.1038/s41467-024-54120-5" TargetMode="External"/><Relationship Id="rId48" Type="http://schemas.openxmlformats.org/officeDocument/2006/relationships/hyperlink" Target="https://doi.org/10.1083/jcb.200509124" TargetMode="External"/><Relationship Id="rId64" Type="http://schemas.openxmlformats.org/officeDocument/2006/relationships/hyperlink" Target="https://doi.org/10.1126/science.abm9798" TargetMode="External"/><Relationship Id="rId69" Type="http://schemas.openxmlformats.org/officeDocument/2006/relationships/hyperlink" Target="https://doi.org/10.1016/j.celrep.2024.114462" TargetMode="External"/><Relationship Id="rId113" Type="http://schemas.openxmlformats.org/officeDocument/2006/relationships/hyperlink" Target="https://doi.org/10.1083/jcb.200509124" TargetMode="External"/><Relationship Id="rId118" Type="http://schemas.openxmlformats.org/officeDocument/2006/relationships/hyperlink" Target="https://doi.org/10.1038/s41556-025-01767-x" TargetMode="External"/><Relationship Id="rId80" Type="http://schemas.openxmlformats.org/officeDocument/2006/relationships/hyperlink" Target="https://doi.org/10.1098/rsif.2024.0885" TargetMode="External"/><Relationship Id="rId85" Type="http://schemas.openxmlformats.org/officeDocument/2006/relationships/hyperlink" Target="https://doi.org/10.1093/nar/gkaf763" TargetMode="External"/><Relationship Id="rId12" Type="http://schemas.openxmlformats.org/officeDocument/2006/relationships/hyperlink" Target="https://doi.org/10.1038/s41467-025-62605-0" TargetMode="External"/><Relationship Id="rId17" Type="http://schemas.openxmlformats.org/officeDocument/2006/relationships/hyperlink" Target="https://doi.org/10.1083/jcb.202409120" TargetMode="External"/><Relationship Id="rId33" Type="http://schemas.openxmlformats.org/officeDocument/2006/relationships/hyperlink" Target="https://doi.org/10.1016/j.celrep.2024.114852" TargetMode="External"/><Relationship Id="rId38" Type="http://schemas.openxmlformats.org/officeDocument/2006/relationships/hyperlink" Target="https://doi.org/10.1529/biophysj.103.026765" TargetMode="External"/><Relationship Id="rId59" Type="http://schemas.openxmlformats.org/officeDocument/2006/relationships/hyperlink" Target="https://doi.org/10.1126/science.aad7297" TargetMode="External"/><Relationship Id="rId103" Type="http://schemas.openxmlformats.org/officeDocument/2006/relationships/hyperlink" Target="https://doi.org/10.1038/nature21382" TargetMode="External"/><Relationship Id="rId108" Type="http://schemas.openxmlformats.org/officeDocument/2006/relationships/hyperlink" Target="https://doi.org/10.1038/emboj.2009.340" TargetMode="External"/><Relationship Id="rId54" Type="http://schemas.openxmlformats.org/officeDocument/2006/relationships/hyperlink" Target="https://doi.org/10.1083/jcb.202409120" TargetMode="External"/><Relationship Id="rId70" Type="http://schemas.openxmlformats.org/officeDocument/2006/relationships/hyperlink" Target="https://doi.org/10.1091/mbc.E16-09-0653" TargetMode="External"/><Relationship Id="rId75" Type="http://schemas.openxmlformats.org/officeDocument/2006/relationships/hyperlink" Target="https://doi.org/10.1016/j.cell.2017.10.008" TargetMode="External"/><Relationship Id="rId91" Type="http://schemas.openxmlformats.org/officeDocument/2006/relationships/hyperlink" Target="https://doi.org/10.1016/j.cell.2016.04.047" TargetMode="External"/><Relationship Id="rId96" Type="http://schemas.openxmlformats.org/officeDocument/2006/relationships/hyperlink" Target="https://doi.org/10.1016/j.celrep.2024.114852"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i.org/10.1038/s41467-024-54120-5" TargetMode="External"/><Relationship Id="rId28" Type="http://schemas.openxmlformats.org/officeDocument/2006/relationships/hyperlink" Target="https://doi.org/10.1083/jcb.202409120" TargetMode="External"/><Relationship Id="rId49" Type="http://schemas.openxmlformats.org/officeDocument/2006/relationships/hyperlink" Target="https://doi.org/10.1016/j.cell.2017.10.008" TargetMode="External"/><Relationship Id="rId114" Type="http://schemas.openxmlformats.org/officeDocument/2006/relationships/hyperlink" Target="https://doi.org/10.1016/j.cell.2017.10.008" TargetMode="External"/><Relationship Id="rId119" Type="http://schemas.openxmlformats.org/officeDocument/2006/relationships/header" Target="header1.xml"/><Relationship Id="rId44" Type="http://schemas.openxmlformats.org/officeDocument/2006/relationships/hyperlink" Target="https://doi.org/10.1038/s41467-024-54120-5" TargetMode="External"/><Relationship Id="rId60" Type="http://schemas.openxmlformats.org/officeDocument/2006/relationships/hyperlink" Target="https://doi.org/10.1038/s41467-025-62605-0" TargetMode="External"/><Relationship Id="rId65" Type="http://schemas.openxmlformats.org/officeDocument/2006/relationships/hyperlink" Target="https://doi.org/10.1126/science.abm9129" TargetMode="External"/><Relationship Id="rId81" Type="http://schemas.openxmlformats.org/officeDocument/2006/relationships/hyperlink" Target="https://doi.org/10.1091/mbc.E16-09-0653" TargetMode="External"/><Relationship Id="rId86" Type="http://schemas.openxmlformats.org/officeDocument/2006/relationships/hyperlink" Target="https://doi.org/10.1016/j.bpj.2024.11.3322" TargetMode="External"/><Relationship Id="rId4" Type="http://schemas.openxmlformats.org/officeDocument/2006/relationships/webSettings" Target="webSettings.xml"/><Relationship Id="rId9" Type="http://schemas.openxmlformats.org/officeDocument/2006/relationships/hyperlink" Target="https://doi.org/10.1126/science.aad7297" TargetMode="External"/><Relationship Id="rId13" Type="http://schemas.openxmlformats.org/officeDocument/2006/relationships/hyperlink" Target="https://doi.org/10.1016/j.celrep.2024.114852" TargetMode="External"/><Relationship Id="rId18" Type="http://schemas.openxmlformats.org/officeDocument/2006/relationships/hyperlink" Target="https://doi.org/10.1371/journal.pone.0005041" TargetMode="External"/><Relationship Id="rId39" Type="http://schemas.openxmlformats.org/officeDocument/2006/relationships/hyperlink" Target="https://doi.org/10.7554/eLife.33125" TargetMode="External"/><Relationship Id="rId109" Type="http://schemas.openxmlformats.org/officeDocument/2006/relationships/hyperlink" Target="https://doi.org/10.1529/biophysj.103.026765" TargetMode="External"/><Relationship Id="rId34" Type="http://schemas.openxmlformats.org/officeDocument/2006/relationships/hyperlink" Target="https://doi.org/10.1093/nar/gkaf763" TargetMode="External"/><Relationship Id="rId50" Type="http://schemas.openxmlformats.org/officeDocument/2006/relationships/hyperlink" Target="https://doi.org/10.1126/science.aad7297" TargetMode="External"/><Relationship Id="rId55" Type="http://schemas.openxmlformats.org/officeDocument/2006/relationships/hyperlink" Target="https://doi.org/10.1038/s41556-025-01822-7" TargetMode="External"/><Relationship Id="rId76" Type="http://schemas.openxmlformats.org/officeDocument/2006/relationships/hyperlink" Target="https://doi.org/10.1083/jcb.201601004" TargetMode="External"/><Relationship Id="rId97" Type="http://schemas.openxmlformats.org/officeDocument/2006/relationships/hyperlink" Target="https://doi.org/10.1093/nar/gkaf763" TargetMode="External"/><Relationship Id="rId104" Type="http://schemas.openxmlformats.org/officeDocument/2006/relationships/hyperlink" Target="https://doi.org/10.1126/science.abm9798" TargetMode="External"/><Relationship Id="rId120" Type="http://schemas.openxmlformats.org/officeDocument/2006/relationships/footer" Target="footer1.xml"/><Relationship Id="rId7" Type="http://schemas.openxmlformats.org/officeDocument/2006/relationships/hyperlink" Target="https://doi.org/10.1091/mbc.E16-09-0653" TargetMode="External"/><Relationship Id="rId71" Type="http://schemas.openxmlformats.org/officeDocument/2006/relationships/hyperlink" Target="https://doi.org/10.1016/j.celrep.2024.114852" TargetMode="External"/><Relationship Id="rId92" Type="http://schemas.openxmlformats.org/officeDocument/2006/relationships/hyperlink" Target="https://doi.org/10.1126/science.aad7297" TargetMode="External"/><Relationship Id="rId2" Type="http://schemas.openxmlformats.org/officeDocument/2006/relationships/styles" Target="styles.xml"/><Relationship Id="rId29" Type="http://schemas.openxmlformats.org/officeDocument/2006/relationships/hyperlink" Target="https://doi.org/10.1038/nature06947" TargetMode="External"/><Relationship Id="rId24" Type="http://schemas.openxmlformats.org/officeDocument/2006/relationships/hyperlink" Target="https://doi.org/10.1016/j.cell.2016.04.047" TargetMode="External"/><Relationship Id="rId40" Type="http://schemas.openxmlformats.org/officeDocument/2006/relationships/hyperlink" Target="https://doi.org/10.1038/emboj.2009.340" TargetMode="External"/><Relationship Id="rId45" Type="http://schemas.openxmlformats.org/officeDocument/2006/relationships/hyperlink" Target="https://doi.org/10.1016/j.celrep.2024.114462" TargetMode="External"/><Relationship Id="rId66" Type="http://schemas.openxmlformats.org/officeDocument/2006/relationships/hyperlink" Target="https://doi.org/10.1371/journal.pone.0005041" TargetMode="External"/><Relationship Id="rId87" Type="http://schemas.openxmlformats.org/officeDocument/2006/relationships/hyperlink" Target="https://doi.org/10.1038/s41467-024-54120-5" TargetMode="External"/><Relationship Id="rId110" Type="http://schemas.openxmlformats.org/officeDocument/2006/relationships/hyperlink" Target="https://doi.org/10.7554/eLife.33125" TargetMode="External"/><Relationship Id="rId115" Type="http://schemas.openxmlformats.org/officeDocument/2006/relationships/hyperlink" Target="https://doi.org/10.1038/nature14503" TargetMode="External"/><Relationship Id="rId61" Type="http://schemas.openxmlformats.org/officeDocument/2006/relationships/hyperlink" Target="https://doi.org/10.1016/j.bpj.2024.11.3322" TargetMode="External"/><Relationship Id="rId82" Type="http://schemas.openxmlformats.org/officeDocument/2006/relationships/hyperlink" Target="https://doi.org/10.1371/journal.pone.0005041" TargetMode="External"/><Relationship Id="rId19" Type="http://schemas.openxmlformats.org/officeDocument/2006/relationships/hyperlink" Target="https://doi.org/10.1088/0953-8984/27/6/064115" TargetMode="External"/><Relationship Id="rId14" Type="http://schemas.openxmlformats.org/officeDocument/2006/relationships/hyperlink" Target="https://doi.org/10.1093/nar/gkaf763" TargetMode="External"/><Relationship Id="rId30" Type="http://schemas.openxmlformats.org/officeDocument/2006/relationships/hyperlink" Target="https://doi.org/10.1038/nature12316" TargetMode="External"/><Relationship Id="rId35" Type="http://schemas.openxmlformats.org/officeDocument/2006/relationships/hyperlink" Target="https://doi.org/10.1371/journal.pone.0005041" TargetMode="External"/><Relationship Id="rId56" Type="http://schemas.openxmlformats.org/officeDocument/2006/relationships/hyperlink" Target="https://doi.org/10.1093/nar/gkaf763" TargetMode="External"/><Relationship Id="rId77" Type="http://schemas.openxmlformats.org/officeDocument/2006/relationships/hyperlink" Target="https://doi.org/10.1016/j.molcel.2024.11.038" TargetMode="External"/><Relationship Id="rId100" Type="http://schemas.openxmlformats.org/officeDocument/2006/relationships/hyperlink" Target="https://doi.org/10.1083/jcb.202409120" TargetMode="External"/><Relationship Id="rId105" Type="http://schemas.openxmlformats.org/officeDocument/2006/relationships/hyperlink" Target="https://doi.org/10.1126/science.abm9129" TargetMode="External"/><Relationship Id="rId8" Type="http://schemas.openxmlformats.org/officeDocument/2006/relationships/hyperlink" Target="https://doi.org/10.1016/j.cell.2016.04.047" TargetMode="External"/><Relationship Id="rId51" Type="http://schemas.openxmlformats.org/officeDocument/2006/relationships/hyperlink" Target="https://doi.org/10.1038/nature14503" TargetMode="External"/><Relationship Id="rId72" Type="http://schemas.openxmlformats.org/officeDocument/2006/relationships/hyperlink" Target="https://doi.org/10.1016/j.bpj.2024.11.3322" TargetMode="External"/><Relationship Id="rId93" Type="http://schemas.openxmlformats.org/officeDocument/2006/relationships/hyperlink" Target="https://doi.org/10.1016/j.celrep.2024.114462" TargetMode="External"/><Relationship Id="rId98" Type="http://schemas.openxmlformats.org/officeDocument/2006/relationships/hyperlink" Target="https://doi.org/10.1038/s41556-025-01822-7"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doi.org/10.1038/nature21382" TargetMode="External"/><Relationship Id="rId46" Type="http://schemas.openxmlformats.org/officeDocument/2006/relationships/hyperlink" Target="https://doi.org/10.1016/j.bpj.2024.11.3322" TargetMode="External"/><Relationship Id="rId67" Type="http://schemas.openxmlformats.org/officeDocument/2006/relationships/hyperlink" Target="https://doi.org/10.7554/eLife.33125" TargetMode="External"/><Relationship Id="rId116" Type="http://schemas.openxmlformats.org/officeDocument/2006/relationships/hyperlink" Target="https://doi.org/10.1016/j.molcel.2024.11.038" TargetMode="External"/><Relationship Id="rId20" Type="http://schemas.openxmlformats.org/officeDocument/2006/relationships/hyperlink" Target="https://doi.org/10.1016/j.cell.2016.04.047" TargetMode="External"/><Relationship Id="rId41" Type="http://schemas.openxmlformats.org/officeDocument/2006/relationships/hyperlink" Target="https://doi.org/10.1016/j.cell.2016.04.047" TargetMode="External"/><Relationship Id="rId62" Type="http://schemas.openxmlformats.org/officeDocument/2006/relationships/hyperlink" Target="https://doi.org/10.1016/j.celrep.2024.114462" TargetMode="External"/><Relationship Id="rId83" Type="http://schemas.openxmlformats.org/officeDocument/2006/relationships/hyperlink" Target="https://doi.org/10.1083/jcb.202409120" TargetMode="External"/><Relationship Id="rId88" Type="http://schemas.openxmlformats.org/officeDocument/2006/relationships/hyperlink" Target="https://doi.org/10.1038/s41467-025-62605-0" TargetMode="External"/><Relationship Id="rId111" Type="http://schemas.openxmlformats.org/officeDocument/2006/relationships/hyperlink" Target="https://doi.org/10.1146/annurev-fluid-121108-145608" TargetMode="External"/><Relationship Id="rId15" Type="http://schemas.openxmlformats.org/officeDocument/2006/relationships/hyperlink" Target="https://doi.org/10.1038/s41556-025-01822-7" TargetMode="External"/><Relationship Id="rId36" Type="http://schemas.openxmlformats.org/officeDocument/2006/relationships/hyperlink" Target="https://doi.org/10.1088/0953-8984/27/6/064115" TargetMode="External"/><Relationship Id="rId57" Type="http://schemas.openxmlformats.org/officeDocument/2006/relationships/hyperlink" Target="https://doi.org/10.1038/s41556-025-01767-x" TargetMode="External"/><Relationship Id="rId106" Type="http://schemas.openxmlformats.org/officeDocument/2006/relationships/hyperlink" Target="https://doi.org/10.1038/nature06947" TargetMode="External"/><Relationship Id="rId10" Type="http://schemas.openxmlformats.org/officeDocument/2006/relationships/hyperlink" Target="https://doi.org/10.1016/j.celrep.2024.114462" TargetMode="External"/><Relationship Id="rId31" Type="http://schemas.openxmlformats.org/officeDocument/2006/relationships/hyperlink" Target="https://doi.org/10.1038/s41556-025-01822-7" TargetMode="External"/><Relationship Id="rId52" Type="http://schemas.openxmlformats.org/officeDocument/2006/relationships/hyperlink" Target="https://doi.org/10.1038/s41467-025-62605-0" TargetMode="External"/><Relationship Id="rId73" Type="http://schemas.openxmlformats.org/officeDocument/2006/relationships/hyperlink" Target="https://doi.org/10.1016/j.cell.2016.04.047" TargetMode="External"/><Relationship Id="rId78" Type="http://schemas.openxmlformats.org/officeDocument/2006/relationships/hyperlink" Target="https://doi.org/10.1038/nature06947" TargetMode="External"/><Relationship Id="rId94" Type="http://schemas.openxmlformats.org/officeDocument/2006/relationships/hyperlink" Target="https://doi.org/10.1016/j.bpj.2024.11.3322" TargetMode="External"/><Relationship Id="rId99" Type="http://schemas.openxmlformats.org/officeDocument/2006/relationships/hyperlink" Target="https://doi.org/10.1038/s41467-024-54120-5" TargetMode="External"/><Relationship Id="rId101" Type="http://schemas.openxmlformats.org/officeDocument/2006/relationships/hyperlink" Target="https://doi.org/10.1371/journal.pone.0005041"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3155</Words>
  <Characters>20866</Characters>
  <Application>Microsoft Office Word</Application>
  <DocSecurity>0</DocSecurity>
  <Lines>330</Lines>
  <Paragraphs>107</Paragraphs>
  <ScaleCrop>false</ScaleCrop>
  <Company/>
  <LinksUpToDate>false</LinksUpToDate>
  <CharactersWithSpaces>23910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Biophysics: A Decade of Composite Mechanics and Molecular Organization</dc:title>
  <dc:subject>Integrated structural, transport and force-based evidence through 2026</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2026-10-12T09:32:00Z</dcterms:modified>
</cp:coreProperties>
</file>