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9488" w14:textId="77777777" w:rsidR="006E2974" w:rsidRDefault="008C3B4E">
      <w:pPr>
        <w:pStyle w:val="Title"/>
      </w:pPr>
      <w:r>
        <w:t>Nuclear Bodies: Molecular Assembly and Compartment-Specific Function</w:t>
      </w:r>
    </w:p>
    <w:p w14:paraId="23F4DCA1" w14:textId="77777777" w:rsidR="006E2974" w:rsidRDefault="008C3B4E">
      <w:pPr>
        <w:pStyle w:val="Subtitle"/>
      </w:pPr>
      <w:r>
        <w:t>A comparative synthesis of nucleoli, speckles, paraspeckles, Cajal bodies and PML bodies</w:t>
      </w:r>
    </w:p>
    <w:p w14:paraId="03C0E150" w14:textId="77777777" w:rsidR="006E2974" w:rsidRDefault="008C3B4E">
      <w:pPr>
        <w:spacing w:before="200" w:after="320"/>
      </w:pPr>
      <w:r>
        <w:rPr>
          <w:color w:val="087B78"/>
          <w:sz w:val="20"/>
          <w:szCs w:val="20"/>
        </w:rPr>
        <w:t>CellNucleus · Current research review · 12 October 2026</w:t>
      </w:r>
    </w:p>
    <w:p w14:paraId="19905EDB" w14:textId="77777777" w:rsidR="006E2974" w:rsidRDefault="008C3B4E">
      <w:pPr>
        <w:pStyle w:val="Heading1"/>
      </w:pPr>
      <w:bookmarkStart w:id="0" w:name="_Toc242668359"/>
      <w:r>
        <w:t>Abstract</w:t>
      </w:r>
      <w:bookmarkEnd w:id="0"/>
    </w:p>
    <w:p w14:paraId="5293B227" w14:textId="2281D5DD" w:rsidR="006E2974" w:rsidRDefault="008C3B4E">
      <w:r>
        <w:t>Nuclear bodies organize proteins and RNAs without requiring a delimiting lipid membrane. Their molecular identities, assembly routes, physical properties and biological functions are related but distinct. RNA production and processing shape the nucleolus and paraspeckles; protein networks organize speckles and PML bodies; RNP demand and coilin interactions shape Cajal bodies. Current primary studies support a comparative framework in which local concentration and selective access contribute to particular re</w:t>
      </w:r>
      <w:r>
        <w:t>actions, while no single scaffold, material state or essentiality rule explains all bodies.</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p>
    <w:p w14:paraId="07265DA9" w14:textId="77777777" w:rsidR="006E2974" w:rsidRDefault="008C3B4E">
      <w:pPr>
        <w:pageBreakBefore/>
        <w:spacing w:before="330"/>
      </w:pPr>
      <w:r>
        <w:rPr>
          <w:b/>
          <w:bCs/>
          <w:color w:val="173B4C"/>
          <w:sz w:val="32"/>
          <w:szCs w:val="32"/>
        </w:rPr>
        <w:lastRenderedPageBreak/>
        <w:t>Contents</w:t>
      </w:r>
    </w:p>
    <w:sdt>
      <w:sdtPr>
        <w:alias w:val="Contents"/>
        <w:id w:val="-1195995680"/>
      </w:sdtPr>
      <w:sdtEndPr/>
      <w:sdtContent>
        <w:p w14:paraId="276296D8" w14:textId="7D76E1CB" w:rsidR="00E974E8" w:rsidRDefault="008C3B4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59" w:history="1">
            <w:r w:rsidR="00E974E8" w:rsidRPr="00790D41">
              <w:rPr>
                <w:rStyle w:val="Hyperlink"/>
                <w:noProof/>
              </w:rPr>
              <w:t>Abstract</w:t>
            </w:r>
            <w:r w:rsidR="00E974E8">
              <w:rPr>
                <w:noProof/>
              </w:rPr>
              <w:tab/>
            </w:r>
            <w:r w:rsidR="00E974E8">
              <w:rPr>
                <w:noProof/>
              </w:rPr>
              <w:fldChar w:fldCharType="begin"/>
            </w:r>
            <w:r w:rsidR="00E974E8">
              <w:rPr>
                <w:noProof/>
              </w:rPr>
              <w:instrText xml:space="preserve"> PAGEREF _Toc242668359 \h </w:instrText>
            </w:r>
            <w:r w:rsidR="00E974E8">
              <w:rPr>
                <w:noProof/>
              </w:rPr>
            </w:r>
            <w:r w:rsidR="00E974E8">
              <w:rPr>
                <w:noProof/>
              </w:rPr>
              <w:fldChar w:fldCharType="separate"/>
            </w:r>
            <w:r w:rsidR="00E974E8">
              <w:rPr>
                <w:noProof/>
              </w:rPr>
              <w:t>1</w:t>
            </w:r>
            <w:r w:rsidR="00E974E8">
              <w:rPr>
                <w:noProof/>
              </w:rPr>
              <w:fldChar w:fldCharType="end"/>
            </w:r>
          </w:hyperlink>
        </w:p>
        <w:p w14:paraId="0C41A0BB" w14:textId="12E4F1AA"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0" w:history="1">
            <w:r w:rsidRPr="00790D41">
              <w:rPr>
                <w:rStyle w:val="Hyperlink"/>
                <w:noProof/>
              </w:rPr>
              <w:t>1. Compartmentalization as a molecular problem</w:t>
            </w:r>
            <w:r>
              <w:rPr>
                <w:noProof/>
              </w:rPr>
              <w:tab/>
            </w:r>
            <w:r>
              <w:rPr>
                <w:noProof/>
              </w:rPr>
              <w:fldChar w:fldCharType="begin"/>
            </w:r>
            <w:r>
              <w:rPr>
                <w:noProof/>
              </w:rPr>
              <w:instrText xml:space="preserve"> PAGEREF _Toc242668360 \h </w:instrText>
            </w:r>
            <w:r>
              <w:rPr>
                <w:noProof/>
              </w:rPr>
            </w:r>
            <w:r>
              <w:rPr>
                <w:noProof/>
              </w:rPr>
              <w:fldChar w:fldCharType="separate"/>
            </w:r>
            <w:r>
              <w:rPr>
                <w:noProof/>
              </w:rPr>
              <w:t>2</w:t>
            </w:r>
            <w:r>
              <w:rPr>
                <w:noProof/>
              </w:rPr>
              <w:fldChar w:fldCharType="end"/>
            </w:r>
          </w:hyperlink>
        </w:p>
        <w:p w14:paraId="4CBFEB9E" w14:textId="4CD4C707"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1" w:history="1">
            <w:r w:rsidRPr="00790D41">
              <w:rPr>
                <w:rStyle w:val="Hyperlink"/>
                <w:noProof/>
              </w:rPr>
              <w:t>2. RNA can be an architectural substrate</w:t>
            </w:r>
            <w:r>
              <w:rPr>
                <w:noProof/>
              </w:rPr>
              <w:tab/>
            </w:r>
            <w:r>
              <w:rPr>
                <w:noProof/>
              </w:rPr>
              <w:fldChar w:fldCharType="begin"/>
            </w:r>
            <w:r>
              <w:rPr>
                <w:noProof/>
              </w:rPr>
              <w:instrText xml:space="preserve"> PAGEREF _Toc242668361 \h </w:instrText>
            </w:r>
            <w:r>
              <w:rPr>
                <w:noProof/>
              </w:rPr>
            </w:r>
            <w:r>
              <w:rPr>
                <w:noProof/>
              </w:rPr>
              <w:fldChar w:fldCharType="separate"/>
            </w:r>
            <w:r>
              <w:rPr>
                <w:noProof/>
              </w:rPr>
              <w:t>3</w:t>
            </w:r>
            <w:r>
              <w:rPr>
                <w:noProof/>
              </w:rPr>
              <w:fldChar w:fldCharType="end"/>
            </w:r>
          </w:hyperlink>
        </w:p>
        <w:p w14:paraId="79BEE363" w14:textId="65C825EC"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2" w:history="1">
            <w:r w:rsidRPr="00790D41">
              <w:rPr>
                <w:rStyle w:val="Hyperlink"/>
                <w:noProof/>
              </w:rPr>
              <w:t>3. Protein networks and selective recruitment</w:t>
            </w:r>
            <w:r>
              <w:rPr>
                <w:noProof/>
              </w:rPr>
              <w:tab/>
            </w:r>
            <w:r>
              <w:rPr>
                <w:noProof/>
              </w:rPr>
              <w:fldChar w:fldCharType="begin"/>
            </w:r>
            <w:r>
              <w:rPr>
                <w:noProof/>
              </w:rPr>
              <w:instrText xml:space="preserve"> PAGEREF _Toc242668362 \h </w:instrText>
            </w:r>
            <w:r>
              <w:rPr>
                <w:noProof/>
              </w:rPr>
            </w:r>
            <w:r>
              <w:rPr>
                <w:noProof/>
              </w:rPr>
              <w:fldChar w:fldCharType="separate"/>
            </w:r>
            <w:r>
              <w:rPr>
                <w:noProof/>
              </w:rPr>
              <w:t>3</w:t>
            </w:r>
            <w:r>
              <w:rPr>
                <w:noProof/>
              </w:rPr>
              <w:fldChar w:fldCharType="end"/>
            </w:r>
          </w:hyperlink>
        </w:p>
        <w:p w14:paraId="2B2648BF" w14:textId="6EFE81C6"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3" w:history="1">
            <w:r w:rsidRPr="00790D41">
              <w:rPr>
                <w:rStyle w:val="Hyperlink"/>
                <w:noProof/>
              </w:rPr>
              <w:t>4. Physical organization extends beyond a simple liquid</w:t>
            </w:r>
            <w:r>
              <w:rPr>
                <w:noProof/>
              </w:rPr>
              <w:tab/>
            </w:r>
            <w:r>
              <w:rPr>
                <w:noProof/>
              </w:rPr>
              <w:fldChar w:fldCharType="begin"/>
            </w:r>
            <w:r>
              <w:rPr>
                <w:noProof/>
              </w:rPr>
              <w:instrText xml:space="preserve"> PAGEREF _Toc242668363 \h </w:instrText>
            </w:r>
            <w:r>
              <w:rPr>
                <w:noProof/>
              </w:rPr>
            </w:r>
            <w:r>
              <w:rPr>
                <w:noProof/>
              </w:rPr>
              <w:fldChar w:fldCharType="separate"/>
            </w:r>
            <w:r>
              <w:rPr>
                <w:noProof/>
              </w:rPr>
              <w:t>4</w:t>
            </w:r>
            <w:r>
              <w:rPr>
                <w:noProof/>
              </w:rPr>
              <w:fldChar w:fldCharType="end"/>
            </w:r>
          </w:hyperlink>
        </w:p>
        <w:p w14:paraId="76C1A3EC" w14:textId="191F2F9E"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4" w:history="1">
            <w:r w:rsidRPr="00790D41">
              <w:rPr>
                <w:rStyle w:val="Hyperlink"/>
                <w:noProof/>
              </w:rPr>
              <w:t>5. Molecular dynamics are component-specific</w:t>
            </w:r>
            <w:r>
              <w:rPr>
                <w:noProof/>
              </w:rPr>
              <w:tab/>
            </w:r>
            <w:r>
              <w:rPr>
                <w:noProof/>
              </w:rPr>
              <w:fldChar w:fldCharType="begin"/>
            </w:r>
            <w:r>
              <w:rPr>
                <w:noProof/>
              </w:rPr>
              <w:instrText xml:space="preserve"> PAGEREF _Toc242668364 \h </w:instrText>
            </w:r>
            <w:r>
              <w:rPr>
                <w:noProof/>
              </w:rPr>
            </w:r>
            <w:r>
              <w:rPr>
                <w:noProof/>
              </w:rPr>
              <w:fldChar w:fldCharType="separate"/>
            </w:r>
            <w:r>
              <w:rPr>
                <w:noProof/>
              </w:rPr>
              <w:t>4</w:t>
            </w:r>
            <w:r>
              <w:rPr>
                <w:noProof/>
              </w:rPr>
              <w:fldChar w:fldCharType="end"/>
            </w:r>
          </w:hyperlink>
        </w:p>
        <w:p w14:paraId="7DBA7B15" w14:textId="3146A258"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5" w:history="1">
            <w:r w:rsidRPr="00790D41">
              <w:rPr>
                <w:rStyle w:val="Hyperlink"/>
                <w:noProof/>
              </w:rPr>
              <w:t>6. Linking spatial organization to productive reactions</w:t>
            </w:r>
            <w:r>
              <w:rPr>
                <w:noProof/>
              </w:rPr>
              <w:tab/>
            </w:r>
            <w:r>
              <w:rPr>
                <w:noProof/>
              </w:rPr>
              <w:fldChar w:fldCharType="begin"/>
            </w:r>
            <w:r>
              <w:rPr>
                <w:noProof/>
              </w:rPr>
              <w:instrText xml:space="preserve"> PAGEREF _Toc242668365 \h </w:instrText>
            </w:r>
            <w:r>
              <w:rPr>
                <w:noProof/>
              </w:rPr>
            </w:r>
            <w:r>
              <w:rPr>
                <w:noProof/>
              </w:rPr>
              <w:fldChar w:fldCharType="separate"/>
            </w:r>
            <w:r>
              <w:rPr>
                <w:noProof/>
              </w:rPr>
              <w:t>5</w:t>
            </w:r>
            <w:r>
              <w:rPr>
                <w:noProof/>
              </w:rPr>
              <w:fldChar w:fldCharType="end"/>
            </w:r>
          </w:hyperlink>
        </w:p>
        <w:p w14:paraId="7610D9A0" w14:textId="0514AD3A"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6" w:history="1">
            <w:r w:rsidRPr="00790D41">
              <w:rPr>
                <w:rStyle w:val="Hyperlink"/>
                <w:noProof/>
              </w:rPr>
              <w:t>7. Regulation by processing and modification</w:t>
            </w:r>
            <w:r>
              <w:rPr>
                <w:noProof/>
              </w:rPr>
              <w:tab/>
            </w:r>
            <w:r>
              <w:rPr>
                <w:noProof/>
              </w:rPr>
              <w:fldChar w:fldCharType="begin"/>
            </w:r>
            <w:r>
              <w:rPr>
                <w:noProof/>
              </w:rPr>
              <w:instrText xml:space="preserve"> PAGEREF _Toc242668366 \h </w:instrText>
            </w:r>
            <w:r>
              <w:rPr>
                <w:noProof/>
              </w:rPr>
            </w:r>
            <w:r>
              <w:rPr>
                <w:noProof/>
              </w:rPr>
              <w:fldChar w:fldCharType="separate"/>
            </w:r>
            <w:r>
              <w:rPr>
                <w:noProof/>
              </w:rPr>
              <w:t>5</w:t>
            </w:r>
            <w:r>
              <w:rPr>
                <w:noProof/>
              </w:rPr>
              <w:fldChar w:fldCharType="end"/>
            </w:r>
          </w:hyperlink>
        </w:p>
        <w:p w14:paraId="7F79B8D8" w14:textId="754ED786"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7" w:history="1">
            <w:r w:rsidRPr="00790D41">
              <w:rPr>
                <w:rStyle w:val="Hyperlink"/>
                <w:noProof/>
              </w:rPr>
              <w:t>8. Physiological and disease interpretation</w:t>
            </w:r>
            <w:r>
              <w:rPr>
                <w:noProof/>
              </w:rPr>
              <w:tab/>
            </w:r>
            <w:r>
              <w:rPr>
                <w:noProof/>
              </w:rPr>
              <w:fldChar w:fldCharType="begin"/>
            </w:r>
            <w:r>
              <w:rPr>
                <w:noProof/>
              </w:rPr>
              <w:instrText xml:space="preserve"> PAGEREF _Toc242668367 \h </w:instrText>
            </w:r>
            <w:r>
              <w:rPr>
                <w:noProof/>
              </w:rPr>
            </w:r>
            <w:r>
              <w:rPr>
                <w:noProof/>
              </w:rPr>
              <w:fldChar w:fldCharType="separate"/>
            </w:r>
            <w:r>
              <w:rPr>
                <w:noProof/>
              </w:rPr>
              <w:t>5</w:t>
            </w:r>
            <w:r>
              <w:rPr>
                <w:noProof/>
              </w:rPr>
              <w:fldChar w:fldCharType="end"/>
            </w:r>
          </w:hyperlink>
        </w:p>
        <w:p w14:paraId="7BB5420F" w14:textId="182E7E74"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8" w:history="1">
            <w:r w:rsidRPr="00790D41">
              <w:rPr>
                <w:rStyle w:val="Hyperlink"/>
                <w:noProof/>
              </w:rPr>
              <w:t>9. Comparing the major bodies</w:t>
            </w:r>
            <w:r>
              <w:rPr>
                <w:noProof/>
              </w:rPr>
              <w:tab/>
            </w:r>
            <w:r>
              <w:rPr>
                <w:noProof/>
              </w:rPr>
              <w:fldChar w:fldCharType="begin"/>
            </w:r>
            <w:r>
              <w:rPr>
                <w:noProof/>
              </w:rPr>
              <w:instrText xml:space="preserve"> PAGEREF _Toc242668368 \h </w:instrText>
            </w:r>
            <w:r>
              <w:rPr>
                <w:noProof/>
              </w:rPr>
            </w:r>
            <w:r>
              <w:rPr>
                <w:noProof/>
              </w:rPr>
              <w:fldChar w:fldCharType="separate"/>
            </w:r>
            <w:r>
              <w:rPr>
                <w:noProof/>
              </w:rPr>
              <w:t>6</w:t>
            </w:r>
            <w:r>
              <w:rPr>
                <w:noProof/>
              </w:rPr>
              <w:fldChar w:fldCharType="end"/>
            </w:r>
          </w:hyperlink>
        </w:p>
        <w:p w14:paraId="73B42292" w14:textId="40B3ABAB"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9" w:history="1">
            <w:r w:rsidRPr="00790D41">
              <w:rPr>
                <w:rStyle w:val="Hyperlink"/>
                <w:noProof/>
              </w:rPr>
              <w:t>10. Research methods and the next mechanistic questions</w:t>
            </w:r>
            <w:r>
              <w:rPr>
                <w:noProof/>
              </w:rPr>
              <w:tab/>
            </w:r>
            <w:r>
              <w:rPr>
                <w:noProof/>
              </w:rPr>
              <w:fldChar w:fldCharType="begin"/>
            </w:r>
            <w:r>
              <w:rPr>
                <w:noProof/>
              </w:rPr>
              <w:instrText xml:space="preserve"> PAGEREF _Toc242668369 \h </w:instrText>
            </w:r>
            <w:r>
              <w:rPr>
                <w:noProof/>
              </w:rPr>
            </w:r>
            <w:r>
              <w:rPr>
                <w:noProof/>
              </w:rPr>
              <w:fldChar w:fldCharType="separate"/>
            </w:r>
            <w:r>
              <w:rPr>
                <w:noProof/>
              </w:rPr>
              <w:t>7</w:t>
            </w:r>
            <w:r>
              <w:rPr>
                <w:noProof/>
              </w:rPr>
              <w:fldChar w:fldCharType="end"/>
            </w:r>
          </w:hyperlink>
        </w:p>
        <w:p w14:paraId="609F353F" w14:textId="37D34B9F"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0" w:history="1">
            <w:r w:rsidRPr="00790D41">
              <w:rPr>
                <w:rStyle w:val="Hyperlink"/>
                <w:noProof/>
              </w:rPr>
              <w:t>11. Genome relationships and the direction of causality</w:t>
            </w:r>
            <w:r>
              <w:rPr>
                <w:noProof/>
              </w:rPr>
              <w:tab/>
            </w:r>
            <w:r>
              <w:rPr>
                <w:noProof/>
              </w:rPr>
              <w:fldChar w:fldCharType="begin"/>
            </w:r>
            <w:r>
              <w:rPr>
                <w:noProof/>
              </w:rPr>
              <w:instrText xml:space="preserve"> PAGEREF _Toc242668370 \h </w:instrText>
            </w:r>
            <w:r>
              <w:rPr>
                <w:noProof/>
              </w:rPr>
            </w:r>
            <w:r>
              <w:rPr>
                <w:noProof/>
              </w:rPr>
              <w:fldChar w:fldCharType="separate"/>
            </w:r>
            <w:r>
              <w:rPr>
                <w:noProof/>
              </w:rPr>
              <w:t>7</w:t>
            </w:r>
            <w:r>
              <w:rPr>
                <w:noProof/>
              </w:rPr>
              <w:fldChar w:fldCharType="end"/>
            </w:r>
          </w:hyperlink>
        </w:p>
        <w:p w14:paraId="56CA959D" w14:textId="32A5D364"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1" w:history="1">
            <w:r w:rsidRPr="00790D41">
              <w:rPr>
                <w:rStyle w:val="Hyperlink"/>
                <w:noProof/>
              </w:rPr>
              <w:t>References</w:t>
            </w:r>
            <w:r>
              <w:rPr>
                <w:noProof/>
              </w:rPr>
              <w:tab/>
            </w:r>
            <w:r>
              <w:rPr>
                <w:noProof/>
              </w:rPr>
              <w:fldChar w:fldCharType="begin"/>
            </w:r>
            <w:r>
              <w:rPr>
                <w:noProof/>
              </w:rPr>
              <w:instrText xml:space="preserve"> PAGEREF _Toc242668371 \h </w:instrText>
            </w:r>
            <w:r>
              <w:rPr>
                <w:noProof/>
              </w:rPr>
            </w:r>
            <w:r>
              <w:rPr>
                <w:noProof/>
              </w:rPr>
              <w:fldChar w:fldCharType="separate"/>
            </w:r>
            <w:r>
              <w:rPr>
                <w:noProof/>
              </w:rPr>
              <w:t>8</w:t>
            </w:r>
            <w:r>
              <w:rPr>
                <w:noProof/>
              </w:rPr>
              <w:fldChar w:fldCharType="end"/>
            </w:r>
          </w:hyperlink>
        </w:p>
        <w:p w14:paraId="34DA9F2C" w14:textId="34EAA0EA" w:rsidR="00E974E8" w:rsidRDefault="00E974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2" w:history="1">
            <w:r w:rsidRPr="00790D41">
              <w:rPr>
                <w:rStyle w:val="Hyperlink"/>
                <w:noProof/>
              </w:rPr>
              <w:t>Evidence scope</w:t>
            </w:r>
            <w:r>
              <w:rPr>
                <w:noProof/>
              </w:rPr>
              <w:tab/>
            </w:r>
            <w:r>
              <w:rPr>
                <w:noProof/>
              </w:rPr>
              <w:fldChar w:fldCharType="begin"/>
            </w:r>
            <w:r>
              <w:rPr>
                <w:noProof/>
              </w:rPr>
              <w:instrText xml:space="preserve"> PAGEREF _Toc242668372 \h </w:instrText>
            </w:r>
            <w:r>
              <w:rPr>
                <w:noProof/>
              </w:rPr>
            </w:r>
            <w:r>
              <w:rPr>
                <w:noProof/>
              </w:rPr>
              <w:fldChar w:fldCharType="separate"/>
            </w:r>
            <w:r>
              <w:rPr>
                <w:noProof/>
              </w:rPr>
              <w:t>9</w:t>
            </w:r>
            <w:r>
              <w:rPr>
                <w:noProof/>
              </w:rPr>
              <w:fldChar w:fldCharType="end"/>
            </w:r>
          </w:hyperlink>
        </w:p>
        <w:p w14:paraId="6E6B5E09" w14:textId="42192D7B" w:rsidR="006E2974" w:rsidRDefault="008C3B4E">
          <w:r>
            <w:fldChar w:fldCharType="end"/>
          </w:r>
        </w:p>
      </w:sdtContent>
    </w:sdt>
    <w:p w14:paraId="28037C1A" w14:textId="77777777" w:rsidR="006E2974" w:rsidRDefault="008C3B4E">
      <w:pPr>
        <w:pStyle w:val="Heading1"/>
      </w:pPr>
      <w:bookmarkStart w:id="1" w:name="_Toc242668360"/>
      <w:r>
        <w:t>1. Compartmentalization as a molecular problem</w:t>
      </w:r>
      <w:bookmarkEnd w:id="1"/>
    </w:p>
    <w:p w14:paraId="28BCBC9A" w14:textId="6D22910B" w:rsidR="006E2974" w:rsidRDefault="008C3B4E">
      <w:r>
        <w:t>A nuclear body is useful to define through a reproducible molecular organization rather than morphology alone. A focus can be enriched for a characteristic protein or RNA, but molecular composition determines what interactions and substrates are available. The defining systems differ: nucleolar precursor RNA and processing factors, SON/SRRM2-organized speckles, NEAT1_2 paraspeckles, coilin-associated RNP assemblies and PML-centered partner networks. These differences make compartment-specific evidence neces</w:t>
      </w:r>
      <w:r>
        <w:t>sary even when bodies share a rounded appearance or exchange some components.</w:t>
      </w:r>
      <w:hyperlink r:id="rId12" w:history="1">
        <w:r>
          <w:rPr>
            <w:color w:val="087B78"/>
            <w:sz w:val="18"/>
            <w:szCs w:val="18"/>
          </w:rPr>
          <w:t xml:space="preserve"> [1]</w:t>
        </w:r>
      </w:hyperlink>
      <w:hyperlink r:id="rId13" w:history="1">
        <w:r>
          <w:rPr>
            <w:color w:val="087B78"/>
            <w:sz w:val="18"/>
            <w:szCs w:val="18"/>
          </w:rPr>
          <w:t xml:space="preserve"> [3]</w:t>
        </w:r>
      </w:hyperlink>
      <w:hyperlink r:id="rId14" w:history="1">
        <w:r>
          <w:rPr>
            <w:color w:val="087B78"/>
            <w:sz w:val="18"/>
            <w:szCs w:val="18"/>
          </w:rPr>
          <w:t xml:space="preserve"> [2]</w:t>
        </w:r>
      </w:hyperlink>
      <w:hyperlink r:id="rId15" w:history="1">
        <w:r>
          <w:rPr>
            <w:color w:val="087B78"/>
            <w:sz w:val="18"/>
            <w:szCs w:val="18"/>
          </w:rPr>
          <w:t xml:space="preserve"> [5]</w:t>
        </w:r>
      </w:hyperlink>
      <w:hyperlink r:id="rId16" w:history="1">
        <w:r>
          <w:rPr>
            <w:color w:val="087B78"/>
            <w:sz w:val="18"/>
            <w:szCs w:val="18"/>
          </w:rPr>
          <w:t xml:space="preserve"> [4]</w:t>
        </w:r>
      </w:hyperlink>
    </w:p>
    <w:p w14:paraId="6B9C1A89" w14:textId="0735F5AC" w:rsidR="006E2974" w:rsidRDefault="008C3B4E">
      <w:r>
        <w:t>Four levels should be separated: the molecular interactions that assemble the structure, the organization of its contents, the measured material response and the biological outcome. None is a substitute for the others. For example, a localized guide RNA identifies a plausible modification environment, whereas a reaction assay establishes the modification; a body-depletion phenotype establishes a dependency, whereas a selective rescue can identify its molecular cause. The strongest models connect levels thro</w:t>
      </w:r>
      <w:r>
        <w:t>ugh a defined substrate and a controlled intervention.</w:t>
      </w:r>
      <w:hyperlink r:id="rId17" w:history="1">
        <w:r>
          <w:rPr>
            <w:color w:val="087B78"/>
            <w:sz w:val="18"/>
            <w:szCs w:val="18"/>
          </w:rPr>
          <w:t xml:space="preserve"> [6]</w:t>
        </w:r>
      </w:hyperlink>
      <w:hyperlink r:id="rId18" w:history="1">
        <w:r>
          <w:rPr>
            <w:color w:val="087B78"/>
            <w:sz w:val="18"/>
            <w:szCs w:val="18"/>
          </w:rPr>
          <w:t xml:space="preserve"> [7]</w:t>
        </w:r>
      </w:hyperlink>
      <w:hyperlink r:id="rId19" w:history="1">
        <w:r>
          <w:rPr>
            <w:color w:val="087B78"/>
            <w:sz w:val="18"/>
            <w:szCs w:val="18"/>
          </w:rPr>
          <w:t xml:space="preserve"> [8]</w:t>
        </w:r>
      </w:hyperlink>
    </w:p>
    <w:p w14:paraId="5EB2FB9E" w14:textId="77777777" w:rsidR="006E2974" w:rsidRDefault="008C3B4E">
      <w:pPr>
        <w:pStyle w:val="Heading1"/>
      </w:pPr>
      <w:bookmarkStart w:id="2" w:name="_Toc242668361"/>
      <w:r>
        <w:lastRenderedPageBreak/>
        <w:t>2. RNA can be an architectural substrate</w:t>
      </w:r>
      <w:bookmarkEnd w:id="2"/>
    </w:p>
    <w:p w14:paraId="136BD45D" w14:textId="4B176BF3" w:rsidR="006E2974" w:rsidRDefault="008C3B4E">
      <w:r>
        <w:t>Paraspeckles supply a direct example of RNA-based organization. NEAT1 loss disrupted visible assembly, while later work identified the long isoform and its alternative 3′ processing as important determinants of body construction. RNA-domain mapping and a micelle model further linked connectivity to ordered structure. The scaffold is therefore a gene product with domains and processing choices, not an inert surface. Changing its expression or sequence can alter assembly and the availability of bound proteins</w:t>
      </w:r>
      <w:r>
        <w:t xml:space="preserve"> at the same time.</w:t>
      </w:r>
      <w:hyperlink r:id="rId20" w:history="1">
        <w:r>
          <w:rPr>
            <w:color w:val="087B78"/>
            <w:sz w:val="18"/>
            <w:szCs w:val="18"/>
          </w:rPr>
          <w:t xml:space="preserve"> [9]</w:t>
        </w:r>
      </w:hyperlink>
      <w:hyperlink r:id="rId21" w:history="1">
        <w:r>
          <w:rPr>
            <w:color w:val="087B78"/>
            <w:sz w:val="18"/>
            <w:szCs w:val="18"/>
          </w:rPr>
          <w:t xml:space="preserve"> [2]</w:t>
        </w:r>
      </w:hyperlink>
      <w:hyperlink r:id="rId22" w:history="1">
        <w:r>
          <w:rPr>
            <w:color w:val="087B78"/>
            <w:sz w:val="18"/>
            <w:szCs w:val="18"/>
          </w:rPr>
          <w:t xml:space="preserve"> [10]</w:t>
        </w:r>
      </w:hyperlink>
      <w:hyperlink r:id="rId23" w:history="1">
        <w:r>
          <w:rPr>
            <w:color w:val="087B78"/>
            <w:sz w:val="18"/>
            <w:szCs w:val="18"/>
          </w:rPr>
          <w:t xml:space="preserve"> [11]</w:t>
        </w:r>
      </w:hyperlink>
    </w:p>
    <w:p w14:paraId="2ABE9FD8" w14:textId="5E829DD0" w:rsidR="006E2974" w:rsidRDefault="008C3B4E">
      <w:r>
        <w:t xml:space="preserve">The nucleolus presents a different RNA relationship. Precursor rRNA is processed into ribosomal subunits while also contributing to layered architecture and material organization. The 2025 engineered-nucleolus experiments connected defined precursor defects to altered layer ordering and outflux. Unlike a passive template, this RNA changes chemically as the organelle operates. Its architecture can thus be influenced by the state of the substrate flowing through it, a mechanism distinct from assuming a fixed </w:t>
      </w:r>
      <w:r>
        <w:t>scaffold with freely interchangeable clients.</w:t>
      </w:r>
      <w:hyperlink r:id="rId24" w:history="1">
        <w:r>
          <w:rPr>
            <w:color w:val="087B78"/>
            <w:sz w:val="18"/>
            <w:szCs w:val="18"/>
          </w:rPr>
          <w:t xml:space="preserve"> [1]</w:t>
        </w:r>
      </w:hyperlink>
    </w:p>
    <w:p w14:paraId="6E06F3D0" w14:textId="4D2D5272" w:rsidR="006E2974" w:rsidRDefault="008C3B4E">
      <w:r>
        <w:t>MALAT1 provides a contrasting lesson. Its enrichment and regulatory effects in cultured cells do not make it universally indispensable for speckle construction: the tested mouse knockout retained organized marker localization. RNA association, architectural necessity and regulation of a partner are distinct roles. Comparing NEAT1, pre-rRNA and MALAT1 therefore reveals several routes by which RNA contributes to compartmentalization, rather than one general rule that every body requires one abundant long nonc</w:t>
      </w:r>
      <w:r>
        <w:t>oding scaffold.</w:t>
      </w:r>
      <w:hyperlink r:id="rId25" w:history="1">
        <w:r>
          <w:rPr>
            <w:color w:val="087B78"/>
            <w:sz w:val="18"/>
            <w:szCs w:val="18"/>
          </w:rPr>
          <w:t xml:space="preserve"> [12]</w:t>
        </w:r>
      </w:hyperlink>
      <w:hyperlink r:id="rId26" w:history="1">
        <w:r>
          <w:rPr>
            <w:color w:val="087B78"/>
            <w:sz w:val="18"/>
            <w:szCs w:val="18"/>
          </w:rPr>
          <w:t xml:space="preserve"> [13]</w:t>
        </w:r>
      </w:hyperlink>
      <w:hyperlink r:id="rId27" w:history="1">
        <w:r>
          <w:rPr>
            <w:color w:val="087B78"/>
            <w:sz w:val="18"/>
            <w:szCs w:val="18"/>
          </w:rPr>
          <w:t xml:space="preserve"> [2]</w:t>
        </w:r>
      </w:hyperlink>
      <w:hyperlink r:id="rId28" w:history="1">
        <w:r>
          <w:rPr>
            <w:color w:val="087B78"/>
            <w:sz w:val="18"/>
            <w:szCs w:val="18"/>
          </w:rPr>
          <w:t xml:space="preserve"> [1]</w:t>
        </w:r>
      </w:hyperlink>
    </w:p>
    <w:p w14:paraId="1BC4644E" w14:textId="77777777" w:rsidR="006E2974" w:rsidRDefault="008C3B4E">
      <w:pPr>
        <w:pStyle w:val="Heading1"/>
      </w:pPr>
      <w:bookmarkStart w:id="3" w:name="_Toc242668362"/>
      <w:r>
        <w:t>3. Protein networks and selective recruitment</w:t>
      </w:r>
      <w:bookmarkEnd w:id="3"/>
    </w:p>
    <w:p w14:paraId="5848D3FC" w14:textId="3446B288" w:rsidR="006E2974" w:rsidRDefault="008C3B4E">
      <w:r>
        <w:t>Speckle organizer studies connect SON and SRRM2 to characteristic organization, while PML work separates scaffold assembly from SUMO-associated partner loading. The concept of a scaffold is consequently functional: it identifies interactions important for construction, but the organizer can also have direct biochemical activities. Depleting it can change both architecture and those activities. This is why an organizer-loss phenotype should be described as dependence on the molecular system until the geometr</w:t>
      </w:r>
      <w:r>
        <w:t>ic contribution is selectively tested.</w:t>
      </w:r>
      <w:hyperlink r:id="rId29" w:history="1">
        <w:r>
          <w:rPr>
            <w:color w:val="087B78"/>
            <w:sz w:val="18"/>
            <w:szCs w:val="18"/>
          </w:rPr>
          <w:t xml:space="preserve"> [3]</w:t>
        </w:r>
      </w:hyperlink>
      <w:hyperlink r:id="rId30" w:history="1">
        <w:r>
          <w:rPr>
            <w:color w:val="087B78"/>
            <w:sz w:val="18"/>
            <w:szCs w:val="18"/>
          </w:rPr>
          <w:t xml:space="preserve"> [14]</w:t>
        </w:r>
      </w:hyperlink>
      <w:hyperlink r:id="rId31" w:history="1">
        <w:r>
          <w:rPr>
            <w:color w:val="087B78"/>
            <w:sz w:val="18"/>
            <w:szCs w:val="18"/>
          </w:rPr>
          <w:t xml:space="preserve"> [4]</w:t>
        </w:r>
      </w:hyperlink>
    </w:p>
    <w:p w14:paraId="7CF9479B" w14:textId="6E5B04A1" w:rsidR="006E2974" w:rsidRDefault="008C3B4E">
      <w:r>
        <w:t>Model-phase experiments by Banani and colleagues demonstrated selective client recruitment determined by scaffold composition, valency and compatible interactions. Such selectivity is compatible with phase-separated assembly and also emphasizes the biochemical identity of the network. A phase is not an indiscriminate container. Whether a substrate enters, remains accessible and leaves after a reaction depends on its interactions. Extrapolating from a purified network to an endogenous body requires testing t</w:t>
      </w:r>
      <w:r>
        <w:t>hose properties in the relevant cellular context.</w:t>
      </w:r>
      <w:hyperlink r:id="rId32" w:history="1">
        <w:r>
          <w:rPr>
            <w:color w:val="087B78"/>
            <w:sz w:val="18"/>
            <w:szCs w:val="18"/>
          </w:rPr>
          <w:t xml:space="preserve"> [15]</w:t>
        </w:r>
      </w:hyperlink>
    </w:p>
    <w:p w14:paraId="023CF614" w14:textId="45875E92" w:rsidR="006E2974" w:rsidRDefault="008C3B4E">
      <w:r>
        <w:t xml:space="preserve">Cajal bodies illustrate how dynamic substrate demand can contribute to assembly. Coilin–SMN and coilin–snRNP interactions link recruitment to RNP maturation, while the 2025 exchange model incorporates RNA-dependent oligomerization and snRNP binding. A compartment can therefore respond to the assembly and recycling of its molecular machinery. This is a more informative </w:t>
      </w:r>
      <w:r>
        <w:lastRenderedPageBreak/>
        <w:t>model than treating all body components as clients with identical dynamics or assuming that the organizer acts only as a passive structural protein.</w:t>
      </w:r>
      <w:hyperlink r:id="rId33" w:history="1">
        <w:r>
          <w:rPr>
            <w:color w:val="087B78"/>
            <w:sz w:val="18"/>
            <w:szCs w:val="18"/>
          </w:rPr>
          <w:t xml:space="preserve"> [16]</w:t>
        </w:r>
      </w:hyperlink>
      <w:hyperlink r:id="rId34" w:history="1">
        <w:r>
          <w:rPr>
            <w:color w:val="087B78"/>
            <w:sz w:val="18"/>
            <w:szCs w:val="18"/>
          </w:rPr>
          <w:t xml:space="preserve"> [5]</w:t>
        </w:r>
      </w:hyperlink>
    </w:p>
    <w:p w14:paraId="77B91EFA" w14:textId="77777777" w:rsidR="006E2974" w:rsidRDefault="008C3B4E">
      <w:pPr>
        <w:pStyle w:val="Heading1"/>
      </w:pPr>
      <w:bookmarkStart w:id="4" w:name="_Toc242668363"/>
      <w:r>
        <w:t>4. Physical organization extends beyond a simple liquid</w:t>
      </w:r>
      <w:bookmarkEnd w:id="4"/>
    </w:p>
    <w:p w14:paraId="13E64221" w14:textId="67810DC8" w:rsidR="006E2974" w:rsidRDefault="008C3B4E">
      <w:r>
        <w:t>Liquid-phase coexistence is supported by particular nucleolar and model-scaffold experiments, but the evidence should remain attached to those systems. Feric and colleagues combined composition and physical measurements across oocyte and reconstituted contexts; Banani and colleagues tested client selectivity in defined phases. Those findings establish important physical possibilities. They do not diagnose every endogenous focus as one equilibrium liquid droplet or reconstruct every anatomical subcompartment</w:t>
      </w:r>
      <w:r>
        <w:t xml:space="preserve"> of a living human nucleus.</w:t>
      </w:r>
      <w:hyperlink r:id="rId35" w:history="1">
        <w:r>
          <w:rPr>
            <w:color w:val="087B78"/>
            <w:sz w:val="18"/>
            <w:szCs w:val="18"/>
          </w:rPr>
          <w:t xml:space="preserve"> [17]</w:t>
        </w:r>
      </w:hyperlink>
      <w:hyperlink r:id="rId36" w:history="1">
        <w:r>
          <w:rPr>
            <w:color w:val="087B78"/>
            <w:sz w:val="18"/>
            <w:szCs w:val="18"/>
          </w:rPr>
          <w:t xml:space="preserve"> [15]</w:t>
        </w:r>
      </w:hyperlink>
    </w:p>
    <w:p w14:paraId="0383A65D" w14:textId="516CD79B" w:rsidR="006E2974" w:rsidRDefault="008C3B4E">
      <w:r>
        <w:t>Other primary observations motivate different or additional descriptions. Connected NEAT1 RNP blocks support an ordered, finite-assembly model; coilin dynamics reveal restricted boundary exchange alongside internal mobility; PML structural interfaces support higher-order scaffold construction. These possibilities need not be mutually exclusive with local phase behavior. The appropriate model is the one that explains the measured component organization and responds correctly to a molecular perturbation, rath</w:t>
      </w:r>
      <w:r>
        <w:t>er than the label that fits the focus’s appearance.</w:t>
      </w:r>
      <w:hyperlink r:id="rId37" w:history="1">
        <w:r>
          <w:rPr>
            <w:color w:val="087B78"/>
            <w:sz w:val="18"/>
            <w:szCs w:val="18"/>
          </w:rPr>
          <w:t xml:space="preserve"> [11]</w:t>
        </w:r>
      </w:hyperlink>
      <w:hyperlink r:id="rId38" w:history="1">
        <w:r>
          <w:rPr>
            <w:color w:val="087B78"/>
            <w:sz w:val="18"/>
            <w:szCs w:val="18"/>
          </w:rPr>
          <w:t xml:space="preserve"> [5]</w:t>
        </w:r>
      </w:hyperlink>
      <w:hyperlink r:id="rId39" w:history="1">
        <w:r>
          <w:rPr>
            <w:color w:val="087B78"/>
            <w:sz w:val="18"/>
            <w:szCs w:val="18"/>
          </w:rPr>
          <w:t xml:space="preserve"> [18]</w:t>
        </w:r>
      </w:hyperlink>
    </w:p>
    <w:p w14:paraId="6C91DE00" w14:textId="4E7461F1" w:rsidR="006E2974" w:rsidRDefault="008C3B4E">
      <w:r>
        <w:t>Viscoelastic behavior is also dependent on component, spatial scale and timescale. Slow nucleolar RNA progression and aspiration measurements of subcompartments show why rapid protein recovery cannot define the whole body as uniformly fluid. A useful physical account identifies what relaxes, under what load and over which interval. Describing a structure as liquid-like or solid-like without specifying the observation can hide mechanically different networks within the same organelle.</w:t>
      </w:r>
      <w:hyperlink r:id="rId40" w:history="1">
        <w:r>
          <w:rPr>
            <w:color w:val="087B78"/>
            <w:sz w:val="18"/>
            <w:szCs w:val="18"/>
          </w:rPr>
          <w:t xml:space="preserve"> [19]</w:t>
        </w:r>
      </w:hyperlink>
      <w:hyperlink r:id="rId41" w:history="1">
        <w:r>
          <w:rPr>
            <w:color w:val="087B78"/>
            <w:sz w:val="18"/>
            <w:szCs w:val="18"/>
          </w:rPr>
          <w:t xml:space="preserve"> [20]</w:t>
        </w:r>
      </w:hyperlink>
    </w:p>
    <w:p w14:paraId="32FEAA40" w14:textId="77777777" w:rsidR="006E2974" w:rsidRDefault="008C3B4E">
      <w:pPr>
        <w:pStyle w:val="Heading1"/>
      </w:pPr>
      <w:bookmarkStart w:id="5" w:name="_Toc242668364"/>
      <w:r>
        <w:t>5. Molecular dynamics are component-specific</w:t>
      </w:r>
      <w:bookmarkEnd w:id="5"/>
    </w:p>
    <w:p w14:paraId="6ED623A7" w14:textId="23AFBFA0" w:rsidR="006E2974" w:rsidRDefault="008C3B4E">
      <w:r>
        <w:t>Exchange measurements follow labeled components rather than an abstract whole-body material. PML partners show distinct exchange behavior; coilin can move internally while boundary crossing is restricted; nucleolar proteins and RNA can have markedly different mobility. These cases share an interpretive principle: a recovery curve is a result about a particular molecule and measurement geometry. Multiple-component and mechanical observations are needed before proposing a common constitutive description.</w:t>
      </w:r>
      <w:hyperlink r:id="rId42" w:history="1">
        <w:r>
          <w:rPr>
            <w:color w:val="087B78"/>
            <w:sz w:val="18"/>
            <w:szCs w:val="18"/>
          </w:rPr>
          <w:t xml:space="preserve"> [21]</w:t>
        </w:r>
      </w:hyperlink>
      <w:hyperlink r:id="rId43" w:history="1">
        <w:r>
          <w:rPr>
            <w:color w:val="087B78"/>
            <w:sz w:val="18"/>
            <w:szCs w:val="18"/>
          </w:rPr>
          <w:t xml:space="preserve"> [5]</w:t>
        </w:r>
      </w:hyperlink>
      <w:hyperlink r:id="rId44" w:history="1">
        <w:r>
          <w:rPr>
            <w:color w:val="087B78"/>
            <w:sz w:val="18"/>
            <w:szCs w:val="18"/>
          </w:rPr>
          <w:t xml:space="preserve"> [19]</w:t>
        </w:r>
      </w:hyperlink>
    </w:p>
    <w:p w14:paraId="2822A5AC" w14:textId="0702EA87" w:rsidR="006E2974" w:rsidRDefault="008C3B4E">
      <w:r>
        <w:t>A body can therefore maintain its spatial identity while its components turn over. Continuing substrate production and reactions can keep an organelle visibly stable but molecularly active, as seen in directional nucleolar RNA flux. Conversely, a focus can change shape or disappear while some of its proteins continue their biochemical functions elsewhere. Time-resolved measurements of the relevant substrate help distinguish those cases and prevent morphology from being used as a proxy for completed processi</w:t>
      </w:r>
      <w:r>
        <w:t>ng.</w:t>
      </w:r>
      <w:hyperlink r:id="rId45" w:history="1">
        <w:r>
          <w:rPr>
            <w:color w:val="087B78"/>
            <w:sz w:val="18"/>
            <w:szCs w:val="18"/>
          </w:rPr>
          <w:t xml:space="preserve"> [19]</w:t>
        </w:r>
      </w:hyperlink>
      <w:hyperlink r:id="rId46" w:history="1">
        <w:r>
          <w:rPr>
            <w:color w:val="087B78"/>
            <w:sz w:val="18"/>
            <w:szCs w:val="18"/>
          </w:rPr>
          <w:t xml:space="preserve"> [1]</w:t>
        </w:r>
      </w:hyperlink>
      <w:hyperlink r:id="rId47" w:history="1">
        <w:r>
          <w:rPr>
            <w:color w:val="087B78"/>
            <w:sz w:val="18"/>
            <w:szCs w:val="18"/>
          </w:rPr>
          <w:t xml:space="preserve"> [22]</w:t>
        </w:r>
      </w:hyperlink>
    </w:p>
    <w:p w14:paraId="543A6F74" w14:textId="77777777" w:rsidR="006E2974" w:rsidRDefault="008C3B4E">
      <w:pPr>
        <w:pStyle w:val="Heading1"/>
      </w:pPr>
      <w:bookmarkStart w:id="6" w:name="_Toc242668365"/>
      <w:r>
        <w:lastRenderedPageBreak/>
        <w:t>6. Linking spatial organization to productive reactions</w:t>
      </w:r>
      <w:bookmarkEnd w:id="6"/>
    </w:p>
    <w:p w14:paraId="60D2A947" w14:textId="7E9B2C21" w:rsidR="006E2974" w:rsidRDefault="008C3B4E">
      <w:r>
        <w:t>The Cajal-body developmental rescue and speckle recruitment experiments supply complementary causal examples. Mature snRNPs rescued a coilin-depleted embryonic phenotype, narrowing the defect to particle availability; directed RNA recruitment near speckles increased selected splicing reactions, testing spatial sufficiency. Neither is merely a colocalization result. They also answer different questions: rescue identifies a downstream bottleneck, while recruitment tests what a changed spatial relationship can</w:t>
      </w:r>
      <w:r>
        <w:t xml:space="preserve"> accomplish.</w:t>
      </w:r>
      <w:hyperlink r:id="rId48" w:history="1">
        <w:r>
          <w:rPr>
            <w:color w:val="087B78"/>
            <w:sz w:val="18"/>
            <w:szCs w:val="18"/>
          </w:rPr>
          <w:t xml:space="preserve"> [7]</w:t>
        </w:r>
      </w:hyperlink>
      <w:hyperlink r:id="rId49" w:history="1">
        <w:r>
          <w:rPr>
            <w:color w:val="087B78"/>
            <w:sz w:val="18"/>
            <w:szCs w:val="18"/>
          </w:rPr>
          <w:t xml:space="preserve"> [8]</w:t>
        </w:r>
      </w:hyperlink>
    </w:p>
    <w:p w14:paraId="0CB4F777" w14:textId="189C0B99" w:rsidR="006E2974" w:rsidRDefault="008C3B4E">
      <w:r>
        <w:t>The dependence need not extend equally to all substrates. GC-rich short-intron genes showed particular vulnerability after acute speckle-organizer removal, whereas selected long-lived intron-retained RNAs could remain retained after substantial disruption. Likewise, a synthetic ALT-associated assembly can cluster telomeres without reproducing every biochemical requirement for synthesis. These examples show why a body’s function should be tied to a defined RNA or DNA reaction, with completion measured direct</w:t>
      </w:r>
      <w:r>
        <w:t>ly.</w:t>
      </w:r>
      <w:hyperlink r:id="rId50" w:history="1">
        <w:r>
          <w:rPr>
            <w:color w:val="087B78"/>
            <w:sz w:val="18"/>
            <w:szCs w:val="18"/>
          </w:rPr>
          <w:t xml:space="preserve"> [14]</w:t>
        </w:r>
      </w:hyperlink>
      <w:hyperlink r:id="rId51" w:history="1">
        <w:r>
          <w:rPr>
            <w:color w:val="087B78"/>
            <w:sz w:val="18"/>
            <w:szCs w:val="18"/>
          </w:rPr>
          <w:t xml:space="preserve"> [22]</w:t>
        </w:r>
      </w:hyperlink>
      <w:hyperlink r:id="rId52" w:history="1">
        <w:r>
          <w:rPr>
            <w:color w:val="087B78"/>
            <w:sz w:val="18"/>
            <w:szCs w:val="18"/>
          </w:rPr>
          <w:t xml:space="preserve"> [23]</w:t>
        </w:r>
      </w:hyperlink>
    </w:p>
    <w:p w14:paraId="15864E93" w14:textId="246BA7A5" w:rsidR="006E2974" w:rsidRDefault="008C3B4E">
      <w:r>
        <w:t>A useful causal chain specifies the altered interaction, verifies the change in compartment organization, follows the relevant substrate and measures the proposed endpoint. If the intervention also removes an enzyme or changes substrate sequence, those direct effects remain alternatives. Combining spatial sufficiency, necessity and molecular rescue is stronger than assigning the entire phenotype of a scaffold knockout to geometry. This is a practical framework for comparing bodies without flattening their d</w:t>
      </w:r>
      <w:r>
        <w:t>istinct chemistries.</w:t>
      </w:r>
      <w:hyperlink r:id="rId53" w:history="1">
        <w:r>
          <w:rPr>
            <w:color w:val="087B78"/>
            <w:sz w:val="18"/>
            <w:szCs w:val="18"/>
          </w:rPr>
          <w:t xml:space="preserve"> [8]</w:t>
        </w:r>
      </w:hyperlink>
      <w:hyperlink r:id="rId54" w:history="1">
        <w:r>
          <w:rPr>
            <w:color w:val="087B78"/>
            <w:sz w:val="18"/>
            <w:szCs w:val="18"/>
          </w:rPr>
          <w:t xml:space="preserve"> [7]</w:t>
        </w:r>
      </w:hyperlink>
      <w:hyperlink r:id="rId55" w:history="1">
        <w:r>
          <w:rPr>
            <w:color w:val="087B78"/>
            <w:sz w:val="18"/>
            <w:szCs w:val="18"/>
          </w:rPr>
          <w:t xml:space="preserve"> [14]</w:t>
        </w:r>
      </w:hyperlink>
      <w:hyperlink r:id="rId56" w:history="1">
        <w:r>
          <w:rPr>
            <w:color w:val="087B78"/>
            <w:sz w:val="18"/>
            <w:szCs w:val="18"/>
          </w:rPr>
          <w:t xml:space="preserve"> [1]</w:t>
        </w:r>
      </w:hyperlink>
    </w:p>
    <w:p w14:paraId="5C8115AC" w14:textId="77777777" w:rsidR="006E2974" w:rsidRDefault="008C3B4E">
      <w:pPr>
        <w:pStyle w:val="Heading1"/>
      </w:pPr>
      <w:bookmarkStart w:id="7" w:name="_Toc242668366"/>
      <w:r>
        <w:t>7. Regulation by processing and modification</w:t>
      </w:r>
      <w:bookmarkEnd w:id="7"/>
    </w:p>
    <w:p w14:paraId="5F295122" w14:textId="03C31FAA" w:rsidR="006E2974" w:rsidRDefault="008C3B4E">
      <w:r>
        <w:t>Body regulation operates at multiple molecular levels. NEAT1 isoform processing changes scaffold supply; precursor-rRNA maturation changes nucleolar organization; kinase/phosphatase balance changes speckle cohesion and RNA retention; SUMO-associated interactions change PML recruitment and turnover. Each route alters a specific part of the assembly problem. They should not be combined into a universal rule that a particular modification either always promotes or always dissolves every nuclear body.</w:t>
      </w:r>
      <w:hyperlink r:id="rId57" w:history="1">
        <w:r>
          <w:rPr>
            <w:color w:val="087B78"/>
            <w:sz w:val="18"/>
            <w:szCs w:val="18"/>
          </w:rPr>
          <w:t xml:space="preserve"> [2]</w:t>
        </w:r>
      </w:hyperlink>
      <w:hyperlink r:id="rId58" w:history="1">
        <w:r>
          <w:rPr>
            <w:color w:val="087B78"/>
            <w:sz w:val="18"/>
            <w:szCs w:val="18"/>
          </w:rPr>
          <w:t xml:space="preserve"> [1]</w:t>
        </w:r>
      </w:hyperlink>
      <w:hyperlink r:id="rId59" w:history="1">
        <w:r>
          <w:rPr>
            <w:color w:val="087B78"/>
            <w:sz w:val="18"/>
            <w:szCs w:val="18"/>
          </w:rPr>
          <w:t xml:space="preserve"> [24]</w:t>
        </w:r>
      </w:hyperlink>
      <w:hyperlink r:id="rId60" w:history="1">
        <w:r>
          <w:rPr>
            <w:color w:val="087B78"/>
            <w:sz w:val="18"/>
            <w:szCs w:val="18"/>
          </w:rPr>
          <w:t xml:space="preserve"> [4]</w:t>
        </w:r>
      </w:hyperlink>
      <w:hyperlink r:id="rId61" w:history="1">
        <w:r>
          <w:rPr>
            <w:color w:val="087B78"/>
            <w:sz w:val="18"/>
            <w:szCs w:val="18"/>
          </w:rPr>
          <w:t xml:space="preserve"> [25]</w:t>
        </w:r>
      </w:hyperlink>
    </w:p>
    <w:p w14:paraId="4F1A6389" w14:textId="3B736659" w:rsidR="006E2974" w:rsidRDefault="008C3B4E">
      <w:r>
        <w:t>The sign of a functional effect also depends on the substrate. Increasing retention may make one processing interaction more accessible but delay export of another transcript. Redistributing a repressor can activate a promoter, whereas recruiting a stressed protein can engage a quality-control pathway. The SFPQ/IL8 and PML/TDP-43 experiments make these possibilities concrete. Regulation is therefore not equivalent to maximizing body number or concentration; it changes molecular access in a particular physio</w:t>
      </w:r>
      <w:r>
        <w:t>logical setting.</w:t>
      </w:r>
      <w:hyperlink r:id="rId62" w:history="1">
        <w:r>
          <w:rPr>
            <w:color w:val="087B78"/>
            <w:sz w:val="18"/>
            <w:szCs w:val="18"/>
          </w:rPr>
          <w:t xml:space="preserve"> [26]</w:t>
        </w:r>
      </w:hyperlink>
      <w:hyperlink r:id="rId63" w:history="1">
        <w:r>
          <w:rPr>
            <w:color w:val="087B78"/>
            <w:sz w:val="18"/>
            <w:szCs w:val="18"/>
          </w:rPr>
          <w:t xml:space="preserve"> [27]</w:t>
        </w:r>
      </w:hyperlink>
      <w:hyperlink r:id="rId64" w:history="1">
        <w:r>
          <w:rPr>
            <w:color w:val="087B78"/>
            <w:sz w:val="18"/>
            <w:szCs w:val="18"/>
          </w:rPr>
          <w:t xml:space="preserve"> [24]</w:t>
        </w:r>
      </w:hyperlink>
    </w:p>
    <w:p w14:paraId="426964F9" w14:textId="77777777" w:rsidR="006E2974" w:rsidRDefault="008C3B4E">
      <w:pPr>
        <w:pStyle w:val="Heading1"/>
      </w:pPr>
      <w:bookmarkStart w:id="8" w:name="_Toc242668367"/>
      <w:r>
        <w:t>8. Physiological and disease interpretation</w:t>
      </w:r>
      <w:bookmarkEnd w:id="8"/>
    </w:p>
    <w:p w14:paraId="60537501" w14:textId="14AB4562" w:rsidR="006E2974" w:rsidRDefault="008C3B4E">
      <w:r>
        <w:t xml:space="preserve">Body presence and necessity differ across biological contexts. Paraspeckles were prominent in selected mouse cell populations without establishing universal baseline essentiality; coilin-mutant </w:t>
      </w:r>
      <w:r>
        <w:lastRenderedPageBreak/>
        <w:t>mouse viability differed with genetic background, while rapidly developing zebrafish showed a strong assembly-linked requirement. These comparisons argue against defining a body’s importance through one cell line or one binary viability result. A conditional requirement can be substantial even when another setting tolerates its loss.</w:t>
      </w:r>
      <w:hyperlink r:id="rId65" w:history="1">
        <w:r>
          <w:rPr>
            <w:color w:val="087B78"/>
            <w:sz w:val="18"/>
            <w:szCs w:val="18"/>
          </w:rPr>
          <w:t xml:space="preserve"> [28]</w:t>
        </w:r>
      </w:hyperlink>
      <w:hyperlink r:id="rId66" w:history="1">
        <w:r>
          <w:rPr>
            <w:color w:val="087B78"/>
            <w:sz w:val="18"/>
            <w:szCs w:val="18"/>
          </w:rPr>
          <w:t xml:space="preserve"> [29]</w:t>
        </w:r>
      </w:hyperlink>
      <w:hyperlink r:id="rId67" w:history="1">
        <w:r>
          <w:rPr>
            <w:color w:val="087B78"/>
            <w:sz w:val="18"/>
            <w:szCs w:val="18"/>
          </w:rPr>
          <w:t xml:space="preserve"> [7]</w:t>
        </w:r>
      </w:hyperlink>
    </w:p>
    <w:p w14:paraId="7CBC8B50" w14:textId="4E750655" w:rsidR="006E2974" w:rsidRDefault="008C3B4E">
      <w:r>
        <w:t>Disease connections likewise require the molecular level to be explicit. SON variants connect to human mis-splicing and developmental phenotypes; controlled PML recruitment changes TDP-43 insolubility in cellular experiments; TDP-43/NEAT1 regulation connects paraspeckle assembly to stressed-neuron protection and a patient association. Genetic causation, controlled cellular intervention and observational survival are distinct evidence types. Their combination motivates further research but does not by itself</w:t>
      </w:r>
      <w:r>
        <w:t xml:space="preserve"> establish a universally effective compartment-targeting therapy.</w:t>
      </w:r>
      <w:hyperlink r:id="rId68" w:history="1">
        <w:r>
          <w:rPr>
            <w:color w:val="087B78"/>
            <w:sz w:val="18"/>
            <w:szCs w:val="18"/>
          </w:rPr>
          <w:t xml:space="preserve"> [30]</w:t>
        </w:r>
      </w:hyperlink>
      <w:hyperlink r:id="rId69" w:history="1">
        <w:r>
          <w:rPr>
            <w:color w:val="087B78"/>
            <w:sz w:val="18"/>
            <w:szCs w:val="18"/>
          </w:rPr>
          <w:t xml:space="preserve"> [27]</w:t>
        </w:r>
      </w:hyperlink>
      <w:hyperlink r:id="rId70" w:history="1">
        <w:r>
          <w:rPr>
            <w:color w:val="087B78"/>
            <w:sz w:val="18"/>
            <w:szCs w:val="18"/>
          </w:rPr>
          <w:t xml:space="preserve"> [31]</w:t>
        </w:r>
      </w:hyperlink>
    </w:p>
    <w:p w14:paraId="6839881A" w14:textId="77777777" w:rsidR="006E2974" w:rsidRDefault="008C3B4E">
      <w:pPr>
        <w:pStyle w:val="Heading1"/>
      </w:pPr>
      <w:bookmarkStart w:id="9" w:name="_Toc242668368"/>
      <w:r>
        <w:t>9. Comparing the major bodies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974" w14:paraId="053E8AD8" w14:textId="77777777">
        <w:tblPrEx>
          <w:tblCellMar>
            <w:top w:w="0" w:type="dxa"/>
            <w:bottom w:w="0" w:type="dxa"/>
          </w:tblCellMar>
        </w:tblPrEx>
        <w:trPr>
          <w:cantSplit/>
          <w:tblHeader/>
        </w:trPr>
        <w:tc>
          <w:tcPr>
            <w:tcW w:w="2340" w:type="dxa"/>
            <w:shd w:val="clear" w:color="auto" w:fill="EAF3F3"/>
            <w:tcMar>
              <w:top w:w="105" w:type="dxa"/>
              <w:left w:w="125" w:type="dxa"/>
              <w:bottom w:w="105" w:type="dxa"/>
              <w:right w:w="125" w:type="dxa"/>
            </w:tcMar>
          </w:tcPr>
          <w:p w14:paraId="02273A05" w14:textId="77777777" w:rsidR="006E2974" w:rsidRDefault="008C3B4E">
            <w:pPr>
              <w:spacing w:after="50" w:line="255" w:lineRule="auto"/>
            </w:pPr>
            <w:r>
              <w:rPr>
                <w:b/>
                <w:bCs/>
                <w:color w:val="173B4C"/>
                <w:sz w:val="19"/>
                <w:szCs w:val="19"/>
              </w:rPr>
              <w:t>Body</w:t>
            </w:r>
          </w:p>
        </w:tc>
        <w:tc>
          <w:tcPr>
            <w:tcW w:w="2340" w:type="dxa"/>
            <w:shd w:val="clear" w:color="auto" w:fill="EAF3F3"/>
            <w:tcMar>
              <w:top w:w="105" w:type="dxa"/>
              <w:left w:w="125" w:type="dxa"/>
              <w:bottom w:w="105" w:type="dxa"/>
              <w:right w:w="125" w:type="dxa"/>
            </w:tcMar>
          </w:tcPr>
          <w:p w14:paraId="35E98CDC" w14:textId="77777777" w:rsidR="006E2974" w:rsidRDefault="008C3B4E">
            <w:pPr>
              <w:spacing w:after="50" w:line="255" w:lineRule="auto"/>
            </w:pPr>
            <w:r>
              <w:rPr>
                <w:b/>
                <w:bCs/>
                <w:color w:val="173B4C"/>
                <w:sz w:val="19"/>
                <w:szCs w:val="19"/>
              </w:rPr>
              <w:t>Organizing molecular system</w:t>
            </w:r>
          </w:p>
        </w:tc>
        <w:tc>
          <w:tcPr>
            <w:tcW w:w="2340" w:type="dxa"/>
            <w:shd w:val="clear" w:color="auto" w:fill="EAF3F3"/>
            <w:tcMar>
              <w:top w:w="105" w:type="dxa"/>
              <w:left w:w="125" w:type="dxa"/>
              <w:bottom w:w="105" w:type="dxa"/>
              <w:right w:w="125" w:type="dxa"/>
            </w:tcMar>
          </w:tcPr>
          <w:p w14:paraId="5BCDB2DB" w14:textId="77777777" w:rsidR="006E2974" w:rsidRDefault="008C3B4E">
            <w:pPr>
              <w:spacing w:after="50" w:line="255" w:lineRule="auto"/>
            </w:pPr>
            <w:r>
              <w:rPr>
                <w:b/>
                <w:bCs/>
                <w:color w:val="173B4C"/>
                <w:sz w:val="19"/>
                <w:szCs w:val="19"/>
              </w:rPr>
              <w:t>Representative biological connection</w:t>
            </w:r>
          </w:p>
        </w:tc>
        <w:tc>
          <w:tcPr>
            <w:tcW w:w="2340" w:type="dxa"/>
            <w:shd w:val="clear" w:color="auto" w:fill="EAF3F3"/>
            <w:tcMar>
              <w:top w:w="105" w:type="dxa"/>
              <w:left w:w="125" w:type="dxa"/>
              <w:bottom w:w="105" w:type="dxa"/>
              <w:right w:w="125" w:type="dxa"/>
            </w:tcMar>
          </w:tcPr>
          <w:p w14:paraId="7D5371B8" w14:textId="77777777" w:rsidR="006E2974" w:rsidRDefault="008C3B4E">
            <w:pPr>
              <w:spacing w:after="50" w:line="255" w:lineRule="auto"/>
            </w:pPr>
            <w:r>
              <w:rPr>
                <w:b/>
                <w:bCs/>
                <w:color w:val="173B4C"/>
                <w:sz w:val="19"/>
                <w:szCs w:val="19"/>
              </w:rPr>
              <w:t>Physical or causal qualification</w:t>
            </w:r>
          </w:p>
        </w:tc>
      </w:tr>
      <w:tr w:rsidR="006E2974" w14:paraId="00FDD977" w14:textId="77777777">
        <w:tblPrEx>
          <w:tblCellMar>
            <w:top w:w="0" w:type="dxa"/>
            <w:bottom w:w="0" w:type="dxa"/>
          </w:tblCellMar>
        </w:tblPrEx>
        <w:trPr>
          <w:cantSplit/>
        </w:trPr>
        <w:tc>
          <w:tcPr>
            <w:tcW w:w="2340" w:type="dxa"/>
            <w:tcMar>
              <w:top w:w="105" w:type="dxa"/>
              <w:left w:w="125" w:type="dxa"/>
              <w:bottom w:w="105" w:type="dxa"/>
              <w:right w:w="125" w:type="dxa"/>
            </w:tcMar>
          </w:tcPr>
          <w:p w14:paraId="4B6142A1" w14:textId="77777777" w:rsidR="006E2974" w:rsidRDefault="008C3B4E">
            <w:pPr>
              <w:spacing w:after="50" w:line="255" w:lineRule="auto"/>
            </w:pPr>
            <w:r>
              <w:rPr>
                <w:sz w:val="19"/>
                <w:szCs w:val="19"/>
              </w:rPr>
              <w:t>Nucleolus</w:t>
            </w:r>
          </w:p>
        </w:tc>
        <w:tc>
          <w:tcPr>
            <w:tcW w:w="2340" w:type="dxa"/>
            <w:tcMar>
              <w:top w:w="105" w:type="dxa"/>
              <w:left w:w="125" w:type="dxa"/>
              <w:bottom w:w="105" w:type="dxa"/>
              <w:right w:w="125" w:type="dxa"/>
            </w:tcMar>
          </w:tcPr>
          <w:p w14:paraId="6D46033C" w14:textId="77777777" w:rsidR="006E2974" w:rsidRDefault="008C3B4E">
            <w:pPr>
              <w:spacing w:after="50" w:line="255" w:lineRule="auto"/>
            </w:pPr>
            <w:r>
              <w:rPr>
                <w:sz w:val="19"/>
                <w:szCs w:val="19"/>
              </w:rPr>
              <w:t>Pre-rRNA, processing networks and component-specific protein interactions</w:t>
            </w:r>
          </w:p>
        </w:tc>
        <w:tc>
          <w:tcPr>
            <w:tcW w:w="2340" w:type="dxa"/>
            <w:tcMar>
              <w:top w:w="105" w:type="dxa"/>
              <w:left w:w="125" w:type="dxa"/>
              <w:bottom w:w="105" w:type="dxa"/>
              <w:right w:w="125" w:type="dxa"/>
            </w:tcMar>
          </w:tcPr>
          <w:p w14:paraId="31F71274" w14:textId="77777777" w:rsidR="006E2974" w:rsidRDefault="008C3B4E">
            <w:pPr>
              <w:spacing w:after="50" w:line="255" w:lineRule="auto"/>
            </w:pPr>
            <w:r>
              <w:rPr>
                <w:sz w:val="19"/>
                <w:szCs w:val="19"/>
              </w:rPr>
              <w:t>Ribosomal particle maturation and outward RNA progression</w:t>
            </w:r>
          </w:p>
        </w:tc>
        <w:tc>
          <w:tcPr>
            <w:tcW w:w="2340" w:type="dxa"/>
            <w:tcMar>
              <w:top w:w="105" w:type="dxa"/>
              <w:left w:w="125" w:type="dxa"/>
              <w:bottom w:w="105" w:type="dxa"/>
              <w:right w:w="125" w:type="dxa"/>
            </w:tcMar>
          </w:tcPr>
          <w:p w14:paraId="6E8BB724" w14:textId="5EDDFA30" w:rsidR="006E2974" w:rsidRDefault="008C3B4E">
            <w:pPr>
              <w:spacing w:after="50" w:line="255" w:lineRule="auto"/>
            </w:pPr>
            <w:r>
              <w:rPr>
                <w:sz w:val="19"/>
                <w:szCs w:val="19"/>
              </w:rPr>
              <w:t>Processing alters organization; rheology is heterogeneous and preparation dependent.</w:t>
            </w:r>
            <w:hyperlink r:id="rId71" w:history="1">
              <w:r>
                <w:rPr>
                  <w:color w:val="087B78"/>
                  <w:sz w:val="18"/>
                  <w:szCs w:val="18"/>
                </w:rPr>
                <w:t xml:space="preserve"> [32]</w:t>
              </w:r>
            </w:hyperlink>
            <w:hyperlink r:id="rId72" w:history="1">
              <w:r>
                <w:rPr>
                  <w:color w:val="087B78"/>
                  <w:sz w:val="18"/>
                  <w:szCs w:val="18"/>
                </w:rPr>
                <w:t xml:space="preserve"> [1]</w:t>
              </w:r>
            </w:hyperlink>
            <w:hyperlink r:id="rId73" w:history="1">
              <w:r>
                <w:rPr>
                  <w:color w:val="087B78"/>
                  <w:sz w:val="18"/>
                  <w:szCs w:val="18"/>
                </w:rPr>
                <w:t xml:space="preserve"> [20]</w:t>
              </w:r>
            </w:hyperlink>
          </w:p>
        </w:tc>
      </w:tr>
      <w:tr w:rsidR="006E2974" w14:paraId="54E82D5A" w14:textId="77777777">
        <w:tblPrEx>
          <w:tblCellMar>
            <w:top w:w="0" w:type="dxa"/>
            <w:bottom w:w="0" w:type="dxa"/>
          </w:tblCellMar>
        </w:tblPrEx>
        <w:trPr>
          <w:cantSplit/>
        </w:trPr>
        <w:tc>
          <w:tcPr>
            <w:tcW w:w="2340" w:type="dxa"/>
            <w:tcMar>
              <w:top w:w="105" w:type="dxa"/>
              <w:left w:w="125" w:type="dxa"/>
              <w:bottom w:w="105" w:type="dxa"/>
              <w:right w:w="125" w:type="dxa"/>
            </w:tcMar>
          </w:tcPr>
          <w:p w14:paraId="258C6799" w14:textId="77777777" w:rsidR="006E2974" w:rsidRDefault="008C3B4E">
            <w:pPr>
              <w:spacing w:after="50" w:line="255" w:lineRule="auto"/>
            </w:pPr>
            <w:r>
              <w:rPr>
                <w:sz w:val="19"/>
                <w:szCs w:val="19"/>
              </w:rPr>
              <w:t>Nuclear speckles</w:t>
            </w:r>
          </w:p>
        </w:tc>
        <w:tc>
          <w:tcPr>
            <w:tcW w:w="2340" w:type="dxa"/>
            <w:tcMar>
              <w:top w:w="105" w:type="dxa"/>
              <w:left w:w="125" w:type="dxa"/>
              <w:bottom w:w="105" w:type="dxa"/>
              <w:right w:w="125" w:type="dxa"/>
            </w:tcMar>
          </w:tcPr>
          <w:p w14:paraId="166F295C" w14:textId="77777777" w:rsidR="006E2974" w:rsidRDefault="008C3B4E">
            <w:pPr>
              <w:spacing w:after="50" w:line="255" w:lineRule="auto"/>
            </w:pPr>
            <w:r>
              <w:rPr>
                <w:sz w:val="19"/>
                <w:szCs w:val="19"/>
              </w:rPr>
              <w:t>SON/SRRM2 and RNA-processing interactions</w:t>
            </w:r>
          </w:p>
        </w:tc>
        <w:tc>
          <w:tcPr>
            <w:tcW w:w="2340" w:type="dxa"/>
            <w:tcMar>
              <w:top w:w="105" w:type="dxa"/>
              <w:left w:w="125" w:type="dxa"/>
              <w:bottom w:w="105" w:type="dxa"/>
              <w:right w:w="125" w:type="dxa"/>
            </w:tcMar>
          </w:tcPr>
          <w:p w14:paraId="4192660E" w14:textId="77777777" w:rsidR="006E2974" w:rsidRDefault="008C3B4E">
            <w:pPr>
              <w:spacing w:after="50" w:line="255" w:lineRule="auto"/>
            </w:pPr>
            <w:r>
              <w:rPr>
                <w:sz w:val="19"/>
                <w:szCs w:val="19"/>
              </w:rPr>
              <w:t>Selected spatial splicing and regulated RNA retention</w:t>
            </w:r>
          </w:p>
        </w:tc>
        <w:tc>
          <w:tcPr>
            <w:tcW w:w="2340" w:type="dxa"/>
            <w:tcMar>
              <w:top w:w="105" w:type="dxa"/>
              <w:left w:w="125" w:type="dxa"/>
              <w:bottom w:w="105" w:type="dxa"/>
              <w:right w:w="125" w:type="dxa"/>
            </w:tcMar>
          </w:tcPr>
          <w:p w14:paraId="28620F0D" w14:textId="7CFBAD3D" w:rsidR="006E2974" w:rsidRDefault="008C3B4E">
            <w:pPr>
              <w:spacing w:after="50" w:line="255" w:lineRule="auto"/>
            </w:pPr>
            <w:r>
              <w:rPr>
                <w:sz w:val="19"/>
                <w:szCs w:val="19"/>
              </w:rPr>
              <w:t>Organizer loss has direct biochemical effects; not every transcript has the same dependence.</w:t>
            </w:r>
            <w:hyperlink r:id="rId74" w:history="1">
              <w:r>
                <w:rPr>
                  <w:color w:val="087B78"/>
                  <w:sz w:val="18"/>
                  <w:szCs w:val="18"/>
                </w:rPr>
                <w:t xml:space="preserve"> [3]</w:t>
              </w:r>
            </w:hyperlink>
            <w:hyperlink r:id="rId75" w:history="1">
              <w:r>
                <w:rPr>
                  <w:color w:val="087B78"/>
                  <w:sz w:val="18"/>
                  <w:szCs w:val="18"/>
                </w:rPr>
                <w:t xml:space="preserve"> [8]</w:t>
              </w:r>
            </w:hyperlink>
            <w:hyperlink r:id="rId76" w:history="1">
              <w:r>
                <w:rPr>
                  <w:color w:val="087B78"/>
                  <w:sz w:val="18"/>
                  <w:szCs w:val="18"/>
                </w:rPr>
                <w:t xml:space="preserve"> [14]</w:t>
              </w:r>
            </w:hyperlink>
            <w:hyperlink r:id="rId77" w:history="1">
              <w:r>
                <w:rPr>
                  <w:color w:val="087B78"/>
                  <w:sz w:val="18"/>
                  <w:szCs w:val="18"/>
                </w:rPr>
                <w:t xml:space="preserve"> [22]</w:t>
              </w:r>
            </w:hyperlink>
          </w:p>
        </w:tc>
      </w:tr>
      <w:tr w:rsidR="006E2974" w14:paraId="11DB0B0E" w14:textId="77777777">
        <w:tblPrEx>
          <w:tblCellMar>
            <w:top w:w="0" w:type="dxa"/>
            <w:bottom w:w="0" w:type="dxa"/>
          </w:tblCellMar>
        </w:tblPrEx>
        <w:trPr>
          <w:cantSplit/>
        </w:trPr>
        <w:tc>
          <w:tcPr>
            <w:tcW w:w="2340" w:type="dxa"/>
            <w:tcMar>
              <w:top w:w="105" w:type="dxa"/>
              <w:left w:w="125" w:type="dxa"/>
              <w:bottom w:w="105" w:type="dxa"/>
              <w:right w:w="125" w:type="dxa"/>
            </w:tcMar>
          </w:tcPr>
          <w:p w14:paraId="6A20C869" w14:textId="77777777" w:rsidR="006E2974" w:rsidRDefault="008C3B4E">
            <w:pPr>
              <w:spacing w:after="50" w:line="255" w:lineRule="auto"/>
            </w:pPr>
            <w:r>
              <w:rPr>
                <w:sz w:val="19"/>
                <w:szCs w:val="19"/>
              </w:rPr>
              <w:t>Paraspeckles</w:t>
            </w:r>
          </w:p>
        </w:tc>
        <w:tc>
          <w:tcPr>
            <w:tcW w:w="2340" w:type="dxa"/>
            <w:tcMar>
              <w:top w:w="105" w:type="dxa"/>
              <w:left w:w="125" w:type="dxa"/>
              <w:bottom w:w="105" w:type="dxa"/>
              <w:right w:w="125" w:type="dxa"/>
            </w:tcMar>
          </w:tcPr>
          <w:p w14:paraId="06B54182" w14:textId="77777777" w:rsidR="006E2974" w:rsidRDefault="008C3B4E">
            <w:pPr>
              <w:spacing w:after="50" w:line="255" w:lineRule="auto"/>
            </w:pPr>
            <w:r>
              <w:rPr>
                <w:sz w:val="19"/>
                <w:szCs w:val="19"/>
              </w:rPr>
              <w:t>Long NEAT1 isoform and domain-specific RNP contacts</w:t>
            </w:r>
          </w:p>
        </w:tc>
        <w:tc>
          <w:tcPr>
            <w:tcW w:w="2340" w:type="dxa"/>
            <w:tcMar>
              <w:top w:w="105" w:type="dxa"/>
              <w:left w:w="125" w:type="dxa"/>
              <w:bottom w:w="105" w:type="dxa"/>
              <w:right w:w="125" w:type="dxa"/>
            </w:tcMar>
          </w:tcPr>
          <w:p w14:paraId="729ED823" w14:textId="77777777" w:rsidR="006E2974" w:rsidRDefault="008C3B4E">
            <w:pPr>
              <w:spacing w:after="50" w:line="255" w:lineRule="auto"/>
            </w:pPr>
            <w:r>
              <w:rPr>
                <w:sz w:val="19"/>
                <w:szCs w:val="19"/>
              </w:rPr>
              <w:t>Conditional protein redistribution and RNA regulation</w:t>
            </w:r>
          </w:p>
        </w:tc>
        <w:tc>
          <w:tcPr>
            <w:tcW w:w="2340" w:type="dxa"/>
            <w:tcMar>
              <w:top w:w="105" w:type="dxa"/>
              <w:left w:w="125" w:type="dxa"/>
              <w:bottom w:w="105" w:type="dxa"/>
              <w:right w:w="125" w:type="dxa"/>
            </w:tcMar>
          </w:tcPr>
          <w:p w14:paraId="52D6B498" w14:textId="2FDF681D" w:rsidR="006E2974" w:rsidRDefault="008C3B4E">
            <w:pPr>
              <w:spacing w:after="50" w:line="255" w:lineRule="auto"/>
            </w:pPr>
            <w:r>
              <w:rPr>
                <w:sz w:val="19"/>
                <w:szCs w:val="19"/>
              </w:rPr>
              <w:t>Finite ordered architecture and physiological context exceed a homogeneous-droplet description.</w:t>
            </w:r>
            <w:hyperlink r:id="rId78" w:history="1">
              <w:r>
                <w:rPr>
                  <w:color w:val="087B78"/>
                  <w:sz w:val="18"/>
                  <w:szCs w:val="18"/>
                </w:rPr>
                <w:t xml:space="preserve"> [2]</w:t>
              </w:r>
            </w:hyperlink>
            <w:hyperlink r:id="rId79" w:history="1">
              <w:r>
                <w:rPr>
                  <w:color w:val="087B78"/>
                  <w:sz w:val="18"/>
                  <w:szCs w:val="18"/>
                </w:rPr>
                <w:t xml:space="preserve"> [11]</w:t>
              </w:r>
            </w:hyperlink>
            <w:hyperlink r:id="rId80" w:history="1">
              <w:r>
                <w:rPr>
                  <w:color w:val="087B78"/>
                  <w:sz w:val="18"/>
                  <w:szCs w:val="18"/>
                </w:rPr>
                <w:t xml:space="preserve"> [26]</w:t>
              </w:r>
            </w:hyperlink>
          </w:p>
        </w:tc>
      </w:tr>
      <w:tr w:rsidR="006E2974" w14:paraId="1BFD9069" w14:textId="77777777">
        <w:tblPrEx>
          <w:tblCellMar>
            <w:top w:w="0" w:type="dxa"/>
            <w:bottom w:w="0" w:type="dxa"/>
          </w:tblCellMar>
        </w:tblPrEx>
        <w:trPr>
          <w:cantSplit/>
        </w:trPr>
        <w:tc>
          <w:tcPr>
            <w:tcW w:w="2340" w:type="dxa"/>
            <w:tcMar>
              <w:top w:w="105" w:type="dxa"/>
              <w:left w:w="125" w:type="dxa"/>
              <w:bottom w:w="105" w:type="dxa"/>
              <w:right w:w="125" w:type="dxa"/>
            </w:tcMar>
          </w:tcPr>
          <w:p w14:paraId="1B43D7C7" w14:textId="77777777" w:rsidR="006E2974" w:rsidRDefault="008C3B4E">
            <w:pPr>
              <w:spacing w:after="50" w:line="255" w:lineRule="auto"/>
            </w:pPr>
            <w:r>
              <w:rPr>
                <w:sz w:val="19"/>
                <w:szCs w:val="19"/>
              </w:rPr>
              <w:t>Cajal bodies</w:t>
            </w:r>
          </w:p>
        </w:tc>
        <w:tc>
          <w:tcPr>
            <w:tcW w:w="2340" w:type="dxa"/>
            <w:tcMar>
              <w:top w:w="105" w:type="dxa"/>
              <w:left w:w="125" w:type="dxa"/>
              <w:bottom w:w="105" w:type="dxa"/>
              <w:right w:w="125" w:type="dxa"/>
            </w:tcMar>
          </w:tcPr>
          <w:p w14:paraId="14B9AFE8" w14:textId="77777777" w:rsidR="006E2974" w:rsidRDefault="008C3B4E">
            <w:pPr>
              <w:spacing w:after="50" w:line="255" w:lineRule="auto"/>
            </w:pPr>
            <w:r>
              <w:rPr>
                <w:sz w:val="19"/>
                <w:szCs w:val="19"/>
              </w:rPr>
              <w:t>Coilin-associated RNA, SMN and snRNP interactions</w:t>
            </w:r>
          </w:p>
        </w:tc>
        <w:tc>
          <w:tcPr>
            <w:tcW w:w="2340" w:type="dxa"/>
            <w:tcMar>
              <w:top w:w="105" w:type="dxa"/>
              <w:left w:w="125" w:type="dxa"/>
              <w:bottom w:w="105" w:type="dxa"/>
              <w:right w:w="125" w:type="dxa"/>
            </w:tcMar>
          </w:tcPr>
          <w:p w14:paraId="329E1D1E" w14:textId="77777777" w:rsidR="006E2974" w:rsidRDefault="008C3B4E">
            <w:pPr>
              <w:spacing w:after="50" w:line="255" w:lineRule="auto"/>
            </w:pPr>
            <w:r>
              <w:rPr>
                <w:sz w:val="19"/>
                <w:szCs w:val="19"/>
              </w:rPr>
              <w:t>Particle maturation and demand-dependent assembly</w:t>
            </w:r>
          </w:p>
        </w:tc>
        <w:tc>
          <w:tcPr>
            <w:tcW w:w="2340" w:type="dxa"/>
            <w:tcMar>
              <w:top w:w="105" w:type="dxa"/>
              <w:left w:w="125" w:type="dxa"/>
              <w:bottom w:w="105" w:type="dxa"/>
              <w:right w:w="125" w:type="dxa"/>
            </w:tcMar>
          </w:tcPr>
          <w:p w14:paraId="76CFC676" w14:textId="7CE13FE4" w:rsidR="006E2974" w:rsidRDefault="008C3B4E">
            <w:pPr>
              <w:spacing w:after="50" w:line="255" w:lineRule="auto"/>
            </w:pPr>
            <w:r>
              <w:rPr>
                <w:sz w:val="19"/>
                <w:szCs w:val="19"/>
              </w:rPr>
              <w:t>Modeled kinetics, developmental necessity and boundary exchange are distinct findings.</w:t>
            </w:r>
            <w:hyperlink r:id="rId81" w:history="1">
              <w:r>
                <w:rPr>
                  <w:color w:val="087B78"/>
                  <w:sz w:val="18"/>
                  <w:szCs w:val="18"/>
                </w:rPr>
                <w:t xml:space="preserve"> [16]</w:t>
              </w:r>
            </w:hyperlink>
            <w:hyperlink r:id="rId82" w:history="1">
              <w:r>
                <w:rPr>
                  <w:color w:val="087B78"/>
                  <w:sz w:val="18"/>
                  <w:szCs w:val="18"/>
                </w:rPr>
                <w:t xml:space="preserve"> [33]</w:t>
              </w:r>
            </w:hyperlink>
            <w:hyperlink r:id="rId83" w:history="1">
              <w:r>
                <w:rPr>
                  <w:color w:val="087B78"/>
                  <w:sz w:val="18"/>
                  <w:szCs w:val="18"/>
                </w:rPr>
                <w:t xml:space="preserve"> [7]</w:t>
              </w:r>
            </w:hyperlink>
            <w:hyperlink r:id="rId84" w:history="1">
              <w:r>
                <w:rPr>
                  <w:color w:val="087B78"/>
                  <w:sz w:val="18"/>
                  <w:szCs w:val="18"/>
                </w:rPr>
                <w:t xml:space="preserve"> [5]</w:t>
              </w:r>
            </w:hyperlink>
          </w:p>
        </w:tc>
      </w:tr>
      <w:tr w:rsidR="006E2974" w14:paraId="1C7B1A39" w14:textId="77777777">
        <w:tblPrEx>
          <w:tblCellMar>
            <w:top w:w="0" w:type="dxa"/>
            <w:bottom w:w="0" w:type="dxa"/>
          </w:tblCellMar>
        </w:tblPrEx>
        <w:trPr>
          <w:cantSplit/>
        </w:trPr>
        <w:tc>
          <w:tcPr>
            <w:tcW w:w="2340" w:type="dxa"/>
            <w:tcMar>
              <w:top w:w="105" w:type="dxa"/>
              <w:left w:w="125" w:type="dxa"/>
              <w:bottom w:w="105" w:type="dxa"/>
              <w:right w:w="125" w:type="dxa"/>
            </w:tcMar>
          </w:tcPr>
          <w:p w14:paraId="6999C337" w14:textId="77777777" w:rsidR="006E2974" w:rsidRDefault="008C3B4E">
            <w:pPr>
              <w:spacing w:after="50" w:line="255" w:lineRule="auto"/>
            </w:pPr>
            <w:r>
              <w:rPr>
                <w:sz w:val="19"/>
                <w:szCs w:val="19"/>
              </w:rPr>
              <w:t>PML bodies</w:t>
            </w:r>
          </w:p>
        </w:tc>
        <w:tc>
          <w:tcPr>
            <w:tcW w:w="2340" w:type="dxa"/>
            <w:tcMar>
              <w:top w:w="105" w:type="dxa"/>
              <w:left w:w="125" w:type="dxa"/>
              <w:bottom w:w="105" w:type="dxa"/>
              <w:right w:w="125" w:type="dxa"/>
            </w:tcMar>
          </w:tcPr>
          <w:p w14:paraId="4AE3023A" w14:textId="77777777" w:rsidR="006E2974" w:rsidRDefault="008C3B4E">
            <w:pPr>
              <w:spacing w:after="50" w:line="255" w:lineRule="auto"/>
            </w:pPr>
            <w:r>
              <w:rPr>
                <w:sz w:val="19"/>
                <w:szCs w:val="19"/>
              </w:rPr>
              <w:t>PML scaffold and SUMO-associated partner networks</w:t>
            </w:r>
          </w:p>
        </w:tc>
        <w:tc>
          <w:tcPr>
            <w:tcW w:w="2340" w:type="dxa"/>
            <w:tcMar>
              <w:top w:w="105" w:type="dxa"/>
              <w:left w:w="125" w:type="dxa"/>
              <w:bottom w:w="105" w:type="dxa"/>
              <w:right w:w="125" w:type="dxa"/>
            </w:tcMar>
          </w:tcPr>
          <w:p w14:paraId="01D93E78" w14:textId="77777777" w:rsidR="006E2974" w:rsidRDefault="008C3B4E">
            <w:pPr>
              <w:spacing w:after="50" w:line="255" w:lineRule="auto"/>
            </w:pPr>
            <w:r>
              <w:rPr>
                <w:sz w:val="19"/>
                <w:szCs w:val="19"/>
              </w:rPr>
              <w:t>Chromatin, telomere or protein-quality effects on defined substrates</w:t>
            </w:r>
          </w:p>
        </w:tc>
        <w:tc>
          <w:tcPr>
            <w:tcW w:w="2340" w:type="dxa"/>
            <w:tcMar>
              <w:top w:w="105" w:type="dxa"/>
              <w:left w:w="125" w:type="dxa"/>
              <w:bottom w:w="105" w:type="dxa"/>
              <w:right w:w="125" w:type="dxa"/>
            </w:tcMar>
          </w:tcPr>
          <w:p w14:paraId="063E3B71" w14:textId="1BE3F408" w:rsidR="006E2974" w:rsidRDefault="008C3B4E">
            <w:pPr>
              <w:spacing w:after="50" w:line="255" w:lineRule="auto"/>
            </w:pPr>
            <w:r>
              <w:rPr>
                <w:sz w:val="19"/>
                <w:szCs w:val="19"/>
              </w:rPr>
              <w:t>Scaffold construction, recruitment, modification and output must be separated.</w:t>
            </w:r>
            <w:hyperlink r:id="rId85" w:history="1">
              <w:r>
                <w:rPr>
                  <w:color w:val="087B78"/>
                  <w:sz w:val="18"/>
                  <w:szCs w:val="18"/>
                </w:rPr>
                <w:t xml:space="preserve"> [4]</w:t>
              </w:r>
            </w:hyperlink>
            <w:hyperlink r:id="rId86" w:history="1">
              <w:r>
                <w:rPr>
                  <w:color w:val="087B78"/>
                  <w:sz w:val="18"/>
                  <w:szCs w:val="18"/>
                </w:rPr>
                <w:t xml:space="preserve"> [18]</w:t>
              </w:r>
            </w:hyperlink>
            <w:hyperlink r:id="rId87" w:history="1">
              <w:r>
                <w:rPr>
                  <w:color w:val="087B78"/>
                  <w:sz w:val="18"/>
                  <w:szCs w:val="18"/>
                </w:rPr>
                <w:t xml:space="preserve"> [34]</w:t>
              </w:r>
            </w:hyperlink>
            <w:hyperlink r:id="rId88" w:history="1">
              <w:r>
                <w:rPr>
                  <w:color w:val="087B78"/>
                  <w:sz w:val="18"/>
                  <w:szCs w:val="18"/>
                </w:rPr>
                <w:t xml:space="preserve"> [23]</w:t>
              </w:r>
            </w:hyperlink>
            <w:hyperlink r:id="rId89" w:history="1">
              <w:r>
                <w:rPr>
                  <w:color w:val="087B78"/>
                  <w:sz w:val="18"/>
                  <w:szCs w:val="18"/>
                </w:rPr>
                <w:t xml:space="preserve"> [27]</w:t>
              </w:r>
            </w:hyperlink>
          </w:p>
        </w:tc>
      </w:tr>
    </w:tbl>
    <w:p w14:paraId="39A9C1B5" w14:textId="77777777" w:rsidR="006E2974" w:rsidRDefault="006E2974">
      <w:pPr>
        <w:spacing w:after="170"/>
      </w:pPr>
    </w:p>
    <w:p w14:paraId="40791282" w14:textId="465882FC" w:rsidR="006E2974" w:rsidRDefault="008C3B4E">
      <w:r>
        <w:lastRenderedPageBreak/>
        <w:t>The comparison identifies recurring principles—selective recruitment, molecular connectivity, spatial opportunity and regulated turnover—without making the bodies chemically identical. A common experimental vocabulary is useful when it preserves those distinctions. For example, the same term enrichment can describe concentration in a reconstituted phase, binding to an RNA scaffold or access to a protein shell; the mechanism must be established rather than inferred from the shared word.</w:t>
      </w:r>
      <w:hyperlink r:id="rId90" w:history="1">
        <w:r>
          <w:rPr>
            <w:color w:val="087B78"/>
            <w:sz w:val="18"/>
            <w:szCs w:val="18"/>
          </w:rPr>
          <w:t xml:space="preserve"> [15]</w:t>
        </w:r>
      </w:hyperlink>
      <w:hyperlink r:id="rId91" w:history="1">
        <w:r>
          <w:rPr>
            <w:color w:val="087B78"/>
            <w:sz w:val="18"/>
            <w:szCs w:val="18"/>
          </w:rPr>
          <w:t xml:space="preserve"> [10]</w:t>
        </w:r>
      </w:hyperlink>
      <w:hyperlink r:id="rId92" w:history="1">
        <w:r>
          <w:rPr>
            <w:color w:val="087B78"/>
            <w:sz w:val="18"/>
            <w:szCs w:val="18"/>
          </w:rPr>
          <w:t xml:space="preserve"> [4]</w:t>
        </w:r>
      </w:hyperlink>
    </w:p>
    <w:p w14:paraId="7FC7EDF9" w14:textId="77777777" w:rsidR="006E2974" w:rsidRDefault="008C3B4E">
      <w:pPr>
        <w:pStyle w:val="Heading1"/>
      </w:pPr>
      <w:bookmarkStart w:id="10" w:name="_Toc242668369"/>
      <w:r>
        <w:t>10. Research methods and the next mechanistic questions</w:t>
      </w:r>
      <w:bookmarkEnd w:id="10"/>
    </w:p>
    <w:p w14:paraId="3401671D" w14:textId="6A1AB680" w:rsidR="006E2974" w:rsidRDefault="008C3B4E">
      <w:r>
        <w:t>Images, molecular perturbations, reaction assays and physical measurements should be combined according to the claim being tested. Colocalization defines proximity; domain mutants identify interfaces; pulse labeling follows substrates; targeted recruitment tests spatial sufficiency; mechanical loading tests deformation. A nonselective solvent perturbation needs particular caution: Itoh and colleagues showed that 1,6-hexanediol can itself immobilize and condense chromatin in living cells. Dissolution or alte</w:t>
      </w:r>
      <w:r>
        <w:t>red fluorescence after such a treatment cannot uniquely assign a phase-separation mechanism.</w:t>
      </w:r>
      <w:hyperlink r:id="rId93" w:history="1">
        <w:r>
          <w:rPr>
            <w:color w:val="087B78"/>
            <w:sz w:val="18"/>
            <w:szCs w:val="18"/>
          </w:rPr>
          <w:t xml:space="preserve"> [8]</w:t>
        </w:r>
      </w:hyperlink>
      <w:hyperlink r:id="rId94" w:history="1">
        <w:r>
          <w:rPr>
            <w:color w:val="087B78"/>
            <w:sz w:val="18"/>
            <w:szCs w:val="18"/>
          </w:rPr>
          <w:t xml:space="preserve"> [1]</w:t>
        </w:r>
      </w:hyperlink>
      <w:hyperlink r:id="rId95" w:history="1">
        <w:r>
          <w:rPr>
            <w:color w:val="087B78"/>
            <w:sz w:val="18"/>
            <w:szCs w:val="18"/>
          </w:rPr>
          <w:t xml:space="preserve"> [20]</w:t>
        </w:r>
      </w:hyperlink>
      <w:hyperlink r:id="rId96" w:history="1">
        <w:r>
          <w:rPr>
            <w:color w:val="087B78"/>
            <w:sz w:val="18"/>
            <w:szCs w:val="18"/>
          </w:rPr>
          <w:t xml:space="preserve"> [35]</w:t>
        </w:r>
      </w:hyperlink>
    </w:p>
    <w:p w14:paraId="34DD8E8A" w14:textId="1F90AD29" w:rsidR="006E2974" w:rsidRDefault="008C3B4E">
      <w:r>
        <w:t xml:space="preserve">The most useful next questions ask when organization becomes limiting for a particular reaction and whether that limitation can be changed without removing direct molecular functions. Endogenous expression, matched time windows, substrate-specific completion assays and selective rescue can compare alternative models. Current primary research supports nuclear bodies as diverse, regulated molecular environments. Their full significance comes from connecting how they assemble to what a defined substrate does, </w:t>
      </w:r>
      <w:r>
        <w:t>rather than assigning every body one material state, one generic purpose or one disease consequence.</w:t>
      </w:r>
      <w:hyperlink r:id="rId97" w:history="1">
        <w:r>
          <w:rPr>
            <w:color w:val="087B78"/>
            <w:sz w:val="18"/>
            <w:szCs w:val="18"/>
          </w:rPr>
          <w:t xml:space="preserve"> [7]</w:t>
        </w:r>
      </w:hyperlink>
      <w:hyperlink r:id="rId98" w:history="1">
        <w:r>
          <w:rPr>
            <w:color w:val="087B78"/>
            <w:sz w:val="18"/>
            <w:szCs w:val="18"/>
          </w:rPr>
          <w:t xml:space="preserve"> [8]</w:t>
        </w:r>
      </w:hyperlink>
      <w:hyperlink r:id="rId99" w:history="1">
        <w:r>
          <w:rPr>
            <w:color w:val="087B78"/>
            <w:sz w:val="18"/>
            <w:szCs w:val="18"/>
          </w:rPr>
          <w:t xml:space="preserve"> [14]</w:t>
        </w:r>
      </w:hyperlink>
      <w:hyperlink r:id="rId100" w:history="1">
        <w:r>
          <w:rPr>
            <w:color w:val="087B78"/>
            <w:sz w:val="18"/>
            <w:szCs w:val="18"/>
          </w:rPr>
          <w:t xml:space="preserve"> [1]</w:t>
        </w:r>
      </w:hyperlink>
      <w:hyperlink r:id="rId101" w:history="1">
        <w:r>
          <w:rPr>
            <w:color w:val="087B78"/>
            <w:sz w:val="18"/>
            <w:szCs w:val="18"/>
          </w:rPr>
          <w:t xml:space="preserve"> [27]</w:t>
        </w:r>
      </w:hyperlink>
    </w:p>
    <w:p w14:paraId="32B21728" w14:textId="77777777" w:rsidR="006E2974" w:rsidRDefault="008C3B4E">
      <w:pPr>
        <w:pStyle w:val="Heading1"/>
      </w:pPr>
      <w:bookmarkStart w:id="11" w:name="_Toc242668370"/>
      <w:r>
        <w:t>11. Genome relationships and the direction of causality</w:t>
      </w:r>
      <w:bookmarkEnd w:id="11"/>
    </w:p>
    <w:p w14:paraId="752F16E5" w14:textId="7E5EC15D" w:rsidR="006E2974" w:rsidRDefault="008C3B4E">
      <w:r>
        <w:t>Nuclear bodies can be related to the genome in more than one way. A gene’s position near processing machinery can change the opportunity for its RNA to react; a body can recruit histone-associated factors that influence a DNA substrate; precursor production from a template can organize the body itself. Spatial-splicing, PML-associated viral chromatinization and synthetic-nucleolus experiments illustrate these different directions. A gene near a body is therefore an association that requires an explicit mech</w:t>
      </w:r>
      <w:r>
        <w:t>anistic question, rather than immediate proof that the compartment controls transcription at that locus.</w:t>
      </w:r>
      <w:hyperlink r:id="rId102" w:history="1">
        <w:r>
          <w:rPr>
            <w:color w:val="087B78"/>
            <w:sz w:val="18"/>
            <w:szCs w:val="18"/>
          </w:rPr>
          <w:t xml:space="preserve"> [8]</w:t>
        </w:r>
      </w:hyperlink>
      <w:hyperlink r:id="rId103" w:history="1">
        <w:r>
          <w:rPr>
            <w:color w:val="087B78"/>
            <w:sz w:val="18"/>
            <w:szCs w:val="18"/>
          </w:rPr>
          <w:t xml:space="preserve"> [36]</w:t>
        </w:r>
      </w:hyperlink>
      <w:hyperlink r:id="rId104" w:history="1">
        <w:r>
          <w:rPr>
            <w:color w:val="087B78"/>
            <w:sz w:val="18"/>
            <w:szCs w:val="18"/>
          </w:rPr>
          <w:t xml:space="preserve"> [1]</w:t>
        </w:r>
      </w:hyperlink>
    </w:p>
    <w:p w14:paraId="2A8E4654" w14:textId="1ED85BFC" w:rsidR="006E2974" w:rsidRDefault="008C3B4E">
      <w:r>
        <w:t>The distinction suggests paired measurements of DNA position and the molecular product relevant to the proposed function. If the claim is improved splicing, measure the RNA reaction. If it is viral restriction, measure chromatin and viral expression. If the claim is scaffold-driven organization, manipulate the precursor template or processing state. This matched-readout strategy connects genome location to a defined outcome and can reveal whether a spatial relationship is an input, an output or part of a fe</w:t>
      </w:r>
      <w:r>
        <w:t>edback process. It also allows an experimentally useful common framework while preserving the different molecular substrates and mechanisms of the major bodies.</w:t>
      </w:r>
      <w:hyperlink r:id="rId105" w:history="1">
        <w:r>
          <w:rPr>
            <w:color w:val="087B78"/>
            <w:sz w:val="18"/>
            <w:szCs w:val="18"/>
          </w:rPr>
          <w:t xml:space="preserve"> [8]</w:t>
        </w:r>
      </w:hyperlink>
      <w:hyperlink r:id="rId106" w:history="1">
        <w:r>
          <w:rPr>
            <w:color w:val="087B78"/>
            <w:sz w:val="18"/>
            <w:szCs w:val="18"/>
          </w:rPr>
          <w:t xml:space="preserve"> [36]</w:t>
        </w:r>
      </w:hyperlink>
      <w:hyperlink r:id="rId107" w:history="1">
        <w:r>
          <w:rPr>
            <w:color w:val="087B78"/>
            <w:sz w:val="18"/>
            <w:szCs w:val="18"/>
          </w:rPr>
          <w:t xml:space="preserve"> [1]</w:t>
        </w:r>
      </w:hyperlink>
    </w:p>
    <w:p w14:paraId="2F2CD72A" w14:textId="77777777" w:rsidR="006E2974" w:rsidRDefault="008C3B4E">
      <w:pPr>
        <w:pStyle w:val="Heading1"/>
      </w:pPr>
      <w:bookmarkStart w:id="12" w:name="_Toc242668371"/>
      <w:r>
        <w:lastRenderedPageBreak/>
        <w:t>References</w:t>
      </w:r>
      <w:bookmarkEnd w:id="12"/>
    </w:p>
    <w:p w14:paraId="66472725" w14:textId="52240576" w:rsidR="006E2974" w:rsidRDefault="008C3B4E">
      <w:pPr>
        <w:keepLines/>
        <w:spacing w:after="90" w:line="245" w:lineRule="auto"/>
      </w:pPr>
      <w:r>
        <w:rPr>
          <w:b/>
          <w:bCs/>
          <w:sz w:val="20"/>
          <w:szCs w:val="20"/>
        </w:rPr>
        <w:t xml:space="preserve">[1] Quinodoz et al. (2025). </w:t>
      </w:r>
      <w:r>
        <w:rPr>
          <w:sz w:val="20"/>
          <w:szCs w:val="20"/>
        </w:rPr>
        <w:t xml:space="preserve">Mapping and engineering RNA-driven architecture of the multiphase nucleolus. Nature. </w:t>
      </w:r>
      <w:hyperlink r:id="rId108" w:history="1">
        <w:r>
          <w:rPr>
            <w:color w:val="087B78"/>
            <w:sz w:val="20"/>
            <w:szCs w:val="20"/>
            <w:u w:val="single"/>
          </w:rPr>
          <w:t>10.1038/s41586-025-09207-4</w:t>
        </w:r>
      </w:hyperlink>
    </w:p>
    <w:p w14:paraId="52B59BD2" w14:textId="523F5A32" w:rsidR="006E2974" w:rsidRDefault="008C3B4E">
      <w:pPr>
        <w:keepLines/>
        <w:spacing w:after="90" w:line="245" w:lineRule="auto"/>
      </w:pPr>
      <w:r>
        <w:rPr>
          <w:b/>
          <w:bCs/>
          <w:sz w:val="20"/>
          <w:szCs w:val="20"/>
        </w:rPr>
        <w:t xml:space="preserve">[2] Naganuma et al. (2012). </w:t>
      </w:r>
      <w:r>
        <w:rPr>
          <w:sz w:val="20"/>
          <w:szCs w:val="20"/>
        </w:rPr>
        <w:t xml:space="preserve">Alternative 3′-end processing of long noncoding RNA initiates construction of nuclear paraspeckles. The EMBO Journal. </w:t>
      </w:r>
      <w:hyperlink r:id="rId109" w:history="1">
        <w:r>
          <w:rPr>
            <w:color w:val="087B78"/>
            <w:sz w:val="20"/>
            <w:szCs w:val="20"/>
            <w:u w:val="single"/>
          </w:rPr>
          <w:t>10.1038/emboj.2012.251</w:t>
        </w:r>
      </w:hyperlink>
    </w:p>
    <w:p w14:paraId="1C2797EA" w14:textId="7720897A" w:rsidR="006E2974" w:rsidRDefault="008C3B4E">
      <w:pPr>
        <w:keepLines/>
        <w:spacing w:after="90" w:line="245" w:lineRule="auto"/>
      </w:pPr>
      <w:r>
        <w:rPr>
          <w:b/>
          <w:bCs/>
          <w:sz w:val="20"/>
          <w:szCs w:val="20"/>
        </w:rPr>
        <w:t xml:space="preserve">[3] Ilik et al. (2020). </w:t>
      </w:r>
      <w:r>
        <w:rPr>
          <w:sz w:val="20"/>
          <w:szCs w:val="20"/>
        </w:rPr>
        <w:t xml:space="preserve">SON and SRRM2 are essential for nuclear speckle formation. eLife. </w:t>
      </w:r>
      <w:hyperlink r:id="rId110" w:history="1">
        <w:r>
          <w:rPr>
            <w:color w:val="087B78"/>
            <w:sz w:val="20"/>
            <w:szCs w:val="20"/>
            <w:u w:val="single"/>
          </w:rPr>
          <w:t>10.7554/eLife.60579</w:t>
        </w:r>
      </w:hyperlink>
    </w:p>
    <w:p w14:paraId="35FBB091" w14:textId="603D4FA6" w:rsidR="006E2974" w:rsidRDefault="008C3B4E">
      <w:pPr>
        <w:keepLines/>
        <w:spacing w:after="90" w:line="245" w:lineRule="auto"/>
      </w:pPr>
      <w:r>
        <w:rPr>
          <w:b/>
          <w:bCs/>
          <w:sz w:val="20"/>
          <w:szCs w:val="20"/>
        </w:rPr>
        <w:t xml:space="preserve">[4] Sahin et al. (2014). </w:t>
      </w:r>
      <w:r>
        <w:rPr>
          <w:sz w:val="20"/>
          <w:szCs w:val="20"/>
        </w:rPr>
        <w:t xml:space="preserve">Oxidative stress-induced assembly of PML nuclear bodies controls sumoylation of partner proteins. Journal of Cell Biology. </w:t>
      </w:r>
      <w:hyperlink r:id="rId111" w:history="1">
        <w:r>
          <w:rPr>
            <w:color w:val="087B78"/>
            <w:sz w:val="20"/>
            <w:szCs w:val="20"/>
            <w:u w:val="single"/>
          </w:rPr>
          <w:t>10.1083/jcb.201305148</w:t>
        </w:r>
      </w:hyperlink>
    </w:p>
    <w:p w14:paraId="13B18C3C" w14:textId="5637D1D8" w:rsidR="006E2974" w:rsidRDefault="008C3B4E">
      <w:pPr>
        <w:keepLines/>
        <w:spacing w:after="90" w:line="245" w:lineRule="auto"/>
      </w:pPr>
      <w:r>
        <w:rPr>
          <w:b/>
          <w:bCs/>
          <w:sz w:val="20"/>
          <w:szCs w:val="20"/>
        </w:rPr>
        <w:t xml:space="preserve">[5] Basello et al. (2025). </w:t>
      </w:r>
      <w:r>
        <w:rPr>
          <w:sz w:val="20"/>
          <w:szCs w:val="20"/>
        </w:rPr>
        <w:t xml:space="preserve">Dynamic interaction of spliceosomal snRNPs with coilin explains Cajal body characteristics. Journal of Cell Biology. </w:t>
      </w:r>
      <w:hyperlink r:id="rId112" w:history="1">
        <w:r>
          <w:rPr>
            <w:color w:val="087B78"/>
            <w:sz w:val="20"/>
            <w:szCs w:val="20"/>
            <w:u w:val="single"/>
          </w:rPr>
          <w:t>10.1083/jcb.202309128</w:t>
        </w:r>
      </w:hyperlink>
    </w:p>
    <w:p w14:paraId="1D5DA04F" w14:textId="09829C05" w:rsidR="006E2974" w:rsidRDefault="008C3B4E">
      <w:pPr>
        <w:keepLines/>
        <w:spacing w:after="90" w:line="245" w:lineRule="auto"/>
      </w:pPr>
      <w:r>
        <w:rPr>
          <w:b/>
          <w:bCs/>
          <w:sz w:val="20"/>
          <w:szCs w:val="20"/>
        </w:rPr>
        <w:t xml:space="preserve">[6] Darzacq et al. (2002). </w:t>
      </w:r>
      <w:r>
        <w:rPr>
          <w:sz w:val="20"/>
          <w:szCs w:val="20"/>
        </w:rPr>
        <w:t xml:space="preserve">Cajal body-specific small nuclear RNAs: a novel class of 2′-O-methylation and pseudouridylation guide RNAs. The EMBO Journal. </w:t>
      </w:r>
      <w:hyperlink r:id="rId113" w:history="1">
        <w:r>
          <w:rPr>
            <w:color w:val="087B78"/>
            <w:sz w:val="20"/>
            <w:szCs w:val="20"/>
            <w:u w:val="single"/>
          </w:rPr>
          <w:t>10.1093/emboj/21.11.2746</w:t>
        </w:r>
      </w:hyperlink>
    </w:p>
    <w:p w14:paraId="2BDBA741" w14:textId="347DCC2C" w:rsidR="006E2974" w:rsidRDefault="008C3B4E">
      <w:pPr>
        <w:keepLines/>
        <w:spacing w:after="90" w:line="245" w:lineRule="auto"/>
      </w:pPr>
      <w:r>
        <w:rPr>
          <w:b/>
          <w:bCs/>
          <w:sz w:val="20"/>
          <w:szCs w:val="20"/>
        </w:rPr>
        <w:t xml:space="preserve">[7] Strzelecka et al. (2010). </w:t>
      </w:r>
      <w:r>
        <w:rPr>
          <w:sz w:val="20"/>
          <w:szCs w:val="20"/>
        </w:rPr>
        <w:t xml:space="preserve">Coilin-dependent snRNP assembly is essential for zebrafish embryogenesis. Nature Structural &amp; Molecular Biology. </w:t>
      </w:r>
      <w:hyperlink r:id="rId114" w:history="1">
        <w:r>
          <w:rPr>
            <w:color w:val="087B78"/>
            <w:sz w:val="20"/>
            <w:szCs w:val="20"/>
            <w:u w:val="single"/>
          </w:rPr>
          <w:t>10.1038/nsmb.1783</w:t>
        </w:r>
      </w:hyperlink>
    </w:p>
    <w:p w14:paraId="24AC3711" w14:textId="1D38B6C7" w:rsidR="006E2974" w:rsidRDefault="008C3B4E">
      <w:pPr>
        <w:keepLines/>
        <w:spacing w:after="90" w:line="245" w:lineRule="auto"/>
      </w:pPr>
      <w:r>
        <w:rPr>
          <w:b/>
          <w:bCs/>
          <w:sz w:val="20"/>
          <w:szCs w:val="20"/>
        </w:rPr>
        <w:t xml:space="preserve">[8] Bhat et al. (2024). </w:t>
      </w:r>
      <w:r>
        <w:rPr>
          <w:sz w:val="20"/>
          <w:szCs w:val="20"/>
        </w:rPr>
        <w:t xml:space="preserve">Genome organization around nuclear speckles drives mRNA splicing efficiency. Nature. </w:t>
      </w:r>
      <w:hyperlink r:id="rId115" w:history="1">
        <w:r>
          <w:rPr>
            <w:color w:val="087B78"/>
            <w:sz w:val="20"/>
            <w:szCs w:val="20"/>
            <w:u w:val="single"/>
          </w:rPr>
          <w:t>10.1038/s41586-024-07429-6</w:t>
        </w:r>
      </w:hyperlink>
    </w:p>
    <w:p w14:paraId="7DC94177" w14:textId="642B43A2" w:rsidR="006E2974" w:rsidRDefault="008C3B4E">
      <w:pPr>
        <w:keepLines/>
        <w:spacing w:after="90" w:line="245" w:lineRule="auto"/>
      </w:pPr>
      <w:r>
        <w:rPr>
          <w:b/>
          <w:bCs/>
          <w:sz w:val="20"/>
          <w:szCs w:val="20"/>
        </w:rPr>
        <w:t xml:space="preserve">[9] Clemson et al. (2009). </w:t>
      </w:r>
      <w:r>
        <w:rPr>
          <w:sz w:val="20"/>
          <w:szCs w:val="20"/>
        </w:rPr>
        <w:t xml:space="preserve">An Architectural Role for a Nuclear Noncoding RNA: NEAT1 RNA Is Essential for the Structure of Paraspeckles. Molecular Cell. </w:t>
      </w:r>
      <w:hyperlink r:id="rId116" w:history="1">
        <w:r>
          <w:rPr>
            <w:color w:val="087B78"/>
            <w:sz w:val="20"/>
            <w:szCs w:val="20"/>
            <w:u w:val="single"/>
          </w:rPr>
          <w:t>10.1016/j.molcel.2009.01.026</w:t>
        </w:r>
      </w:hyperlink>
    </w:p>
    <w:p w14:paraId="2CE17E93" w14:textId="0EDB0714" w:rsidR="006E2974" w:rsidRDefault="008C3B4E">
      <w:pPr>
        <w:keepLines/>
        <w:spacing w:after="90" w:line="245" w:lineRule="auto"/>
      </w:pPr>
      <w:r>
        <w:rPr>
          <w:b/>
          <w:bCs/>
          <w:sz w:val="20"/>
          <w:szCs w:val="20"/>
        </w:rPr>
        <w:t xml:space="preserve">[10] Souquere et al. (2010). </w:t>
      </w:r>
      <w:r>
        <w:rPr>
          <w:sz w:val="20"/>
          <w:szCs w:val="20"/>
        </w:rPr>
        <w:t xml:space="preserve">Highly Ordered Spatial Organization of the Structural Long Noncoding NEAT1 RNAs within Paraspeckle Nuclear Bodies. Molecular Biology of the Cell. </w:t>
      </w:r>
      <w:hyperlink r:id="rId117" w:history="1">
        <w:r>
          <w:rPr>
            <w:color w:val="087B78"/>
            <w:sz w:val="20"/>
            <w:szCs w:val="20"/>
            <w:u w:val="single"/>
          </w:rPr>
          <w:t>10.1091/mbc.E10-08-0690</w:t>
        </w:r>
      </w:hyperlink>
    </w:p>
    <w:p w14:paraId="61C1891E" w14:textId="5C0D6C74" w:rsidR="006E2974" w:rsidRDefault="008C3B4E">
      <w:pPr>
        <w:keepLines/>
        <w:spacing w:after="90" w:line="245" w:lineRule="auto"/>
      </w:pPr>
      <w:r>
        <w:rPr>
          <w:b/>
          <w:bCs/>
          <w:sz w:val="20"/>
          <w:szCs w:val="20"/>
        </w:rPr>
        <w:t xml:space="preserve">[11] Yamazaki et al. (2021). </w:t>
      </w:r>
      <w:r>
        <w:rPr>
          <w:sz w:val="20"/>
          <w:szCs w:val="20"/>
        </w:rPr>
        <w:t xml:space="preserve">Paraspeckles are constructed as block copolymer micelles. The EMBO Journal. </w:t>
      </w:r>
      <w:hyperlink r:id="rId118" w:history="1">
        <w:r>
          <w:rPr>
            <w:color w:val="087B78"/>
            <w:sz w:val="20"/>
            <w:szCs w:val="20"/>
            <w:u w:val="single"/>
          </w:rPr>
          <w:t>10.15252/embj.2020107270</w:t>
        </w:r>
      </w:hyperlink>
    </w:p>
    <w:p w14:paraId="58B63B2F" w14:textId="350D6BAB" w:rsidR="006E2974" w:rsidRDefault="008C3B4E">
      <w:pPr>
        <w:keepLines/>
        <w:spacing w:after="90" w:line="245" w:lineRule="auto"/>
      </w:pPr>
      <w:r>
        <w:rPr>
          <w:b/>
          <w:bCs/>
          <w:sz w:val="20"/>
          <w:szCs w:val="20"/>
        </w:rPr>
        <w:t xml:space="preserve">[12] Tripathi et al. (2010). </w:t>
      </w:r>
      <w:r>
        <w:rPr>
          <w:sz w:val="20"/>
          <w:szCs w:val="20"/>
        </w:rPr>
        <w:t xml:space="preserve">The nuclear-retained noncoding RNA MALAT1 regulates alternative splicing by modulating SR splicing factor phosphorylation. Molecular Cell. </w:t>
      </w:r>
      <w:hyperlink r:id="rId119" w:history="1">
        <w:r>
          <w:rPr>
            <w:color w:val="087B78"/>
            <w:sz w:val="20"/>
            <w:szCs w:val="20"/>
            <w:u w:val="single"/>
          </w:rPr>
          <w:t>10.1016/j.molcel.2010.08.011</w:t>
        </w:r>
      </w:hyperlink>
    </w:p>
    <w:p w14:paraId="62095A81" w14:textId="0FBE48AB" w:rsidR="006E2974" w:rsidRDefault="008C3B4E">
      <w:pPr>
        <w:keepLines/>
        <w:spacing w:after="90" w:line="245" w:lineRule="auto"/>
      </w:pPr>
      <w:r>
        <w:rPr>
          <w:b/>
          <w:bCs/>
          <w:sz w:val="20"/>
          <w:szCs w:val="20"/>
        </w:rPr>
        <w:t xml:space="preserve">[13] Nakagawa et al. (2012). </w:t>
      </w:r>
      <w:r>
        <w:rPr>
          <w:sz w:val="20"/>
          <w:szCs w:val="20"/>
        </w:rPr>
        <w:t xml:space="preserve">Malat1 is not an essential component of nuclear speckles in mice. RNA. </w:t>
      </w:r>
      <w:hyperlink r:id="rId120" w:history="1">
        <w:r>
          <w:rPr>
            <w:color w:val="087B78"/>
            <w:sz w:val="20"/>
            <w:szCs w:val="20"/>
            <w:u w:val="single"/>
          </w:rPr>
          <w:t>10.1261/rna.033217.112</w:t>
        </w:r>
      </w:hyperlink>
    </w:p>
    <w:p w14:paraId="1BE1FE4D" w14:textId="3777B3B0" w:rsidR="006E2974" w:rsidRDefault="008C3B4E">
      <w:pPr>
        <w:keepLines/>
        <w:spacing w:after="90" w:line="245" w:lineRule="auto"/>
      </w:pPr>
      <w:r>
        <w:rPr>
          <w:b/>
          <w:bCs/>
          <w:sz w:val="20"/>
          <w:szCs w:val="20"/>
        </w:rPr>
        <w:t xml:space="preserve">[14] Małszycki et al. (2026). </w:t>
      </w:r>
      <w:r>
        <w:rPr>
          <w:sz w:val="20"/>
          <w:szCs w:val="20"/>
        </w:rPr>
        <w:t xml:space="preserve">Nuclear speckles enable processing of RNA from GC-rich isochores. Cell. </w:t>
      </w:r>
      <w:hyperlink r:id="rId121" w:history="1">
        <w:r>
          <w:rPr>
            <w:color w:val="087B78"/>
            <w:sz w:val="20"/>
            <w:szCs w:val="20"/>
            <w:u w:val="single"/>
          </w:rPr>
          <w:t>10.1016/j.cell.2026.01.011</w:t>
        </w:r>
      </w:hyperlink>
    </w:p>
    <w:p w14:paraId="47E597FB" w14:textId="41230513" w:rsidR="006E2974" w:rsidRDefault="008C3B4E">
      <w:pPr>
        <w:keepLines/>
        <w:spacing w:after="90" w:line="245" w:lineRule="auto"/>
      </w:pPr>
      <w:r>
        <w:rPr>
          <w:b/>
          <w:bCs/>
          <w:sz w:val="20"/>
          <w:szCs w:val="20"/>
        </w:rPr>
        <w:t xml:space="preserve">[15] Banani et al. (2016). </w:t>
      </w:r>
      <w:r>
        <w:rPr>
          <w:sz w:val="20"/>
          <w:szCs w:val="20"/>
        </w:rPr>
        <w:t xml:space="preserve">Compositional Control of Phase-Separated Cellular Bodies. Cell. </w:t>
      </w:r>
      <w:hyperlink r:id="rId122" w:history="1">
        <w:r>
          <w:rPr>
            <w:color w:val="087B78"/>
            <w:sz w:val="20"/>
            <w:szCs w:val="20"/>
            <w:u w:val="single"/>
          </w:rPr>
          <w:t>10.1016/j.cell.2016.06.010</w:t>
        </w:r>
      </w:hyperlink>
    </w:p>
    <w:p w14:paraId="4E044103" w14:textId="7B87C393" w:rsidR="006E2974" w:rsidRDefault="008C3B4E">
      <w:pPr>
        <w:keepLines/>
        <w:spacing w:after="90" w:line="245" w:lineRule="auto"/>
      </w:pPr>
      <w:r>
        <w:rPr>
          <w:b/>
          <w:bCs/>
          <w:sz w:val="20"/>
          <w:szCs w:val="20"/>
        </w:rPr>
        <w:t xml:space="preserve">[16] Hebert et al. (2001). </w:t>
      </w:r>
      <w:r>
        <w:rPr>
          <w:sz w:val="20"/>
          <w:szCs w:val="20"/>
        </w:rPr>
        <w:t xml:space="preserve">Coilin forms the bridge between Cajal bodies and SMN, the Spinal Muscular Atrophy protein. Genes &amp; Development. </w:t>
      </w:r>
      <w:hyperlink r:id="rId123" w:history="1">
        <w:r>
          <w:rPr>
            <w:color w:val="087B78"/>
            <w:sz w:val="20"/>
            <w:szCs w:val="20"/>
            <w:u w:val="single"/>
          </w:rPr>
          <w:t>10.1101/gad.908401</w:t>
        </w:r>
      </w:hyperlink>
    </w:p>
    <w:p w14:paraId="143EFF36" w14:textId="603A2942" w:rsidR="006E2974" w:rsidRDefault="008C3B4E">
      <w:pPr>
        <w:keepLines/>
        <w:spacing w:after="90" w:line="245" w:lineRule="auto"/>
      </w:pPr>
      <w:r>
        <w:rPr>
          <w:b/>
          <w:bCs/>
          <w:sz w:val="20"/>
          <w:szCs w:val="20"/>
        </w:rPr>
        <w:t xml:space="preserve">[17] Feric et al. (2016). </w:t>
      </w:r>
      <w:r>
        <w:rPr>
          <w:sz w:val="20"/>
          <w:szCs w:val="20"/>
        </w:rPr>
        <w:t xml:space="preserve">Coexisting Liquid Phases Underlie Nucleolar Subcompartments. Cell. </w:t>
      </w:r>
      <w:hyperlink r:id="rId124" w:history="1">
        <w:r>
          <w:rPr>
            <w:color w:val="087B78"/>
            <w:sz w:val="20"/>
            <w:szCs w:val="20"/>
            <w:u w:val="single"/>
          </w:rPr>
          <w:t>10.1016/j.cell.2016.04.047</w:t>
        </w:r>
      </w:hyperlink>
    </w:p>
    <w:p w14:paraId="4FD17C67" w14:textId="6C65644E" w:rsidR="006E2974" w:rsidRDefault="008C3B4E">
      <w:pPr>
        <w:keepLines/>
        <w:spacing w:after="90" w:line="245" w:lineRule="auto"/>
      </w:pPr>
      <w:r>
        <w:rPr>
          <w:b/>
          <w:bCs/>
          <w:sz w:val="20"/>
          <w:szCs w:val="20"/>
        </w:rPr>
        <w:t xml:space="preserve">[18] Tan et al. (2024). </w:t>
      </w:r>
      <w:r>
        <w:rPr>
          <w:sz w:val="20"/>
          <w:szCs w:val="20"/>
        </w:rPr>
        <w:t xml:space="preserve">Cryo-EM structure of PML RBCC dimer reveals CC-mediated octopus-like nuclear body assembly mechanism. Cell Discovery. </w:t>
      </w:r>
      <w:hyperlink r:id="rId125" w:history="1">
        <w:r>
          <w:rPr>
            <w:color w:val="087B78"/>
            <w:sz w:val="20"/>
            <w:szCs w:val="20"/>
            <w:u w:val="single"/>
          </w:rPr>
          <w:t>10.1038/s41421-024-00735-3</w:t>
        </w:r>
      </w:hyperlink>
    </w:p>
    <w:p w14:paraId="329E67B1" w14:textId="2C367B82" w:rsidR="006E2974" w:rsidRDefault="008C3B4E">
      <w:pPr>
        <w:keepLines/>
        <w:spacing w:after="90" w:line="245" w:lineRule="auto"/>
      </w:pPr>
      <w:r>
        <w:rPr>
          <w:b/>
          <w:bCs/>
          <w:sz w:val="20"/>
          <w:szCs w:val="20"/>
        </w:rPr>
        <w:t xml:space="preserve">[19] Riback et al. (2023). </w:t>
      </w:r>
      <w:r>
        <w:rPr>
          <w:sz w:val="20"/>
          <w:szCs w:val="20"/>
        </w:rPr>
        <w:t xml:space="preserve">Viscoelasticity and advective flow of RNA underlies nucleolar form and function. Molecular Cell. </w:t>
      </w:r>
      <w:hyperlink r:id="rId126" w:history="1">
        <w:r>
          <w:rPr>
            <w:color w:val="087B78"/>
            <w:sz w:val="20"/>
            <w:szCs w:val="20"/>
            <w:u w:val="single"/>
          </w:rPr>
          <w:t>10.1016/j.molcel.2023.08.006</w:t>
        </w:r>
      </w:hyperlink>
    </w:p>
    <w:p w14:paraId="01FCB6D7" w14:textId="76D0F40B" w:rsidR="006E2974" w:rsidRDefault="008C3B4E">
      <w:pPr>
        <w:keepLines/>
        <w:spacing w:after="90" w:line="245" w:lineRule="auto"/>
      </w:pPr>
      <w:r>
        <w:rPr>
          <w:b/>
          <w:bCs/>
          <w:sz w:val="20"/>
          <w:szCs w:val="20"/>
        </w:rPr>
        <w:t xml:space="preserve">[20] Cheng et al. (2025). </w:t>
      </w:r>
      <w:r>
        <w:rPr>
          <w:sz w:val="20"/>
          <w:szCs w:val="20"/>
        </w:rPr>
        <w:t xml:space="preserve">Micropipette aspiration reveals differential RNA-dependent viscoelasticity of nucleolar subcompartments. PNAS. </w:t>
      </w:r>
      <w:hyperlink r:id="rId127" w:history="1">
        <w:r>
          <w:rPr>
            <w:color w:val="087B78"/>
            <w:sz w:val="20"/>
            <w:szCs w:val="20"/>
            <w:u w:val="single"/>
          </w:rPr>
          <w:t>10.1073/pnas.2407423122</w:t>
        </w:r>
      </w:hyperlink>
    </w:p>
    <w:p w14:paraId="56FEF8CC" w14:textId="352D447C" w:rsidR="006E2974" w:rsidRDefault="008C3B4E">
      <w:pPr>
        <w:keepLines/>
        <w:spacing w:after="90" w:line="245" w:lineRule="auto"/>
      </w:pPr>
      <w:r>
        <w:rPr>
          <w:b/>
          <w:bCs/>
          <w:sz w:val="20"/>
          <w:szCs w:val="20"/>
        </w:rPr>
        <w:t xml:space="preserve">[21] Weidtkamp-Peters et al. (2008). </w:t>
      </w:r>
      <w:r>
        <w:rPr>
          <w:sz w:val="20"/>
          <w:szCs w:val="20"/>
        </w:rPr>
        <w:t xml:space="preserve">Dynamics of component exchange at PML nuclear bodies. Journal of Cell Science. </w:t>
      </w:r>
      <w:hyperlink r:id="rId128" w:history="1">
        <w:r>
          <w:rPr>
            <w:color w:val="087B78"/>
            <w:sz w:val="20"/>
            <w:szCs w:val="20"/>
            <w:u w:val="single"/>
          </w:rPr>
          <w:t>10.1242/jcs.031922</w:t>
        </w:r>
      </w:hyperlink>
    </w:p>
    <w:p w14:paraId="0E9B87C7" w14:textId="08C8C356" w:rsidR="006E2974" w:rsidRDefault="008C3B4E">
      <w:pPr>
        <w:keepLines/>
        <w:spacing w:after="90" w:line="245" w:lineRule="auto"/>
      </w:pPr>
      <w:r>
        <w:rPr>
          <w:b/>
          <w:bCs/>
          <w:sz w:val="20"/>
          <w:szCs w:val="20"/>
        </w:rPr>
        <w:lastRenderedPageBreak/>
        <w:t xml:space="preserve">[22] Biayna et al. (2026). </w:t>
      </w:r>
      <w:r>
        <w:rPr>
          <w:sz w:val="20"/>
          <w:szCs w:val="20"/>
        </w:rPr>
        <w:t xml:space="preserve">The periphery of nuclear speckles defines a spatially and temporally regulated compartment of long-lived intron-retained RNAs that resolves during mitosis. Nature Cell Biology. </w:t>
      </w:r>
      <w:hyperlink r:id="rId129" w:history="1">
        <w:r>
          <w:rPr>
            <w:color w:val="087B78"/>
            <w:sz w:val="20"/>
            <w:szCs w:val="20"/>
            <w:u w:val="single"/>
          </w:rPr>
          <w:t>10.1038/s41556-026-02040-5</w:t>
        </w:r>
      </w:hyperlink>
    </w:p>
    <w:p w14:paraId="7FB4835A" w14:textId="5C58461B" w:rsidR="006E2974" w:rsidRDefault="008C3B4E">
      <w:pPr>
        <w:keepLines/>
        <w:spacing w:after="90" w:line="245" w:lineRule="auto"/>
      </w:pPr>
      <w:r>
        <w:rPr>
          <w:b/>
          <w:bCs/>
          <w:sz w:val="20"/>
          <w:szCs w:val="20"/>
        </w:rPr>
        <w:t xml:space="preserve">[23] Zhang et al. (2020). </w:t>
      </w:r>
      <w:r>
        <w:rPr>
          <w:sz w:val="20"/>
          <w:szCs w:val="20"/>
        </w:rPr>
        <w:t xml:space="preserve">Nuclear body phase separation drives telomere clustering in ALT cancer cells. Molecular Biology of the Cell. </w:t>
      </w:r>
      <w:hyperlink r:id="rId130" w:history="1">
        <w:r>
          <w:rPr>
            <w:color w:val="087B78"/>
            <w:sz w:val="20"/>
            <w:szCs w:val="20"/>
            <w:u w:val="single"/>
          </w:rPr>
          <w:t>10.1091/mbc.E19-10-0589</w:t>
        </w:r>
      </w:hyperlink>
    </w:p>
    <w:p w14:paraId="4B201E63" w14:textId="5C65D4E5" w:rsidR="006E2974" w:rsidRDefault="008C3B4E">
      <w:pPr>
        <w:keepLines/>
        <w:spacing w:after="90" w:line="245" w:lineRule="auto"/>
      </w:pPr>
      <w:r>
        <w:rPr>
          <w:b/>
          <w:bCs/>
          <w:sz w:val="20"/>
          <w:szCs w:val="20"/>
        </w:rPr>
        <w:t xml:space="preserve">[24] McIntyre et al. (2025). </w:t>
      </w:r>
      <w:r>
        <w:rPr>
          <w:sz w:val="20"/>
          <w:szCs w:val="20"/>
        </w:rPr>
        <w:t xml:space="preserve">Phosphorylation of a nuclear condensate regulates cohesion and mRNA retention. Nature Communications. </w:t>
      </w:r>
      <w:hyperlink r:id="rId131" w:history="1">
        <w:r>
          <w:rPr>
            <w:color w:val="087B78"/>
            <w:sz w:val="20"/>
            <w:szCs w:val="20"/>
            <w:u w:val="single"/>
          </w:rPr>
          <w:t>10.1038/s41467-024-55469-3</w:t>
        </w:r>
      </w:hyperlink>
    </w:p>
    <w:p w14:paraId="2A3A9E33" w14:textId="6123F66A" w:rsidR="006E2974" w:rsidRDefault="008C3B4E">
      <w:pPr>
        <w:keepLines/>
        <w:spacing w:after="90" w:line="245" w:lineRule="auto"/>
      </w:pPr>
      <w:r>
        <w:rPr>
          <w:b/>
          <w:bCs/>
          <w:sz w:val="20"/>
          <w:szCs w:val="20"/>
        </w:rPr>
        <w:t xml:space="preserve">[25] Tatham et al. (2008). </w:t>
      </w:r>
      <w:r>
        <w:rPr>
          <w:sz w:val="20"/>
          <w:szCs w:val="20"/>
        </w:rPr>
        <w:t xml:space="preserve">RNF4 is a poly-SUMO-specific E3 ubiquitin ligase required for arsenic-induced PML degradation. Nature Cell Biology. </w:t>
      </w:r>
      <w:hyperlink r:id="rId132" w:history="1">
        <w:r>
          <w:rPr>
            <w:color w:val="087B78"/>
            <w:sz w:val="20"/>
            <w:szCs w:val="20"/>
            <w:u w:val="single"/>
          </w:rPr>
          <w:t>10.1038/ncb1716</w:t>
        </w:r>
      </w:hyperlink>
    </w:p>
    <w:p w14:paraId="25D3C306" w14:textId="146C3896" w:rsidR="006E2974" w:rsidRDefault="008C3B4E">
      <w:pPr>
        <w:keepLines/>
        <w:spacing w:after="90" w:line="245" w:lineRule="auto"/>
      </w:pPr>
      <w:r>
        <w:rPr>
          <w:b/>
          <w:bCs/>
          <w:sz w:val="20"/>
          <w:szCs w:val="20"/>
        </w:rPr>
        <w:t xml:space="preserve">[26] Imamura et al. (2014). </w:t>
      </w:r>
      <w:r>
        <w:rPr>
          <w:sz w:val="20"/>
          <w:szCs w:val="20"/>
        </w:rPr>
        <w:t xml:space="preserve">Long Noncoding RNA NEAT1-Dependent SFPQ Relocation from Promoter Region to Paraspeckle Mediates IL8 Expression upon Immune Stimuli. Molecular Cell. </w:t>
      </w:r>
      <w:hyperlink r:id="rId133" w:history="1">
        <w:r>
          <w:rPr>
            <w:color w:val="087B78"/>
            <w:sz w:val="20"/>
            <w:szCs w:val="20"/>
            <w:u w:val="single"/>
          </w:rPr>
          <w:t>10.1016/j.molcel.2014.01.009</w:t>
        </w:r>
      </w:hyperlink>
    </w:p>
    <w:p w14:paraId="47ED955F" w14:textId="64DAB991" w:rsidR="006E2974" w:rsidRDefault="008C3B4E">
      <w:pPr>
        <w:keepLines/>
        <w:spacing w:after="90" w:line="245" w:lineRule="auto"/>
      </w:pPr>
      <w:r>
        <w:rPr>
          <w:b/>
          <w:bCs/>
          <w:sz w:val="20"/>
          <w:szCs w:val="20"/>
        </w:rPr>
        <w:t xml:space="preserve">[27] Wagner et al. (2025). </w:t>
      </w:r>
      <w:r>
        <w:rPr>
          <w:sz w:val="20"/>
          <w:szCs w:val="20"/>
        </w:rPr>
        <w:t xml:space="preserve">Induced proximity to PML protects TDP-43 from aggregation via SUMO–ubiquitin networks. Nature Chemical Biology. </w:t>
      </w:r>
      <w:hyperlink r:id="rId134" w:history="1">
        <w:r>
          <w:rPr>
            <w:color w:val="087B78"/>
            <w:sz w:val="20"/>
            <w:szCs w:val="20"/>
            <w:u w:val="single"/>
          </w:rPr>
          <w:t>10.1038/s41589-025-01886-4</w:t>
        </w:r>
      </w:hyperlink>
    </w:p>
    <w:p w14:paraId="00882F56" w14:textId="4D8D955F" w:rsidR="006E2974" w:rsidRDefault="008C3B4E">
      <w:pPr>
        <w:keepLines/>
        <w:spacing w:after="90" w:line="245" w:lineRule="auto"/>
      </w:pPr>
      <w:r>
        <w:rPr>
          <w:b/>
          <w:bCs/>
          <w:sz w:val="20"/>
          <w:szCs w:val="20"/>
        </w:rPr>
        <w:t xml:space="preserve">[28] Nakagawa et al. (2011). </w:t>
      </w:r>
      <w:r>
        <w:rPr>
          <w:sz w:val="20"/>
          <w:szCs w:val="20"/>
        </w:rPr>
        <w:t xml:space="preserve">Paraspeckles are subpopulation-specific nuclear bodies that are not essential in mice. Journal of Cell Biology. </w:t>
      </w:r>
      <w:hyperlink r:id="rId135" w:history="1">
        <w:r>
          <w:rPr>
            <w:color w:val="087B78"/>
            <w:sz w:val="20"/>
            <w:szCs w:val="20"/>
            <w:u w:val="single"/>
          </w:rPr>
          <w:t>10.1083/jcb.201011110</w:t>
        </w:r>
      </w:hyperlink>
    </w:p>
    <w:p w14:paraId="038CB736" w14:textId="0DC53BDD" w:rsidR="006E2974" w:rsidRDefault="008C3B4E">
      <w:pPr>
        <w:keepLines/>
        <w:spacing w:after="90" w:line="245" w:lineRule="auto"/>
      </w:pPr>
      <w:r>
        <w:rPr>
          <w:b/>
          <w:bCs/>
          <w:sz w:val="20"/>
          <w:szCs w:val="20"/>
        </w:rPr>
        <w:t xml:space="preserve">[29] Tucker et al. (2001). </w:t>
      </w:r>
      <w:r>
        <w:rPr>
          <w:sz w:val="20"/>
          <w:szCs w:val="20"/>
        </w:rPr>
        <w:t xml:space="preserve">Residual Cajal bodies in coilin knockout mice fail to recruit Sm snRNPs and SMN, the spinal muscular atrophy gene product. Journal of Cell Biology. </w:t>
      </w:r>
      <w:hyperlink r:id="rId136" w:history="1">
        <w:r>
          <w:rPr>
            <w:color w:val="087B78"/>
            <w:sz w:val="20"/>
            <w:szCs w:val="20"/>
            <w:u w:val="single"/>
          </w:rPr>
          <w:t>10.1083/jcb.200104083</w:t>
        </w:r>
      </w:hyperlink>
    </w:p>
    <w:p w14:paraId="485D323D" w14:textId="3B41D35D" w:rsidR="006E2974" w:rsidRDefault="008C3B4E">
      <w:pPr>
        <w:keepLines/>
        <w:spacing w:after="90" w:line="245" w:lineRule="auto"/>
      </w:pPr>
      <w:r>
        <w:rPr>
          <w:b/>
          <w:bCs/>
          <w:sz w:val="20"/>
          <w:szCs w:val="20"/>
        </w:rPr>
        <w:t xml:space="preserve">[30] Kim et al. (2016). </w:t>
      </w:r>
      <w:r>
        <w:rPr>
          <w:sz w:val="20"/>
          <w:szCs w:val="20"/>
        </w:rPr>
        <w:t xml:space="preserve">De Novo Mutations in SON Disrupt RNA Splicing of Genes Essential for Brain Development and Metabolism, Causing an Intellectual-Disability Syndrome. American Journal of Human Genetics. </w:t>
      </w:r>
      <w:hyperlink r:id="rId137" w:history="1">
        <w:r>
          <w:rPr>
            <w:color w:val="087B78"/>
            <w:sz w:val="20"/>
            <w:szCs w:val="20"/>
            <w:u w:val="single"/>
          </w:rPr>
          <w:t>10.1016/j.ajhg.2016.06.029</w:t>
        </w:r>
      </w:hyperlink>
    </w:p>
    <w:p w14:paraId="3A5D2629" w14:textId="78C9EBB3" w:rsidR="006E2974" w:rsidRDefault="008C3B4E">
      <w:pPr>
        <w:keepLines/>
        <w:spacing w:after="90" w:line="245" w:lineRule="auto"/>
      </w:pPr>
      <w:r>
        <w:rPr>
          <w:b/>
          <w:bCs/>
          <w:sz w:val="20"/>
          <w:szCs w:val="20"/>
        </w:rPr>
        <w:t xml:space="preserve">[31] Hodgson et al. (2026). </w:t>
      </w:r>
      <w:r>
        <w:rPr>
          <w:sz w:val="20"/>
          <w:szCs w:val="20"/>
        </w:rPr>
        <w:t xml:space="preserve">Paraspeckle condensation is controlled via TDP-43 polymerization and linked to neuroprotection. Nature Cell Biology. </w:t>
      </w:r>
      <w:hyperlink r:id="rId138" w:history="1">
        <w:r>
          <w:rPr>
            <w:color w:val="087B78"/>
            <w:sz w:val="20"/>
            <w:szCs w:val="20"/>
            <w:u w:val="single"/>
          </w:rPr>
          <w:t>10.1038/s41556-026-01895-y</w:t>
        </w:r>
      </w:hyperlink>
    </w:p>
    <w:p w14:paraId="228DBEE0" w14:textId="210FE5F0" w:rsidR="006E2974" w:rsidRDefault="008C3B4E">
      <w:pPr>
        <w:keepLines/>
        <w:spacing w:after="90" w:line="245" w:lineRule="auto"/>
      </w:pPr>
      <w:r>
        <w:rPr>
          <w:b/>
          <w:bCs/>
          <w:sz w:val="20"/>
          <w:szCs w:val="20"/>
        </w:rPr>
        <w:t xml:space="preserve">[32] Mitrea et al. (2016). </w:t>
      </w:r>
      <w:r>
        <w:rPr>
          <w:sz w:val="20"/>
          <w:szCs w:val="20"/>
        </w:rPr>
        <w:t xml:space="preserve">Nucleophosmin integrates within the nucleolus via multi-modal interactions with proteins displaying R-rich linear motifs and rRNA. eLife. </w:t>
      </w:r>
      <w:hyperlink r:id="rId139" w:history="1">
        <w:r>
          <w:rPr>
            <w:color w:val="087B78"/>
            <w:sz w:val="20"/>
            <w:szCs w:val="20"/>
            <w:u w:val="single"/>
          </w:rPr>
          <w:t>10.7554/eLife.13571</w:t>
        </w:r>
      </w:hyperlink>
    </w:p>
    <w:p w14:paraId="32E051E5" w14:textId="4345474A" w:rsidR="006E2974" w:rsidRDefault="008C3B4E">
      <w:pPr>
        <w:keepLines/>
        <w:spacing w:after="90" w:line="245" w:lineRule="auto"/>
      </w:pPr>
      <w:r>
        <w:rPr>
          <w:b/>
          <w:bCs/>
          <w:sz w:val="20"/>
          <w:szCs w:val="20"/>
        </w:rPr>
        <w:t xml:space="preserve">[33] Novotný et al. (2011). </w:t>
      </w:r>
      <w:r>
        <w:rPr>
          <w:sz w:val="20"/>
          <w:szCs w:val="20"/>
        </w:rPr>
        <w:t xml:space="preserve">In vivo kinetics of U4/U6·U5 tri-snRNP formation in Cajal bodies. Molecular Biology of the Cell. </w:t>
      </w:r>
      <w:hyperlink r:id="rId140" w:history="1">
        <w:r>
          <w:rPr>
            <w:color w:val="087B78"/>
            <w:sz w:val="20"/>
            <w:szCs w:val="20"/>
            <w:u w:val="single"/>
          </w:rPr>
          <w:t>10.1091/mbc.E10-07-0560</w:t>
        </w:r>
      </w:hyperlink>
    </w:p>
    <w:p w14:paraId="62B292B5" w14:textId="70D473AB" w:rsidR="006E2974" w:rsidRDefault="008C3B4E">
      <w:pPr>
        <w:keepLines/>
        <w:spacing w:after="90" w:line="245" w:lineRule="auto"/>
      </w:pPr>
      <w:r>
        <w:rPr>
          <w:b/>
          <w:bCs/>
          <w:sz w:val="20"/>
          <w:szCs w:val="20"/>
        </w:rPr>
        <w:t xml:space="preserve">[34] Drané et al. (2010). </w:t>
      </w:r>
      <w:r>
        <w:rPr>
          <w:sz w:val="20"/>
          <w:szCs w:val="20"/>
        </w:rPr>
        <w:t xml:space="preserve">The death-associated protein DAXX is a novel histone chaperone involved in the replication-independent deposition of H3.3. Genes &amp; Development. </w:t>
      </w:r>
      <w:hyperlink r:id="rId141" w:history="1">
        <w:r>
          <w:rPr>
            <w:color w:val="087B78"/>
            <w:sz w:val="20"/>
            <w:szCs w:val="20"/>
            <w:u w:val="single"/>
          </w:rPr>
          <w:t>10.1101/gad.566910</w:t>
        </w:r>
      </w:hyperlink>
    </w:p>
    <w:p w14:paraId="77B325C2" w14:textId="6F9F7805" w:rsidR="006E2974" w:rsidRDefault="008C3B4E">
      <w:pPr>
        <w:keepLines/>
        <w:spacing w:after="90" w:line="245" w:lineRule="auto"/>
      </w:pPr>
      <w:r>
        <w:rPr>
          <w:b/>
          <w:bCs/>
          <w:sz w:val="20"/>
          <w:szCs w:val="20"/>
        </w:rPr>
        <w:t xml:space="preserve">[35] Itoh et al. (2021). </w:t>
      </w:r>
      <w:r>
        <w:rPr>
          <w:sz w:val="20"/>
          <w:szCs w:val="20"/>
        </w:rPr>
        <w:t xml:space="preserve">1,6-hexanediol rapidly immobilizes and condenses chromatin in living human cells. Life Science Alliance. </w:t>
      </w:r>
      <w:hyperlink r:id="rId142" w:history="1">
        <w:r>
          <w:rPr>
            <w:color w:val="087B78"/>
            <w:sz w:val="20"/>
            <w:szCs w:val="20"/>
            <w:u w:val="single"/>
          </w:rPr>
          <w:t>10.26508/lsa.202001005</w:t>
        </w:r>
      </w:hyperlink>
    </w:p>
    <w:p w14:paraId="2EBC74EB" w14:textId="5DF290AC" w:rsidR="006E2974" w:rsidRDefault="008C3B4E">
      <w:pPr>
        <w:keepLines/>
        <w:spacing w:after="90" w:line="245" w:lineRule="auto"/>
      </w:pPr>
      <w:r>
        <w:rPr>
          <w:b/>
          <w:bCs/>
          <w:sz w:val="20"/>
          <w:szCs w:val="20"/>
        </w:rPr>
        <w:t xml:space="preserve">[36] Cohen et al. (2018). </w:t>
      </w:r>
      <w:r>
        <w:rPr>
          <w:sz w:val="20"/>
          <w:szCs w:val="20"/>
        </w:rPr>
        <w:t xml:space="preserve">Promyelocytic leukemia (PML) nuclear bodies (NBs) induce latent/quiescent HSV-1 genomes chromatinization through a PML NB/Histone H3.3/H3.3 Chaperone Axis. PLOS Pathogens. </w:t>
      </w:r>
      <w:hyperlink r:id="rId143" w:history="1">
        <w:r>
          <w:rPr>
            <w:color w:val="087B78"/>
            <w:sz w:val="20"/>
            <w:szCs w:val="20"/>
            <w:u w:val="single"/>
          </w:rPr>
          <w:t>10.1371/journal.ppat.1007313</w:t>
        </w:r>
      </w:hyperlink>
    </w:p>
    <w:p w14:paraId="0EDE3583" w14:textId="77777777" w:rsidR="006E2974" w:rsidRDefault="008C3B4E">
      <w:pPr>
        <w:pStyle w:val="Heading1"/>
      </w:pPr>
      <w:bookmarkStart w:id="13" w:name="_Toc242668372"/>
      <w:r>
        <w:t>Evidence scope</w:t>
      </w:r>
      <w:bookmarkEnd w:id="13"/>
    </w:p>
    <w:p w14:paraId="7DB7A9C5" w14:textId="77777777" w:rsidR="006E2974" w:rsidRDefault="008C3B4E">
      <w:pPr>
        <w:keepLines/>
        <w:spacing w:after="160" w:line="270" w:lineRule="auto"/>
      </w:pPr>
      <w:r>
        <w:t>This scholarly synthesis integrates foundational studies and literature available by 12 October 2026. Source access ranges from primary abstracts to selected Results, figure captions and Methods, as specified for each reference. Experiments and models retain their organism, construct and perturbation context; raw data and supplementary material have not been comprehensively reanalysed.</w:t>
      </w:r>
    </w:p>
    <w:sectPr w:rsidR="006E2974">
      <w:headerReference w:type="default" r:id="rId144"/>
      <w:footerReference w:type="default" r:id="rId145"/>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945FE" w14:textId="77777777" w:rsidR="008C3B4E" w:rsidRDefault="008C3B4E">
      <w:pPr>
        <w:spacing w:after="0" w:line="240" w:lineRule="auto"/>
      </w:pPr>
      <w:r>
        <w:separator/>
      </w:r>
    </w:p>
  </w:endnote>
  <w:endnote w:type="continuationSeparator" w:id="0">
    <w:p w14:paraId="7E780652" w14:textId="77777777" w:rsidR="008C3B4E" w:rsidRDefault="008C3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3012" w14:textId="77777777" w:rsidR="006E2974" w:rsidRDefault="008C3B4E">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E974E8">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E974E8">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39A6B" w14:textId="77777777" w:rsidR="008C3B4E" w:rsidRDefault="008C3B4E">
      <w:pPr>
        <w:spacing w:after="0" w:line="240" w:lineRule="auto"/>
      </w:pPr>
      <w:r>
        <w:separator/>
      </w:r>
    </w:p>
  </w:footnote>
  <w:footnote w:type="continuationSeparator" w:id="0">
    <w:p w14:paraId="1FFC7B34" w14:textId="77777777" w:rsidR="008C3B4E" w:rsidRDefault="008C3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3118" w14:textId="77777777" w:rsidR="006E2974" w:rsidRDefault="008C3B4E">
    <w:pPr>
      <w:pBdr>
        <w:bottom w:val="single" w:sz="4" w:space="0" w:color="B8D1D0"/>
      </w:pBdr>
    </w:pPr>
    <w:r>
      <w:rPr>
        <w:color w:val="527077"/>
        <w:sz w:val="17"/>
        <w:szCs w:val="17"/>
      </w:rPr>
      <w:t>Nuclear Bodies: Molecular Assembly and Compartment-Specific Function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A6E"/>
    <w:multiLevelType w:val="hybridMultilevel"/>
    <w:tmpl w:val="B6102C0A"/>
    <w:lvl w:ilvl="0" w:tplc="EB2A4868">
      <w:start w:val="1"/>
      <w:numFmt w:val="bullet"/>
      <w:lvlText w:val="•"/>
      <w:lvlJc w:val="left"/>
      <w:pPr>
        <w:ind w:left="340" w:hanging="170"/>
      </w:pPr>
    </w:lvl>
    <w:lvl w:ilvl="1" w:tplc="3F1CAA70">
      <w:numFmt w:val="decimal"/>
      <w:lvlText w:val=""/>
      <w:lvlJc w:val="left"/>
    </w:lvl>
    <w:lvl w:ilvl="2" w:tplc="0302B874">
      <w:numFmt w:val="decimal"/>
      <w:lvlText w:val=""/>
      <w:lvlJc w:val="left"/>
    </w:lvl>
    <w:lvl w:ilvl="3" w:tplc="C782527C">
      <w:numFmt w:val="decimal"/>
      <w:lvlText w:val=""/>
      <w:lvlJc w:val="left"/>
    </w:lvl>
    <w:lvl w:ilvl="4" w:tplc="D67E185A">
      <w:numFmt w:val="decimal"/>
      <w:lvlText w:val=""/>
      <w:lvlJc w:val="left"/>
    </w:lvl>
    <w:lvl w:ilvl="5" w:tplc="9280B974">
      <w:numFmt w:val="decimal"/>
      <w:lvlText w:val=""/>
      <w:lvlJc w:val="left"/>
    </w:lvl>
    <w:lvl w:ilvl="6" w:tplc="4D6A5250">
      <w:numFmt w:val="decimal"/>
      <w:lvlText w:val=""/>
      <w:lvlJc w:val="left"/>
    </w:lvl>
    <w:lvl w:ilvl="7" w:tplc="21D8C8C2">
      <w:numFmt w:val="decimal"/>
      <w:lvlText w:val=""/>
      <w:lvlJc w:val="left"/>
    </w:lvl>
    <w:lvl w:ilvl="8" w:tplc="6946191C">
      <w:numFmt w:val="decimal"/>
      <w:lvlText w:val=""/>
      <w:lvlJc w:val="left"/>
    </w:lvl>
  </w:abstractNum>
  <w:abstractNum w:abstractNumId="1" w15:restartNumberingAfterBreak="0">
    <w:nsid w:val="217D742E"/>
    <w:multiLevelType w:val="hybridMultilevel"/>
    <w:tmpl w:val="DFD22F18"/>
    <w:lvl w:ilvl="0" w:tplc="2A2C5100">
      <w:start w:val="1"/>
      <w:numFmt w:val="bullet"/>
      <w:lvlText w:val="●"/>
      <w:lvlJc w:val="left"/>
      <w:pPr>
        <w:ind w:left="720" w:hanging="360"/>
      </w:pPr>
    </w:lvl>
    <w:lvl w:ilvl="1" w:tplc="D98ED676">
      <w:start w:val="1"/>
      <w:numFmt w:val="bullet"/>
      <w:lvlText w:val="○"/>
      <w:lvlJc w:val="left"/>
      <w:pPr>
        <w:ind w:left="1440" w:hanging="360"/>
      </w:pPr>
    </w:lvl>
    <w:lvl w:ilvl="2" w:tplc="FFE0E038">
      <w:start w:val="1"/>
      <w:numFmt w:val="bullet"/>
      <w:lvlText w:val="■"/>
      <w:lvlJc w:val="left"/>
      <w:pPr>
        <w:ind w:left="2160" w:hanging="360"/>
      </w:pPr>
    </w:lvl>
    <w:lvl w:ilvl="3" w:tplc="41A6DC84">
      <w:start w:val="1"/>
      <w:numFmt w:val="bullet"/>
      <w:lvlText w:val="●"/>
      <w:lvlJc w:val="left"/>
      <w:pPr>
        <w:ind w:left="2880" w:hanging="360"/>
      </w:pPr>
    </w:lvl>
    <w:lvl w:ilvl="4" w:tplc="5A98F3E2">
      <w:start w:val="1"/>
      <w:numFmt w:val="bullet"/>
      <w:lvlText w:val="○"/>
      <w:lvlJc w:val="left"/>
      <w:pPr>
        <w:ind w:left="3600" w:hanging="360"/>
      </w:pPr>
    </w:lvl>
    <w:lvl w:ilvl="5" w:tplc="E02E03DE">
      <w:start w:val="1"/>
      <w:numFmt w:val="bullet"/>
      <w:lvlText w:val="■"/>
      <w:lvlJc w:val="left"/>
      <w:pPr>
        <w:ind w:left="4320" w:hanging="360"/>
      </w:pPr>
    </w:lvl>
    <w:lvl w:ilvl="6" w:tplc="B7421264">
      <w:start w:val="1"/>
      <w:numFmt w:val="bullet"/>
      <w:lvlText w:val="●"/>
      <w:lvlJc w:val="left"/>
      <w:pPr>
        <w:ind w:left="5040" w:hanging="360"/>
      </w:pPr>
    </w:lvl>
    <w:lvl w:ilvl="7" w:tplc="F90E372E">
      <w:start w:val="1"/>
      <w:numFmt w:val="bullet"/>
      <w:lvlText w:val="●"/>
      <w:lvlJc w:val="left"/>
      <w:pPr>
        <w:ind w:left="5760" w:hanging="360"/>
      </w:pPr>
    </w:lvl>
    <w:lvl w:ilvl="8" w:tplc="702230CC">
      <w:start w:val="1"/>
      <w:numFmt w:val="bullet"/>
      <w:lvlText w:val="●"/>
      <w:lvlJc w:val="left"/>
      <w:pPr>
        <w:ind w:left="6480" w:hanging="360"/>
      </w:pPr>
    </w:lvl>
  </w:abstractNum>
  <w:num w:numId="1" w16cid:durableId="17389409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974"/>
    <w:rsid w:val="001F4CC6"/>
    <w:rsid w:val="006E2974"/>
    <w:rsid w:val="008C3B4E"/>
    <w:rsid w:val="00E97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64523"/>
  <w15:docId w15:val="{2894E258-EFAC-48DF-A70D-73DE84DD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E974E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91/mbc.E10-08-0690" TargetMode="External"/><Relationship Id="rId21" Type="http://schemas.openxmlformats.org/officeDocument/2006/relationships/hyperlink" Target="https://doi.org/10.1038/emboj.2012.251" TargetMode="External"/><Relationship Id="rId42" Type="http://schemas.openxmlformats.org/officeDocument/2006/relationships/hyperlink" Target="https://doi.org/10.1242/jcs.031922" TargetMode="External"/><Relationship Id="rId63" Type="http://schemas.openxmlformats.org/officeDocument/2006/relationships/hyperlink" Target="https://doi.org/10.1038/s41589-025-01886-4" TargetMode="External"/><Relationship Id="rId84" Type="http://schemas.openxmlformats.org/officeDocument/2006/relationships/hyperlink" Target="https://doi.org/10.1083/jcb.202309128" TargetMode="External"/><Relationship Id="rId138" Type="http://schemas.openxmlformats.org/officeDocument/2006/relationships/hyperlink" Target="https://doi.org/10.1038/s41556-026-01895-y" TargetMode="External"/><Relationship Id="rId107" Type="http://schemas.openxmlformats.org/officeDocument/2006/relationships/hyperlink" Target="https://doi.org/10.1038/s41586-025-09207-4" TargetMode="External"/><Relationship Id="rId11" Type="http://schemas.openxmlformats.org/officeDocument/2006/relationships/hyperlink" Target="https://doi.org/10.1083/jcb.202309128" TargetMode="External"/><Relationship Id="rId32" Type="http://schemas.openxmlformats.org/officeDocument/2006/relationships/hyperlink" Target="https://doi.org/10.1016/j.cell.2016.06.010" TargetMode="External"/><Relationship Id="rId53" Type="http://schemas.openxmlformats.org/officeDocument/2006/relationships/hyperlink" Target="https://doi.org/10.1038/s41586-024-07429-6" TargetMode="External"/><Relationship Id="rId74" Type="http://schemas.openxmlformats.org/officeDocument/2006/relationships/hyperlink" Target="https://doi.org/10.7554/eLife.60579" TargetMode="External"/><Relationship Id="rId128" Type="http://schemas.openxmlformats.org/officeDocument/2006/relationships/hyperlink" Target="https://doi.org/10.1242/jcs.031922" TargetMode="External"/><Relationship Id="rId5" Type="http://schemas.openxmlformats.org/officeDocument/2006/relationships/footnotes" Target="footnotes.xml"/><Relationship Id="rId90" Type="http://schemas.openxmlformats.org/officeDocument/2006/relationships/hyperlink" Target="https://doi.org/10.1016/j.cell.2016.06.010" TargetMode="External"/><Relationship Id="rId95" Type="http://schemas.openxmlformats.org/officeDocument/2006/relationships/hyperlink" Target="https://doi.org/10.1073/pnas.2407423122" TargetMode="External"/><Relationship Id="rId22" Type="http://schemas.openxmlformats.org/officeDocument/2006/relationships/hyperlink" Target="https://doi.org/10.1091/mbc.E10-08-0690" TargetMode="External"/><Relationship Id="rId27" Type="http://schemas.openxmlformats.org/officeDocument/2006/relationships/hyperlink" Target="https://doi.org/10.1038/emboj.2012.251" TargetMode="External"/><Relationship Id="rId43" Type="http://schemas.openxmlformats.org/officeDocument/2006/relationships/hyperlink" Target="https://doi.org/10.1083/jcb.202309128" TargetMode="External"/><Relationship Id="rId48" Type="http://schemas.openxmlformats.org/officeDocument/2006/relationships/hyperlink" Target="https://doi.org/10.1038/nsmb.1783" TargetMode="External"/><Relationship Id="rId64" Type="http://schemas.openxmlformats.org/officeDocument/2006/relationships/hyperlink" Target="https://doi.org/10.1038/s41467-024-55469-3" TargetMode="External"/><Relationship Id="rId69" Type="http://schemas.openxmlformats.org/officeDocument/2006/relationships/hyperlink" Target="https://doi.org/10.1038/s41589-025-01886-4" TargetMode="External"/><Relationship Id="rId113" Type="http://schemas.openxmlformats.org/officeDocument/2006/relationships/hyperlink" Target="https://doi.org/10.1093/emboj/21.11.2746" TargetMode="External"/><Relationship Id="rId118" Type="http://schemas.openxmlformats.org/officeDocument/2006/relationships/hyperlink" Target="https://doi.org/10.15252/embj.2020107270" TargetMode="External"/><Relationship Id="rId134" Type="http://schemas.openxmlformats.org/officeDocument/2006/relationships/hyperlink" Target="https://doi.org/10.1038/s41589-025-01886-4" TargetMode="External"/><Relationship Id="rId139" Type="http://schemas.openxmlformats.org/officeDocument/2006/relationships/hyperlink" Target="https://doi.org/10.7554/eLife.13571" TargetMode="External"/><Relationship Id="rId80" Type="http://schemas.openxmlformats.org/officeDocument/2006/relationships/hyperlink" Target="https://doi.org/10.1016/j.molcel.2014.01.009" TargetMode="External"/><Relationship Id="rId85" Type="http://schemas.openxmlformats.org/officeDocument/2006/relationships/hyperlink" Target="https://doi.org/10.1083/jcb.201305148" TargetMode="External"/><Relationship Id="rId12" Type="http://schemas.openxmlformats.org/officeDocument/2006/relationships/hyperlink" Target="https://doi.org/10.1038/s41586-025-09207-4" TargetMode="External"/><Relationship Id="rId17" Type="http://schemas.openxmlformats.org/officeDocument/2006/relationships/hyperlink" Target="https://doi.org/10.1093/emboj/21.11.2746" TargetMode="External"/><Relationship Id="rId33" Type="http://schemas.openxmlformats.org/officeDocument/2006/relationships/hyperlink" Target="https://doi.org/10.1101/gad.908401" TargetMode="External"/><Relationship Id="rId38" Type="http://schemas.openxmlformats.org/officeDocument/2006/relationships/hyperlink" Target="https://doi.org/10.1083/jcb.202309128" TargetMode="External"/><Relationship Id="rId59" Type="http://schemas.openxmlformats.org/officeDocument/2006/relationships/hyperlink" Target="https://doi.org/10.1038/s41467-024-55469-3" TargetMode="External"/><Relationship Id="rId103" Type="http://schemas.openxmlformats.org/officeDocument/2006/relationships/hyperlink" Target="https://doi.org/10.1371/journal.ppat.1007313" TargetMode="External"/><Relationship Id="rId108" Type="http://schemas.openxmlformats.org/officeDocument/2006/relationships/hyperlink" Target="https://doi.org/10.1038/s41586-025-09207-4" TargetMode="External"/><Relationship Id="rId124" Type="http://schemas.openxmlformats.org/officeDocument/2006/relationships/hyperlink" Target="https://doi.org/10.1016/j.cell.2016.04.047" TargetMode="External"/><Relationship Id="rId129" Type="http://schemas.openxmlformats.org/officeDocument/2006/relationships/hyperlink" Target="https://doi.org/10.1038/s41556-026-02040-5" TargetMode="External"/><Relationship Id="rId54" Type="http://schemas.openxmlformats.org/officeDocument/2006/relationships/hyperlink" Target="https://doi.org/10.1038/nsmb.1783" TargetMode="External"/><Relationship Id="rId70" Type="http://schemas.openxmlformats.org/officeDocument/2006/relationships/hyperlink" Target="https://doi.org/10.1038/s41556-026-01895-y" TargetMode="External"/><Relationship Id="rId75" Type="http://schemas.openxmlformats.org/officeDocument/2006/relationships/hyperlink" Target="https://doi.org/10.1038/s41586-024-07429-6" TargetMode="External"/><Relationship Id="rId91" Type="http://schemas.openxmlformats.org/officeDocument/2006/relationships/hyperlink" Target="https://doi.org/10.1091/mbc.E10-08-0690" TargetMode="External"/><Relationship Id="rId96" Type="http://schemas.openxmlformats.org/officeDocument/2006/relationships/hyperlink" Target="https://doi.org/10.26508/lsa.202001005" TargetMode="External"/><Relationship Id="rId140" Type="http://schemas.openxmlformats.org/officeDocument/2006/relationships/hyperlink" Target="https://doi.org/10.1091/mbc.E10-07-0560" TargetMode="External"/><Relationship Id="rId14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5252/embj.2020107270" TargetMode="External"/><Relationship Id="rId28" Type="http://schemas.openxmlformats.org/officeDocument/2006/relationships/hyperlink" Target="https://doi.org/10.1038/s41586-025-09207-4" TargetMode="External"/><Relationship Id="rId49" Type="http://schemas.openxmlformats.org/officeDocument/2006/relationships/hyperlink" Target="https://doi.org/10.1038/s41586-024-07429-6" TargetMode="External"/><Relationship Id="rId114" Type="http://schemas.openxmlformats.org/officeDocument/2006/relationships/hyperlink" Target="https://doi.org/10.1038/nsmb.1783" TargetMode="External"/><Relationship Id="rId119" Type="http://schemas.openxmlformats.org/officeDocument/2006/relationships/hyperlink" Target="https://doi.org/10.1016/j.molcel.2010.08.011" TargetMode="External"/><Relationship Id="rId44" Type="http://schemas.openxmlformats.org/officeDocument/2006/relationships/hyperlink" Target="https://doi.org/10.1016/j.molcel.2023.08.006" TargetMode="External"/><Relationship Id="rId60" Type="http://schemas.openxmlformats.org/officeDocument/2006/relationships/hyperlink" Target="https://doi.org/10.1083/jcb.201305148" TargetMode="External"/><Relationship Id="rId65" Type="http://schemas.openxmlformats.org/officeDocument/2006/relationships/hyperlink" Target="https://doi.org/10.1083/jcb.201011110" TargetMode="External"/><Relationship Id="rId81" Type="http://schemas.openxmlformats.org/officeDocument/2006/relationships/hyperlink" Target="https://doi.org/10.1101/gad.908401" TargetMode="External"/><Relationship Id="rId86" Type="http://schemas.openxmlformats.org/officeDocument/2006/relationships/hyperlink" Target="https://doi.org/10.1038/s41421-024-00735-3" TargetMode="External"/><Relationship Id="rId130" Type="http://schemas.openxmlformats.org/officeDocument/2006/relationships/hyperlink" Target="https://doi.org/10.1091/mbc.E19-10-0589" TargetMode="External"/><Relationship Id="rId135" Type="http://schemas.openxmlformats.org/officeDocument/2006/relationships/hyperlink" Target="https://doi.org/10.1083/jcb.201011110" TargetMode="External"/><Relationship Id="rId13" Type="http://schemas.openxmlformats.org/officeDocument/2006/relationships/hyperlink" Target="https://doi.org/10.7554/eLife.60579" TargetMode="External"/><Relationship Id="rId18" Type="http://schemas.openxmlformats.org/officeDocument/2006/relationships/hyperlink" Target="https://doi.org/10.1038/nsmb.1783" TargetMode="External"/><Relationship Id="rId39" Type="http://schemas.openxmlformats.org/officeDocument/2006/relationships/hyperlink" Target="https://doi.org/10.1038/s41421-024-00735-3" TargetMode="External"/><Relationship Id="rId109" Type="http://schemas.openxmlformats.org/officeDocument/2006/relationships/hyperlink" Target="https://doi.org/10.1038/emboj.2012.251" TargetMode="External"/><Relationship Id="rId34" Type="http://schemas.openxmlformats.org/officeDocument/2006/relationships/hyperlink" Target="https://doi.org/10.1083/jcb.202309128" TargetMode="External"/><Relationship Id="rId50" Type="http://schemas.openxmlformats.org/officeDocument/2006/relationships/hyperlink" Target="https://doi.org/10.1016/j.cell.2026.01.011" TargetMode="External"/><Relationship Id="rId55" Type="http://schemas.openxmlformats.org/officeDocument/2006/relationships/hyperlink" Target="https://doi.org/10.1016/j.cell.2026.01.011" TargetMode="External"/><Relationship Id="rId76" Type="http://schemas.openxmlformats.org/officeDocument/2006/relationships/hyperlink" Target="https://doi.org/10.1016/j.cell.2026.01.011" TargetMode="External"/><Relationship Id="rId97" Type="http://schemas.openxmlformats.org/officeDocument/2006/relationships/hyperlink" Target="https://doi.org/10.1038/nsmb.1783" TargetMode="External"/><Relationship Id="rId104" Type="http://schemas.openxmlformats.org/officeDocument/2006/relationships/hyperlink" Target="https://doi.org/10.1038/s41586-025-09207-4" TargetMode="External"/><Relationship Id="rId120" Type="http://schemas.openxmlformats.org/officeDocument/2006/relationships/hyperlink" Target="https://doi.org/10.1261/rna.033217.112" TargetMode="External"/><Relationship Id="rId125" Type="http://schemas.openxmlformats.org/officeDocument/2006/relationships/hyperlink" Target="https://doi.org/10.1038/s41421-024-00735-3" TargetMode="External"/><Relationship Id="rId141" Type="http://schemas.openxmlformats.org/officeDocument/2006/relationships/hyperlink" Target="https://doi.org/10.1101/gad.566910" TargetMode="External"/><Relationship Id="rId146" Type="http://schemas.openxmlformats.org/officeDocument/2006/relationships/fontTable" Target="fontTable.xml"/><Relationship Id="rId7" Type="http://schemas.openxmlformats.org/officeDocument/2006/relationships/hyperlink" Target="https://doi.org/10.1038/s41586-025-09207-4" TargetMode="External"/><Relationship Id="rId71" Type="http://schemas.openxmlformats.org/officeDocument/2006/relationships/hyperlink" Target="https://doi.org/10.7554/eLife.13571" TargetMode="External"/><Relationship Id="rId92" Type="http://schemas.openxmlformats.org/officeDocument/2006/relationships/hyperlink" Target="https://doi.org/10.1083/jcb.201305148" TargetMode="External"/><Relationship Id="rId2" Type="http://schemas.openxmlformats.org/officeDocument/2006/relationships/styles" Target="styles.xml"/><Relationship Id="rId29" Type="http://schemas.openxmlformats.org/officeDocument/2006/relationships/hyperlink" Target="https://doi.org/10.7554/eLife.60579" TargetMode="External"/><Relationship Id="rId24" Type="http://schemas.openxmlformats.org/officeDocument/2006/relationships/hyperlink" Target="https://doi.org/10.1038/s41586-025-09207-4" TargetMode="External"/><Relationship Id="rId40" Type="http://schemas.openxmlformats.org/officeDocument/2006/relationships/hyperlink" Target="https://doi.org/10.1016/j.molcel.2023.08.006" TargetMode="External"/><Relationship Id="rId45" Type="http://schemas.openxmlformats.org/officeDocument/2006/relationships/hyperlink" Target="https://doi.org/10.1016/j.molcel.2023.08.006" TargetMode="External"/><Relationship Id="rId66" Type="http://schemas.openxmlformats.org/officeDocument/2006/relationships/hyperlink" Target="https://doi.org/10.1083/jcb.200104083" TargetMode="External"/><Relationship Id="rId87" Type="http://schemas.openxmlformats.org/officeDocument/2006/relationships/hyperlink" Target="https://doi.org/10.1101/gad.566910" TargetMode="External"/><Relationship Id="rId110" Type="http://schemas.openxmlformats.org/officeDocument/2006/relationships/hyperlink" Target="https://doi.org/10.7554/eLife.60579" TargetMode="External"/><Relationship Id="rId115" Type="http://schemas.openxmlformats.org/officeDocument/2006/relationships/hyperlink" Target="https://doi.org/10.1038/s41586-024-07429-6" TargetMode="External"/><Relationship Id="rId131" Type="http://schemas.openxmlformats.org/officeDocument/2006/relationships/hyperlink" Target="https://doi.org/10.1038/s41467-024-55469-3" TargetMode="External"/><Relationship Id="rId136" Type="http://schemas.openxmlformats.org/officeDocument/2006/relationships/hyperlink" Target="https://doi.org/10.1083/jcb.200104083" TargetMode="External"/><Relationship Id="rId61" Type="http://schemas.openxmlformats.org/officeDocument/2006/relationships/hyperlink" Target="https://doi.org/10.1038/ncb1716" TargetMode="External"/><Relationship Id="rId82" Type="http://schemas.openxmlformats.org/officeDocument/2006/relationships/hyperlink" Target="https://doi.org/10.1091/mbc.E10-07-0560" TargetMode="External"/><Relationship Id="rId19" Type="http://schemas.openxmlformats.org/officeDocument/2006/relationships/hyperlink" Target="https://doi.org/10.1038/s41586-024-07429-6" TargetMode="External"/><Relationship Id="rId14" Type="http://schemas.openxmlformats.org/officeDocument/2006/relationships/hyperlink" Target="https://doi.org/10.1038/emboj.2012.251" TargetMode="External"/><Relationship Id="rId30" Type="http://schemas.openxmlformats.org/officeDocument/2006/relationships/hyperlink" Target="https://doi.org/10.1016/j.cell.2026.01.011" TargetMode="External"/><Relationship Id="rId35" Type="http://schemas.openxmlformats.org/officeDocument/2006/relationships/hyperlink" Target="https://doi.org/10.1016/j.cell.2016.04.047" TargetMode="External"/><Relationship Id="rId56" Type="http://schemas.openxmlformats.org/officeDocument/2006/relationships/hyperlink" Target="https://doi.org/10.1038/s41586-025-09207-4" TargetMode="External"/><Relationship Id="rId77" Type="http://schemas.openxmlformats.org/officeDocument/2006/relationships/hyperlink" Target="https://doi.org/10.1038/s41556-026-02040-5" TargetMode="External"/><Relationship Id="rId100" Type="http://schemas.openxmlformats.org/officeDocument/2006/relationships/hyperlink" Target="https://doi.org/10.1038/s41586-025-09207-4" TargetMode="External"/><Relationship Id="rId105" Type="http://schemas.openxmlformats.org/officeDocument/2006/relationships/hyperlink" Target="https://doi.org/10.1038/s41586-024-07429-6" TargetMode="External"/><Relationship Id="rId126" Type="http://schemas.openxmlformats.org/officeDocument/2006/relationships/hyperlink" Target="https://doi.org/10.1016/j.molcel.2023.08.006" TargetMode="External"/><Relationship Id="rId147" Type="http://schemas.openxmlformats.org/officeDocument/2006/relationships/theme" Target="theme/theme1.xml"/><Relationship Id="rId8" Type="http://schemas.openxmlformats.org/officeDocument/2006/relationships/hyperlink" Target="https://doi.org/10.1038/emboj.2012.251" TargetMode="External"/><Relationship Id="rId51" Type="http://schemas.openxmlformats.org/officeDocument/2006/relationships/hyperlink" Target="https://doi.org/10.1038/s41556-026-02040-5" TargetMode="External"/><Relationship Id="rId72" Type="http://schemas.openxmlformats.org/officeDocument/2006/relationships/hyperlink" Target="https://doi.org/10.1038/s41586-025-09207-4" TargetMode="External"/><Relationship Id="rId93" Type="http://schemas.openxmlformats.org/officeDocument/2006/relationships/hyperlink" Target="https://doi.org/10.1038/s41586-024-07429-6" TargetMode="External"/><Relationship Id="rId98" Type="http://schemas.openxmlformats.org/officeDocument/2006/relationships/hyperlink" Target="https://doi.org/10.1038/s41586-024-07429-6" TargetMode="External"/><Relationship Id="rId121" Type="http://schemas.openxmlformats.org/officeDocument/2006/relationships/hyperlink" Target="https://doi.org/10.1016/j.cell.2026.01.011" TargetMode="External"/><Relationship Id="rId142" Type="http://schemas.openxmlformats.org/officeDocument/2006/relationships/hyperlink" Target="https://doi.org/10.26508/lsa.202001005" TargetMode="External"/><Relationship Id="rId3" Type="http://schemas.openxmlformats.org/officeDocument/2006/relationships/settings" Target="settings.xml"/><Relationship Id="rId25" Type="http://schemas.openxmlformats.org/officeDocument/2006/relationships/hyperlink" Target="https://doi.org/10.1016/j.molcel.2010.08.011" TargetMode="External"/><Relationship Id="rId46" Type="http://schemas.openxmlformats.org/officeDocument/2006/relationships/hyperlink" Target="https://doi.org/10.1038/s41586-025-09207-4" TargetMode="External"/><Relationship Id="rId67" Type="http://schemas.openxmlformats.org/officeDocument/2006/relationships/hyperlink" Target="https://doi.org/10.1038/nsmb.1783" TargetMode="External"/><Relationship Id="rId116" Type="http://schemas.openxmlformats.org/officeDocument/2006/relationships/hyperlink" Target="https://doi.org/10.1016/j.molcel.2009.01.026" TargetMode="External"/><Relationship Id="rId137" Type="http://schemas.openxmlformats.org/officeDocument/2006/relationships/hyperlink" Target="https://doi.org/10.1016/j.ajhg.2016.06.029" TargetMode="External"/><Relationship Id="rId20" Type="http://schemas.openxmlformats.org/officeDocument/2006/relationships/hyperlink" Target="https://doi.org/10.1016/j.molcel.2009.01.026" TargetMode="External"/><Relationship Id="rId41" Type="http://schemas.openxmlformats.org/officeDocument/2006/relationships/hyperlink" Target="https://doi.org/10.1073/pnas.2407423122" TargetMode="External"/><Relationship Id="rId62" Type="http://schemas.openxmlformats.org/officeDocument/2006/relationships/hyperlink" Target="https://doi.org/10.1016/j.molcel.2014.01.009" TargetMode="External"/><Relationship Id="rId83" Type="http://schemas.openxmlformats.org/officeDocument/2006/relationships/hyperlink" Target="https://doi.org/10.1038/nsmb.1783" TargetMode="External"/><Relationship Id="rId88" Type="http://schemas.openxmlformats.org/officeDocument/2006/relationships/hyperlink" Target="https://doi.org/10.1091/mbc.E19-10-0589" TargetMode="External"/><Relationship Id="rId111" Type="http://schemas.openxmlformats.org/officeDocument/2006/relationships/hyperlink" Target="https://doi.org/10.1083/jcb.201305148" TargetMode="External"/><Relationship Id="rId132" Type="http://schemas.openxmlformats.org/officeDocument/2006/relationships/hyperlink" Target="https://doi.org/10.1038/ncb1716" TargetMode="External"/><Relationship Id="rId15" Type="http://schemas.openxmlformats.org/officeDocument/2006/relationships/hyperlink" Target="https://doi.org/10.1083/jcb.202309128" TargetMode="External"/><Relationship Id="rId36" Type="http://schemas.openxmlformats.org/officeDocument/2006/relationships/hyperlink" Target="https://doi.org/10.1016/j.cell.2016.06.010" TargetMode="External"/><Relationship Id="rId57" Type="http://schemas.openxmlformats.org/officeDocument/2006/relationships/hyperlink" Target="https://doi.org/10.1038/emboj.2012.251" TargetMode="External"/><Relationship Id="rId106" Type="http://schemas.openxmlformats.org/officeDocument/2006/relationships/hyperlink" Target="https://doi.org/10.1371/journal.ppat.1007313" TargetMode="External"/><Relationship Id="rId127" Type="http://schemas.openxmlformats.org/officeDocument/2006/relationships/hyperlink" Target="https://doi.org/10.1073/pnas.2407423122" TargetMode="External"/><Relationship Id="rId10" Type="http://schemas.openxmlformats.org/officeDocument/2006/relationships/hyperlink" Target="https://doi.org/10.1083/jcb.201305148" TargetMode="External"/><Relationship Id="rId31" Type="http://schemas.openxmlformats.org/officeDocument/2006/relationships/hyperlink" Target="https://doi.org/10.1083/jcb.201305148" TargetMode="External"/><Relationship Id="rId52" Type="http://schemas.openxmlformats.org/officeDocument/2006/relationships/hyperlink" Target="https://doi.org/10.1091/mbc.E19-10-0589" TargetMode="External"/><Relationship Id="rId73" Type="http://schemas.openxmlformats.org/officeDocument/2006/relationships/hyperlink" Target="https://doi.org/10.1073/pnas.2407423122" TargetMode="External"/><Relationship Id="rId78" Type="http://schemas.openxmlformats.org/officeDocument/2006/relationships/hyperlink" Target="https://doi.org/10.1038/emboj.2012.251" TargetMode="External"/><Relationship Id="rId94" Type="http://schemas.openxmlformats.org/officeDocument/2006/relationships/hyperlink" Target="https://doi.org/10.1038/s41586-025-09207-4" TargetMode="External"/><Relationship Id="rId99" Type="http://schemas.openxmlformats.org/officeDocument/2006/relationships/hyperlink" Target="https://doi.org/10.1016/j.cell.2026.01.011" TargetMode="External"/><Relationship Id="rId101" Type="http://schemas.openxmlformats.org/officeDocument/2006/relationships/hyperlink" Target="https://doi.org/10.1038/s41589-025-01886-4" TargetMode="External"/><Relationship Id="rId122" Type="http://schemas.openxmlformats.org/officeDocument/2006/relationships/hyperlink" Target="https://doi.org/10.1016/j.cell.2016.06.010" TargetMode="External"/><Relationship Id="rId143" Type="http://schemas.openxmlformats.org/officeDocument/2006/relationships/hyperlink" Target="https://doi.org/10.1371/journal.ppat.1007313" TargetMode="External"/><Relationship Id="rId4" Type="http://schemas.openxmlformats.org/officeDocument/2006/relationships/webSettings" Target="webSettings.xml"/><Relationship Id="rId9" Type="http://schemas.openxmlformats.org/officeDocument/2006/relationships/hyperlink" Target="https://doi.org/10.7554/eLife.60579" TargetMode="External"/><Relationship Id="rId26" Type="http://schemas.openxmlformats.org/officeDocument/2006/relationships/hyperlink" Target="https://doi.org/10.1261/rna.033217.112" TargetMode="External"/><Relationship Id="rId47" Type="http://schemas.openxmlformats.org/officeDocument/2006/relationships/hyperlink" Target="https://doi.org/10.1038/s41556-026-02040-5" TargetMode="External"/><Relationship Id="rId68" Type="http://schemas.openxmlformats.org/officeDocument/2006/relationships/hyperlink" Target="https://doi.org/10.1016/j.ajhg.2016.06.029" TargetMode="External"/><Relationship Id="rId89" Type="http://schemas.openxmlformats.org/officeDocument/2006/relationships/hyperlink" Target="https://doi.org/10.1038/s41589-025-01886-4" TargetMode="External"/><Relationship Id="rId112" Type="http://schemas.openxmlformats.org/officeDocument/2006/relationships/hyperlink" Target="https://doi.org/10.1083/jcb.202309128" TargetMode="External"/><Relationship Id="rId133" Type="http://schemas.openxmlformats.org/officeDocument/2006/relationships/hyperlink" Target="https://doi.org/10.1016/j.molcel.2014.01.009" TargetMode="External"/><Relationship Id="rId16" Type="http://schemas.openxmlformats.org/officeDocument/2006/relationships/hyperlink" Target="https://doi.org/10.1083/jcb.201305148" TargetMode="External"/><Relationship Id="rId37" Type="http://schemas.openxmlformats.org/officeDocument/2006/relationships/hyperlink" Target="https://doi.org/10.15252/embj.2020107270" TargetMode="External"/><Relationship Id="rId58" Type="http://schemas.openxmlformats.org/officeDocument/2006/relationships/hyperlink" Target="https://doi.org/10.1038/s41586-025-09207-4" TargetMode="External"/><Relationship Id="rId79" Type="http://schemas.openxmlformats.org/officeDocument/2006/relationships/hyperlink" Target="https://doi.org/10.15252/embj.2020107270" TargetMode="External"/><Relationship Id="rId102" Type="http://schemas.openxmlformats.org/officeDocument/2006/relationships/hyperlink" Target="https://doi.org/10.1038/s41586-024-07429-6" TargetMode="External"/><Relationship Id="rId123" Type="http://schemas.openxmlformats.org/officeDocument/2006/relationships/hyperlink" Target="https://doi.org/10.1101/gad.908401" TargetMode="External"/><Relationship Id="rId14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3138</Words>
  <Characters>20528</Characters>
  <Application>Microsoft Office Word</Application>
  <DocSecurity>0</DocSecurity>
  <Lines>348</Lines>
  <Paragraphs>119</Paragraphs>
  <ScaleCrop>false</ScaleCrop>
  <Company/>
  <LinksUpToDate>false</LinksUpToDate>
  <CharactersWithSpaces>23542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Bodies: Molecular Assembly and Compartment-Specific Function</dc:title>
  <dc:subject>A comparative synthesis of nucleoli, speckles, paraspeckles, Cajal bodies and PML bodies</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