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C9BB4" w14:textId="77777777" w:rsidR="00296BE1" w:rsidRDefault="0035703A">
      <w:pPr>
        <w:pStyle w:val="Title"/>
      </w:pPr>
      <w:r>
        <w:t>Nuclear Macromolecular Crowding: Accessibility, Association and Spatial Organization</w:t>
      </w:r>
    </w:p>
    <w:p w14:paraId="004E3437" w14:textId="77777777" w:rsidR="00296BE1" w:rsidRDefault="0035703A">
      <w:pPr>
        <w:pStyle w:val="Subtitle"/>
      </w:pPr>
      <w:r>
        <w:t>How chromatin, volume and molecular interactions shape the nuclear reaction environment</w:t>
      </w:r>
    </w:p>
    <w:p w14:paraId="5335E411" w14:textId="77777777" w:rsidR="00296BE1" w:rsidRDefault="0035703A">
      <w:pPr>
        <w:spacing w:before="200" w:after="320"/>
      </w:pPr>
      <w:r>
        <w:rPr>
          <w:color w:val="087B78"/>
          <w:sz w:val="20"/>
          <w:szCs w:val="20"/>
        </w:rPr>
        <w:t>CellNucleus · Current research review · 12 October 2026</w:t>
      </w:r>
    </w:p>
    <w:p w14:paraId="557B41F5" w14:textId="77777777" w:rsidR="00296BE1" w:rsidRDefault="0035703A">
      <w:pPr>
        <w:pStyle w:val="Heading1"/>
      </w:pPr>
      <w:bookmarkStart w:id="0" w:name="_Toc242668363"/>
      <w:r>
        <w:t>Abstract</w:t>
      </w:r>
      <w:bookmarkEnd w:id="0"/>
    </w:p>
    <w:p w14:paraId="749E3DCD" w14:textId="4F2D3248" w:rsidR="00296BE1" w:rsidRDefault="0035703A">
      <w:r>
        <w:t>Macromolecular crowding in the nucleus concerns how surrounding proteins, nucleic acids and assemblies change the space and interactions accessible to a molecule. It is related to concentration and mobility but cannot be identified from either alone. Nuclear chromatin creates a heterogeneous environment, while binding, compartmentalization and changes in nuclear volume contribute additional effects. Primary studies use fluorescent tracers, FRET sensors, engineered binding reporters, quantitative density mea</w:t>
      </w:r>
      <w:r>
        <w:t>surements and mechanical perturbations to separate these contributions. Recent work connects crowding-related behavior to volume homeostasis and regional chromatin organization without reducing the entire nucleus to a uniform crowded solution.</w:t>
      </w:r>
      <w:hyperlink r:id="rId7" w:history="1">
        <w:r>
          <w:rPr>
            <w:color w:val="087B78"/>
            <w:sz w:val="18"/>
            <w:szCs w:val="18"/>
          </w:rPr>
          <w:t xml:space="preserve"> [1]</w:t>
        </w:r>
      </w:hyperlink>
      <w:hyperlink r:id="rId8" w:history="1">
        <w:r>
          <w:rPr>
            <w:color w:val="087B78"/>
            <w:sz w:val="18"/>
            <w:szCs w:val="18"/>
          </w:rPr>
          <w:t xml:space="preserve"> [2]</w:t>
        </w:r>
      </w:hyperlink>
      <w:hyperlink r:id="rId9" w:history="1">
        <w:r>
          <w:rPr>
            <w:color w:val="087B78"/>
            <w:sz w:val="18"/>
            <w:szCs w:val="18"/>
          </w:rPr>
          <w:t xml:space="preserve"> [3]</w:t>
        </w:r>
      </w:hyperlink>
      <w:hyperlink r:id="rId10" w:history="1">
        <w:r>
          <w:rPr>
            <w:color w:val="087B78"/>
            <w:sz w:val="18"/>
            <w:szCs w:val="18"/>
          </w:rPr>
          <w:t xml:space="preserve"> [4]</w:t>
        </w:r>
      </w:hyperlink>
      <w:hyperlink r:id="rId11" w:history="1">
        <w:r>
          <w:rPr>
            <w:color w:val="087B78"/>
            <w:sz w:val="18"/>
            <w:szCs w:val="18"/>
          </w:rPr>
          <w:t xml:space="preserve"> [5]</w:t>
        </w:r>
      </w:hyperlink>
      <w:hyperlink r:id="rId12" w:history="1">
        <w:r>
          <w:rPr>
            <w:color w:val="087B78"/>
            <w:sz w:val="18"/>
            <w:szCs w:val="18"/>
          </w:rPr>
          <w:t xml:space="preserve"> [6]</w:t>
        </w:r>
      </w:hyperlink>
    </w:p>
    <w:p w14:paraId="75B5CD97" w14:textId="6F40013F" w:rsidR="00296BE1" w:rsidRDefault="0035703A">
      <w:r>
        <w:t>This review explains the distinct experimental meanings of crowding and then integrates their biological implications. It compares access and binding, considers how nuclear compartments and mechanical deformation redistribute molecular environments, and evaluates what current sensors can establish. The central requirement is to retain probe identity and measurement scale: a crowded region for one molecule may be accessible to another, and a fluorescence enrichment can arise through specific binding rather t</w:t>
      </w:r>
      <w:r>
        <w:t>han increased bulk crowding.</w:t>
      </w:r>
      <w:hyperlink r:id="rId13" w:history="1">
        <w:r>
          <w:rPr>
            <w:color w:val="087B78"/>
            <w:sz w:val="18"/>
            <w:szCs w:val="18"/>
          </w:rPr>
          <w:t xml:space="preserve"> [1]</w:t>
        </w:r>
      </w:hyperlink>
      <w:hyperlink r:id="rId14" w:history="1">
        <w:r>
          <w:rPr>
            <w:color w:val="087B78"/>
            <w:sz w:val="18"/>
            <w:szCs w:val="18"/>
          </w:rPr>
          <w:t xml:space="preserve"> [7]</w:t>
        </w:r>
      </w:hyperlink>
      <w:hyperlink r:id="rId15" w:history="1">
        <w:r>
          <w:rPr>
            <w:color w:val="087B78"/>
            <w:sz w:val="18"/>
            <w:szCs w:val="18"/>
          </w:rPr>
          <w:t xml:space="preserve"> [8]</w:t>
        </w:r>
      </w:hyperlink>
      <w:hyperlink r:id="rId16" w:history="1">
        <w:r>
          <w:rPr>
            <w:color w:val="087B78"/>
            <w:sz w:val="18"/>
            <w:szCs w:val="18"/>
          </w:rPr>
          <w:t xml:space="preserve"> [5]</w:t>
        </w:r>
      </w:hyperlink>
    </w:p>
    <w:p w14:paraId="5A9D1E41" w14:textId="77777777" w:rsidR="00296BE1" w:rsidRDefault="0035703A">
      <w:pPr>
        <w:pageBreakBefore/>
        <w:spacing w:before="330"/>
      </w:pPr>
      <w:r>
        <w:rPr>
          <w:b/>
          <w:bCs/>
          <w:color w:val="173B4C"/>
          <w:sz w:val="32"/>
          <w:szCs w:val="32"/>
        </w:rPr>
        <w:lastRenderedPageBreak/>
        <w:t>Contents</w:t>
      </w:r>
    </w:p>
    <w:sdt>
      <w:sdtPr>
        <w:alias w:val="Contents"/>
        <w:id w:val="-1295972949"/>
      </w:sdtPr>
      <w:sdtEndPr/>
      <w:sdtContent>
        <w:p w14:paraId="0A6EFEA4" w14:textId="70DE8235" w:rsidR="001C16E9" w:rsidRDefault="0035703A">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42668363" w:history="1">
            <w:r w:rsidR="001C16E9" w:rsidRPr="00C91D1E">
              <w:rPr>
                <w:rStyle w:val="Hyperlink"/>
                <w:noProof/>
              </w:rPr>
              <w:t>Abstract</w:t>
            </w:r>
            <w:r w:rsidR="001C16E9">
              <w:rPr>
                <w:noProof/>
              </w:rPr>
              <w:tab/>
            </w:r>
            <w:r w:rsidR="001C16E9">
              <w:rPr>
                <w:noProof/>
              </w:rPr>
              <w:fldChar w:fldCharType="begin"/>
            </w:r>
            <w:r w:rsidR="001C16E9">
              <w:rPr>
                <w:noProof/>
              </w:rPr>
              <w:instrText xml:space="preserve"> PAGEREF _Toc242668363 \h </w:instrText>
            </w:r>
            <w:r w:rsidR="001C16E9">
              <w:rPr>
                <w:noProof/>
              </w:rPr>
            </w:r>
            <w:r w:rsidR="001C16E9">
              <w:rPr>
                <w:noProof/>
              </w:rPr>
              <w:fldChar w:fldCharType="separate"/>
            </w:r>
            <w:r w:rsidR="001C16E9">
              <w:rPr>
                <w:noProof/>
              </w:rPr>
              <w:t>1</w:t>
            </w:r>
            <w:r w:rsidR="001C16E9">
              <w:rPr>
                <w:noProof/>
              </w:rPr>
              <w:fldChar w:fldCharType="end"/>
            </w:r>
          </w:hyperlink>
        </w:p>
        <w:p w14:paraId="5F2B81AA" w14:textId="6FCBE1A2"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4" w:history="1">
            <w:r w:rsidRPr="00C91D1E">
              <w:rPr>
                <w:rStyle w:val="Hyperlink"/>
                <w:noProof/>
              </w:rPr>
              <w:t>1. Crowding is a molecular environment, not one scalar label</w:t>
            </w:r>
            <w:r>
              <w:rPr>
                <w:noProof/>
              </w:rPr>
              <w:tab/>
            </w:r>
            <w:r>
              <w:rPr>
                <w:noProof/>
              </w:rPr>
              <w:fldChar w:fldCharType="begin"/>
            </w:r>
            <w:r>
              <w:rPr>
                <w:noProof/>
              </w:rPr>
              <w:instrText xml:space="preserve"> PAGEREF _Toc242668364 \h </w:instrText>
            </w:r>
            <w:r>
              <w:rPr>
                <w:noProof/>
              </w:rPr>
            </w:r>
            <w:r>
              <w:rPr>
                <w:noProof/>
              </w:rPr>
              <w:fldChar w:fldCharType="separate"/>
            </w:r>
            <w:r>
              <w:rPr>
                <w:noProof/>
              </w:rPr>
              <w:t>2</w:t>
            </w:r>
            <w:r>
              <w:rPr>
                <w:noProof/>
              </w:rPr>
              <w:fldChar w:fldCharType="end"/>
            </w:r>
          </w:hyperlink>
        </w:p>
        <w:p w14:paraId="231A376B" w14:textId="29FE4E26"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5" w:history="1">
            <w:r w:rsidRPr="00C91D1E">
              <w:rPr>
                <w:rStyle w:val="Hyperlink"/>
                <w:noProof/>
              </w:rPr>
              <w:t>2. Chromatin shapes accessibility across scales</w:t>
            </w:r>
            <w:r>
              <w:rPr>
                <w:noProof/>
              </w:rPr>
              <w:tab/>
            </w:r>
            <w:r>
              <w:rPr>
                <w:noProof/>
              </w:rPr>
              <w:fldChar w:fldCharType="begin"/>
            </w:r>
            <w:r>
              <w:rPr>
                <w:noProof/>
              </w:rPr>
              <w:instrText xml:space="preserve"> PAGEREF _Toc242668365 \h </w:instrText>
            </w:r>
            <w:r>
              <w:rPr>
                <w:noProof/>
              </w:rPr>
            </w:r>
            <w:r>
              <w:rPr>
                <w:noProof/>
              </w:rPr>
              <w:fldChar w:fldCharType="separate"/>
            </w:r>
            <w:r>
              <w:rPr>
                <w:noProof/>
              </w:rPr>
              <w:t>3</w:t>
            </w:r>
            <w:r>
              <w:rPr>
                <w:noProof/>
              </w:rPr>
              <w:fldChar w:fldCharType="end"/>
            </w:r>
          </w:hyperlink>
        </w:p>
        <w:p w14:paraId="3FCCC37C" w14:textId="1A77D79E"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6" w:history="1">
            <w:r w:rsidRPr="00C91D1E">
              <w:rPr>
                <w:rStyle w:val="Hyperlink"/>
                <w:noProof/>
              </w:rPr>
              <w:t>3. Diffusion assays identify the accessible population</w:t>
            </w:r>
            <w:r>
              <w:rPr>
                <w:noProof/>
              </w:rPr>
              <w:tab/>
            </w:r>
            <w:r>
              <w:rPr>
                <w:noProof/>
              </w:rPr>
              <w:fldChar w:fldCharType="begin"/>
            </w:r>
            <w:r>
              <w:rPr>
                <w:noProof/>
              </w:rPr>
              <w:instrText xml:space="preserve"> PAGEREF _Toc242668366 \h </w:instrText>
            </w:r>
            <w:r>
              <w:rPr>
                <w:noProof/>
              </w:rPr>
            </w:r>
            <w:r>
              <w:rPr>
                <w:noProof/>
              </w:rPr>
              <w:fldChar w:fldCharType="separate"/>
            </w:r>
            <w:r>
              <w:rPr>
                <w:noProof/>
              </w:rPr>
              <w:t>3</w:t>
            </w:r>
            <w:r>
              <w:rPr>
                <w:noProof/>
              </w:rPr>
              <w:fldChar w:fldCharType="end"/>
            </w:r>
          </w:hyperlink>
        </w:p>
        <w:p w14:paraId="2D744E0E" w14:textId="0B0D344E"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7" w:history="1">
            <w:r w:rsidRPr="00C91D1E">
              <w:rPr>
                <w:rStyle w:val="Hyperlink"/>
                <w:noProof/>
              </w:rPr>
              <w:t>4. FRET sensors interrogate a different physical property</w:t>
            </w:r>
            <w:r>
              <w:rPr>
                <w:noProof/>
              </w:rPr>
              <w:tab/>
            </w:r>
            <w:r>
              <w:rPr>
                <w:noProof/>
              </w:rPr>
              <w:fldChar w:fldCharType="begin"/>
            </w:r>
            <w:r>
              <w:rPr>
                <w:noProof/>
              </w:rPr>
              <w:instrText xml:space="preserve"> PAGEREF _Toc242668367 \h </w:instrText>
            </w:r>
            <w:r>
              <w:rPr>
                <w:noProof/>
              </w:rPr>
            </w:r>
            <w:r>
              <w:rPr>
                <w:noProof/>
              </w:rPr>
              <w:fldChar w:fldCharType="separate"/>
            </w:r>
            <w:r>
              <w:rPr>
                <w:noProof/>
              </w:rPr>
              <w:t>4</w:t>
            </w:r>
            <w:r>
              <w:rPr>
                <w:noProof/>
              </w:rPr>
              <w:fldChar w:fldCharType="end"/>
            </w:r>
          </w:hyperlink>
        </w:p>
        <w:p w14:paraId="61E3390A" w14:textId="4C19CC9B"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8" w:history="1">
            <w:r w:rsidRPr="00C91D1E">
              <w:rPr>
                <w:rStyle w:val="Hyperlink"/>
                <w:noProof/>
              </w:rPr>
              <w:t>5. Nuclear volume and composition regulate density</w:t>
            </w:r>
            <w:r>
              <w:rPr>
                <w:noProof/>
              </w:rPr>
              <w:tab/>
            </w:r>
            <w:r>
              <w:rPr>
                <w:noProof/>
              </w:rPr>
              <w:fldChar w:fldCharType="begin"/>
            </w:r>
            <w:r>
              <w:rPr>
                <w:noProof/>
              </w:rPr>
              <w:instrText xml:space="preserve"> PAGEREF _Toc242668368 \h </w:instrText>
            </w:r>
            <w:r>
              <w:rPr>
                <w:noProof/>
              </w:rPr>
            </w:r>
            <w:r>
              <w:rPr>
                <w:noProof/>
              </w:rPr>
              <w:fldChar w:fldCharType="separate"/>
            </w:r>
            <w:r>
              <w:rPr>
                <w:noProof/>
              </w:rPr>
              <w:t>4</w:t>
            </w:r>
            <w:r>
              <w:rPr>
                <w:noProof/>
              </w:rPr>
              <w:fldChar w:fldCharType="end"/>
            </w:r>
          </w:hyperlink>
        </w:p>
        <w:p w14:paraId="6510192F" w14:textId="515ACB14"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69" w:history="1">
            <w:r w:rsidRPr="00C91D1E">
              <w:rPr>
                <w:rStyle w:val="Hyperlink"/>
                <w:noProof/>
              </w:rPr>
              <w:t>6. Engineered binding reporters expose interaction-dependent effects</w:t>
            </w:r>
            <w:r>
              <w:rPr>
                <w:noProof/>
              </w:rPr>
              <w:tab/>
            </w:r>
            <w:r>
              <w:rPr>
                <w:noProof/>
              </w:rPr>
              <w:fldChar w:fldCharType="begin"/>
            </w:r>
            <w:r>
              <w:rPr>
                <w:noProof/>
              </w:rPr>
              <w:instrText xml:space="preserve"> PAGEREF _Toc242668369 \h </w:instrText>
            </w:r>
            <w:r>
              <w:rPr>
                <w:noProof/>
              </w:rPr>
            </w:r>
            <w:r>
              <w:rPr>
                <w:noProof/>
              </w:rPr>
              <w:fldChar w:fldCharType="separate"/>
            </w:r>
            <w:r>
              <w:rPr>
                <w:noProof/>
              </w:rPr>
              <w:t>5</w:t>
            </w:r>
            <w:r>
              <w:rPr>
                <w:noProof/>
              </w:rPr>
              <w:fldChar w:fldCharType="end"/>
            </w:r>
          </w:hyperlink>
        </w:p>
        <w:p w14:paraId="35A31723" w14:textId="2947BD6D"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0" w:history="1">
            <w:r w:rsidRPr="00C91D1E">
              <w:rPr>
                <w:rStyle w:val="Hyperlink"/>
                <w:noProof/>
              </w:rPr>
              <w:t>7. Selective enrichment differs from bulk crowding</w:t>
            </w:r>
            <w:r>
              <w:rPr>
                <w:noProof/>
              </w:rPr>
              <w:tab/>
            </w:r>
            <w:r>
              <w:rPr>
                <w:noProof/>
              </w:rPr>
              <w:fldChar w:fldCharType="begin"/>
            </w:r>
            <w:r>
              <w:rPr>
                <w:noProof/>
              </w:rPr>
              <w:instrText xml:space="preserve"> PAGEREF _Toc242668370 \h </w:instrText>
            </w:r>
            <w:r>
              <w:rPr>
                <w:noProof/>
              </w:rPr>
            </w:r>
            <w:r>
              <w:rPr>
                <w:noProof/>
              </w:rPr>
              <w:fldChar w:fldCharType="separate"/>
            </w:r>
            <w:r>
              <w:rPr>
                <w:noProof/>
              </w:rPr>
              <w:t>5</w:t>
            </w:r>
            <w:r>
              <w:rPr>
                <w:noProof/>
              </w:rPr>
              <w:fldChar w:fldCharType="end"/>
            </w:r>
          </w:hyperlink>
        </w:p>
        <w:p w14:paraId="4CBB653E" w14:textId="2C9991D8"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1" w:history="1">
            <w:r w:rsidRPr="00C91D1E">
              <w:rPr>
                <w:rStyle w:val="Hyperlink"/>
                <w:noProof/>
              </w:rPr>
              <w:t>8. Deformation can redistribute local crowding environments</w:t>
            </w:r>
            <w:r>
              <w:rPr>
                <w:noProof/>
              </w:rPr>
              <w:tab/>
            </w:r>
            <w:r>
              <w:rPr>
                <w:noProof/>
              </w:rPr>
              <w:fldChar w:fldCharType="begin"/>
            </w:r>
            <w:r>
              <w:rPr>
                <w:noProof/>
              </w:rPr>
              <w:instrText xml:space="preserve"> PAGEREF _Toc242668371 \h </w:instrText>
            </w:r>
            <w:r>
              <w:rPr>
                <w:noProof/>
              </w:rPr>
            </w:r>
            <w:r>
              <w:rPr>
                <w:noProof/>
              </w:rPr>
              <w:fldChar w:fldCharType="separate"/>
            </w:r>
            <w:r>
              <w:rPr>
                <w:noProof/>
              </w:rPr>
              <w:t>6</w:t>
            </w:r>
            <w:r>
              <w:rPr>
                <w:noProof/>
              </w:rPr>
              <w:fldChar w:fldCharType="end"/>
            </w:r>
          </w:hyperlink>
        </w:p>
        <w:p w14:paraId="4C27D8F5" w14:textId="41EC3699"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2" w:history="1">
            <w:r w:rsidRPr="00C91D1E">
              <w:rPr>
                <w:rStyle w:val="Hyperlink"/>
                <w:noProof/>
              </w:rPr>
              <w:t>9. Match the observable to the biological claim</w:t>
            </w:r>
            <w:r>
              <w:rPr>
                <w:noProof/>
              </w:rPr>
              <w:tab/>
            </w:r>
            <w:r>
              <w:rPr>
                <w:noProof/>
              </w:rPr>
              <w:fldChar w:fldCharType="begin"/>
            </w:r>
            <w:r>
              <w:rPr>
                <w:noProof/>
              </w:rPr>
              <w:instrText xml:space="preserve"> PAGEREF _Toc242668372 \h </w:instrText>
            </w:r>
            <w:r>
              <w:rPr>
                <w:noProof/>
              </w:rPr>
            </w:r>
            <w:r>
              <w:rPr>
                <w:noProof/>
              </w:rPr>
              <w:fldChar w:fldCharType="separate"/>
            </w:r>
            <w:r>
              <w:rPr>
                <w:noProof/>
              </w:rPr>
              <w:t>6</w:t>
            </w:r>
            <w:r>
              <w:rPr>
                <w:noProof/>
              </w:rPr>
              <w:fldChar w:fldCharType="end"/>
            </w:r>
          </w:hyperlink>
        </w:p>
        <w:p w14:paraId="2FBB1C40" w14:textId="3881A052"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3" w:history="1">
            <w:r w:rsidRPr="00C91D1E">
              <w:rPr>
                <w:rStyle w:val="Hyperlink"/>
                <w:noProof/>
              </w:rPr>
              <w:t>10. Current conclusions and unresolved mechanisms</w:t>
            </w:r>
            <w:r>
              <w:rPr>
                <w:noProof/>
              </w:rPr>
              <w:tab/>
            </w:r>
            <w:r>
              <w:rPr>
                <w:noProof/>
              </w:rPr>
              <w:fldChar w:fldCharType="begin"/>
            </w:r>
            <w:r>
              <w:rPr>
                <w:noProof/>
              </w:rPr>
              <w:instrText xml:space="preserve"> PAGEREF _Toc242668373 \h </w:instrText>
            </w:r>
            <w:r>
              <w:rPr>
                <w:noProof/>
              </w:rPr>
            </w:r>
            <w:r>
              <w:rPr>
                <w:noProof/>
              </w:rPr>
              <w:fldChar w:fldCharType="separate"/>
            </w:r>
            <w:r>
              <w:rPr>
                <w:noProof/>
              </w:rPr>
              <w:t>7</w:t>
            </w:r>
            <w:r>
              <w:rPr>
                <w:noProof/>
              </w:rPr>
              <w:fldChar w:fldCharType="end"/>
            </w:r>
          </w:hyperlink>
        </w:p>
        <w:p w14:paraId="383796A5" w14:textId="1BCD324A"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4" w:history="1">
            <w:r w:rsidRPr="00C91D1E">
              <w:rPr>
                <w:rStyle w:val="Hyperlink"/>
                <w:noProof/>
              </w:rPr>
              <w:t>References</w:t>
            </w:r>
            <w:r>
              <w:rPr>
                <w:noProof/>
              </w:rPr>
              <w:tab/>
            </w:r>
            <w:r>
              <w:rPr>
                <w:noProof/>
              </w:rPr>
              <w:fldChar w:fldCharType="begin"/>
            </w:r>
            <w:r>
              <w:rPr>
                <w:noProof/>
              </w:rPr>
              <w:instrText xml:space="preserve"> PAGEREF _Toc242668374 \h </w:instrText>
            </w:r>
            <w:r>
              <w:rPr>
                <w:noProof/>
              </w:rPr>
            </w:r>
            <w:r>
              <w:rPr>
                <w:noProof/>
              </w:rPr>
              <w:fldChar w:fldCharType="separate"/>
            </w:r>
            <w:r>
              <w:rPr>
                <w:noProof/>
              </w:rPr>
              <w:t>7</w:t>
            </w:r>
            <w:r>
              <w:rPr>
                <w:noProof/>
              </w:rPr>
              <w:fldChar w:fldCharType="end"/>
            </w:r>
          </w:hyperlink>
        </w:p>
        <w:p w14:paraId="479B1826" w14:textId="1B9BB544" w:rsidR="001C16E9" w:rsidRDefault="001C16E9">
          <w:pPr>
            <w:pStyle w:val="TO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42668375" w:history="1">
            <w:r w:rsidRPr="00C91D1E">
              <w:rPr>
                <w:rStyle w:val="Hyperlink"/>
                <w:noProof/>
              </w:rPr>
              <w:t>Evidence scope</w:t>
            </w:r>
            <w:r>
              <w:rPr>
                <w:noProof/>
              </w:rPr>
              <w:tab/>
            </w:r>
            <w:r>
              <w:rPr>
                <w:noProof/>
              </w:rPr>
              <w:fldChar w:fldCharType="begin"/>
            </w:r>
            <w:r>
              <w:rPr>
                <w:noProof/>
              </w:rPr>
              <w:instrText xml:space="preserve"> PAGEREF _Toc242668375 \h </w:instrText>
            </w:r>
            <w:r>
              <w:rPr>
                <w:noProof/>
              </w:rPr>
            </w:r>
            <w:r>
              <w:rPr>
                <w:noProof/>
              </w:rPr>
              <w:fldChar w:fldCharType="separate"/>
            </w:r>
            <w:r>
              <w:rPr>
                <w:noProof/>
              </w:rPr>
              <w:t>8</w:t>
            </w:r>
            <w:r>
              <w:rPr>
                <w:noProof/>
              </w:rPr>
              <w:fldChar w:fldCharType="end"/>
            </w:r>
          </w:hyperlink>
        </w:p>
        <w:p w14:paraId="53061F66" w14:textId="23FA4C56" w:rsidR="00296BE1" w:rsidRDefault="0035703A">
          <w:r>
            <w:fldChar w:fldCharType="end"/>
          </w:r>
        </w:p>
      </w:sdtContent>
    </w:sdt>
    <w:p w14:paraId="2CEF6B24" w14:textId="77777777" w:rsidR="00296BE1" w:rsidRDefault="0035703A">
      <w:pPr>
        <w:pStyle w:val="Heading1"/>
      </w:pPr>
      <w:bookmarkStart w:id="1" w:name="_Toc242668364"/>
      <w:r>
        <w:t>1. Crowding is a molecular environment, not one scalar label</w:t>
      </w:r>
      <w:bookmarkEnd w:id="1"/>
    </w:p>
    <w:p w14:paraId="77EE0ACF" w14:textId="41ACD84A" w:rsidR="00296BE1" w:rsidRDefault="0035703A">
      <w:r>
        <w:t xml:space="preserve">The simplest crowding picture asks how macromolecules reduce the configurations available to a test molecule. In a living nucleus, this geometric effect is accompanied by interaction chemistry, structural organization and dynamic exchange. A sensor reports the response of its own dimensions and chemistry, not an unbiased census of all unavailable space. The FRET sensors developed by Boersma and colleagues and by Murade and Shubeita supply direct environmental readouts, but their calibration remains part of </w:t>
      </w:r>
      <w:r>
        <w:t>the interpretation. A nuclear crowding value should therefore state the sensor and calibration conditions rather than imply that every molecule experiences the same exclusion.</w:t>
      </w:r>
      <w:hyperlink r:id="rId17" w:history="1">
        <w:r>
          <w:rPr>
            <w:color w:val="087B78"/>
            <w:sz w:val="18"/>
            <w:szCs w:val="18"/>
          </w:rPr>
          <w:t xml:space="preserve"> [9]</w:t>
        </w:r>
      </w:hyperlink>
      <w:hyperlink r:id="rId18" w:history="1">
        <w:r>
          <w:rPr>
            <w:color w:val="087B78"/>
            <w:sz w:val="18"/>
            <w:szCs w:val="18"/>
          </w:rPr>
          <w:t xml:space="preserve"> [3]</w:t>
        </w:r>
      </w:hyperlink>
    </w:p>
    <w:p w14:paraId="02219306" w14:textId="41E24394" w:rsidR="00296BE1" w:rsidRDefault="0035703A">
      <w:r>
        <w:t>Crowding is distinct from viscosity, mass density and occupancy of a binding site. A slow protein may encounter obstacles or remain bound, while a compact sensor may undergo a conformational change without measuring a fluid shear response. Likewise, a dense fluorescent domain can represent selective enrichment of the labeled species, rather than a corresponding increase in every macromolecule. Treating these observables as interchangeable prevents a mechanistic account of nuclear regulation. Their separatio</w:t>
      </w:r>
      <w:r>
        <w:t>n instead permits a specific hypothesis: altered volume, chromatin geometry or binding chemistry changes one aspect of the molecular environment, with other readouts used to test its consequences.</w:t>
      </w:r>
      <w:hyperlink r:id="rId19" w:history="1">
        <w:r>
          <w:rPr>
            <w:color w:val="087B78"/>
            <w:sz w:val="18"/>
            <w:szCs w:val="18"/>
          </w:rPr>
          <w:t xml:space="preserve"> [2]</w:t>
        </w:r>
      </w:hyperlink>
      <w:hyperlink r:id="rId20" w:history="1">
        <w:r>
          <w:rPr>
            <w:color w:val="087B78"/>
            <w:sz w:val="18"/>
            <w:szCs w:val="18"/>
          </w:rPr>
          <w:t xml:space="preserve"> [1]</w:t>
        </w:r>
      </w:hyperlink>
      <w:hyperlink r:id="rId21" w:history="1">
        <w:r>
          <w:rPr>
            <w:color w:val="087B78"/>
            <w:sz w:val="18"/>
            <w:szCs w:val="18"/>
          </w:rPr>
          <w:t xml:space="preserve"> [3]</w:t>
        </w:r>
      </w:hyperlink>
      <w:hyperlink r:id="rId22" w:history="1">
        <w:r>
          <w:rPr>
            <w:color w:val="087B78"/>
            <w:sz w:val="18"/>
            <w:szCs w:val="18"/>
          </w:rPr>
          <w:t xml:space="preserve"> [4]</w:t>
        </w:r>
      </w:hyperlink>
    </w:p>
    <w:p w14:paraId="5D120F57" w14:textId="77777777" w:rsidR="00296BE1" w:rsidRDefault="0035703A">
      <w:pPr>
        <w:pStyle w:val="Heading1"/>
      </w:pPr>
      <w:bookmarkStart w:id="2" w:name="_Toc242668365"/>
      <w:r>
        <w:lastRenderedPageBreak/>
        <w:t>2. Chromatin shapes accessibility across scales</w:t>
      </w:r>
      <w:bookmarkEnd w:id="2"/>
    </w:p>
    <w:p w14:paraId="18E3655C" w14:textId="769BF4DE" w:rsidR="00296BE1" w:rsidRDefault="0035703A">
      <w:r>
        <w:t>Chromatin is an extended and organized nuclear substrate, so its effects depend on probe size and the distance being sampled. Bancaud and colleagues examined diffusion and binding of nuclear proteins in different chromatin environments, distinguishing hindrance from transient trapping. Their structural interpretation relied on a model. Erdel and colleagues later analyzed differently sized inert fluorescent probes and simulations consistent with a random obstacle network and scale-dependent behavior. These s</w:t>
      </w:r>
      <w:r>
        <w:t>tudies support a heterogeneous environment in which mobility changes with the probe and observation range. They do not establish one universal geometric dimension or a sharp pore size that applies to all chromatin.</w:t>
      </w:r>
      <w:hyperlink r:id="rId23" w:history="1">
        <w:r>
          <w:rPr>
            <w:color w:val="087B78"/>
            <w:sz w:val="18"/>
            <w:szCs w:val="18"/>
          </w:rPr>
          <w:t xml:space="preserve"> [1]</w:t>
        </w:r>
      </w:hyperlink>
      <w:hyperlink r:id="rId24" w:history="1">
        <w:r>
          <w:rPr>
            <w:color w:val="087B78"/>
            <w:sz w:val="18"/>
            <w:szCs w:val="18"/>
          </w:rPr>
          <w:t xml:space="preserve"> [7]</w:t>
        </w:r>
      </w:hyperlink>
    </w:p>
    <w:p w14:paraId="66B4425A" w14:textId="65FB96DD" w:rsidR="00296BE1" w:rsidRDefault="0035703A">
      <w:r>
        <w:t>This distinction matters for access to genomic targets. An inert fluorescent protein reports the environment through which it moves; a DNA-binding protein also recognizes and occupies targets. A larger macromolecular assembly can have different steric and interaction constraints from the protein monomer. Nuclear accessibility is therefore better described by a matched set of probes than by chromatin fluorescence intensity alone. When comparing dense and sparse chromatin, the experiment should ask whether ch</w:t>
      </w:r>
      <w:r>
        <w:t>anges reflect physical exclusion, altered diffusion through the accessible volume, additional binding sites, or a combination. Each route predicts a different relationship between concentration and mobility.</w:t>
      </w:r>
      <w:hyperlink r:id="rId25" w:history="1">
        <w:r>
          <w:rPr>
            <w:color w:val="087B78"/>
            <w:sz w:val="18"/>
            <w:szCs w:val="18"/>
          </w:rPr>
          <w:t xml:space="preserve"> [1]</w:t>
        </w:r>
      </w:hyperlink>
      <w:hyperlink r:id="rId26" w:history="1">
        <w:r>
          <w:rPr>
            <w:color w:val="087B78"/>
            <w:sz w:val="18"/>
            <w:szCs w:val="18"/>
          </w:rPr>
          <w:t xml:space="preserve"> [2]</w:t>
        </w:r>
      </w:hyperlink>
      <w:hyperlink r:id="rId27" w:history="1">
        <w:r>
          <w:rPr>
            <w:color w:val="087B78"/>
            <w:sz w:val="18"/>
            <w:szCs w:val="18"/>
          </w:rPr>
          <w:t xml:space="preserve"> [7]</w:t>
        </w:r>
      </w:hyperlink>
    </w:p>
    <w:p w14:paraId="2C625EEC" w14:textId="77777777" w:rsidR="00296BE1" w:rsidRDefault="0035703A">
      <w:pPr>
        <w:pStyle w:val="Heading1"/>
      </w:pPr>
      <w:bookmarkStart w:id="3" w:name="_Toc242668366"/>
      <w:r>
        <w:t>3. Diffusion assays identify the accessible population</w:t>
      </w:r>
      <w:bookmarkEnd w:id="3"/>
    </w:p>
    <w:p w14:paraId="54E0509C" w14:textId="0AD25929" w:rsidR="00296BE1" w:rsidRDefault="0035703A">
      <w:r>
        <w:t>Dross and colleagues used FCS to characterize eGFP-oligomer mobility in living nuclei outside nucleoli. Their analysis included two normally diffusing components and a photophysical contribution, with observation-volume calibration. The measured signal represents fluorescent probes contributing fluctuations in the sampled region. This is useful evidence of probe-dependent nuclear mobility, but it cannot independently count molecules that fail to enter that region or establish the dynamics of a differently i</w:t>
      </w:r>
      <w:r>
        <w:t>nteracting nuclear protein. Local concentrations and mobility should therefore be interpreted together when an accessibility question includes both exclusion and passage.</w:t>
      </w:r>
      <w:hyperlink r:id="rId28" w:history="1">
        <w:r>
          <w:rPr>
            <w:color w:val="087B78"/>
            <w:sz w:val="18"/>
            <w:szCs w:val="18"/>
          </w:rPr>
          <w:t xml:space="preserve"> [2]</w:t>
        </w:r>
      </w:hyperlink>
    </w:p>
    <w:p w14:paraId="3C815873" w14:textId="6CC3FF7F" w:rsidR="00296BE1" w:rsidRDefault="0035703A">
      <w:r>
        <w:t>Particle tracking offers a more resolved view but introduces selection during observation. The Spot-On study showed that rapid movement can produce motion blur and focal-volume loss, biasing estimates of slow and fast fractions. This can matter especially when a perturbation changes the mobile population. A comparison made with unmatched exposure times or tracking density may create an apparent crowding effect. Reference calibration, acquisition matching and analysis of labeling behavior are therefore neces</w:t>
      </w:r>
      <w:r>
        <w:t>sary to assign a change in displacement statistics to the nuclear environment. A successful track is evidence for a detected molecule, rather than a complete sampling of every molecule present.</w:t>
      </w:r>
      <w:hyperlink r:id="rId29" w:history="1">
        <w:r>
          <w:rPr>
            <w:color w:val="087B78"/>
            <w:sz w:val="18"/>
            <w:szCs w:val="18"/>
          </w:rPr>
          <w:t xml:space="preserve"> [10]</w:t>
        </w:r>
      </w:hyperlink>
    </w:p>
    <w:p w14:paraId="492AFD35" w14:textId="77777777" w:rsidR="00296BE1" w:rsidRDefault="0035703A">
      <w:pPr>
        <w:pStyle w:val="Heading1"/>
      </w:pPr>
      <w:bookmarkStart w:id="4" w:name="_Toc242668367"/>
      <w:r>
        <w:lastRenderedPageBreak/>
        <w:t>4. FRET sensors interrogate a different physical property</w:t>
      </w:r>
      <w:bookmarkEnd w:id="4"/>
    </w:p>
    <w:p w14:paraId="1140B465" w14:textId="6B4E016E" w:rsidR="00296BE1" w:rsidRDefault="0035703A">
      <w:r>
        <w:t>FRET crowding sensors convert environmental effects on a defined molecular construct into an optical signal. Boersma and colleagues introduced a genetically encoded sensor and tested it in bacterial and mammalian cells. Murade and Shubeita used an oligonucleotide sensor responsive to crowding agents in vitro and found a contrast between nuclear and cytoplasmic compartments that could be modulated by osmotic and chromatin perturbations. These studies broaden the measurement beyond translational diffusion. Th</w:t>
      </w:r>
      <w:r>
        <w:t>eir signals reflect molecular-scale sensor response, making them complementary to FCS rather than an alternative unit for the same measurement.</w:t>
      </w:r>
      <w:hyperlink r:id="rId30" w:history="1">
        <w:r>
          <w:rPr>
            <w:color w:val="087B78"/>
            <w:sz w:val="18"/>
            <w:szCs w:val="18"/>
          </w:rPr>
          <w:t xml:space="preserve"> [9]</w:t>
        </w:r>
      </w:hyperlink>
      <w:hyperlink r:id="rId31" w:history="1">
        <w:r>
          <w:rPr>
            <w:color w:val="087B78"/>
            <w:sz w:val="18"/>
            <w:szCs w:val="18"/>
          </w:rPr>
          <w:t xml:space="preserve"> [3]</w:t>
        </w:r>
      </w:hyperlink>
    </w:p>
    <w:p w14:paraId="7A554DDF" w14:textId="46184EC5" w:rsidR="00296BE1" w:rsidRDefault="0035703A">
      <w:r>
        <w:t>Calibration needs to distinguish a crowding response from changes in ionic conditions, pH, fluorophore behavior, sensor concentration and specific interactions. The published ACS sensor work lists controls spanning crowder size and concentration, salt and sensor architecture, illustrating why the probe cannot be interpreted solely from a bright image. Comparison between compartments should also consider whether the construct reaches them and remains chemically intact. An environmentally responsive sensor ca</w:t>
      </w:r>
      <w:r>
        <w:t>n establish a reproducible contrast even when the complete physical cause is unresolved. Mechanistic attribution becomes stronger when an orthogonal measurement changes in the predicted direction under the same perturbation.</w:t>
      </w:r>
      <w:hyperlink r:id="rId32" w:history="1">
        <w:r>
          <w:rPr>
            <w:color w:val="087B78"/>
            <w:sz w:val="18"/>
            <w:szCs w:val="18"/>
          </w:rPr>
          <w:t xml:space="preserve"> [3]</w:t>
        </w:r>
      </w:hyperlink>
      <w:hyperlink r:id="rId33" w:history="1">
        <w:r>
          <w:rPr>
            <w:color w:val="087B78"/>
            <w:sz w:val="18"/>
            <w:szCs w:val="18"/>
          </w:rPr>
          <w:t xml:space="preserve"> [2]</w:t>
        </w:r>
      </w:hyperlink>
    </w:p>
    <w:p w14:paraId="35995348" w14:textId="77777777" w:rsidR="00296BE1" w:rsidRDefault="0035703A">
      <w:pPr>
        <w:pStyle w:val="Heading1"/>
      </w:pPr>
      <w:bookmarkStart w:id="5" w:name="_Toc242668368"/>
      <w:r>
        <w:t>5. Nuclear volume and composition regulate density</w:t>
      </w:r>
      <w:bookmarkEnd w:id="5"/>
    </w:p>
    <w:p w14:paraId="561CC0F4" w14:textId="726B2FC0" w:rsidR="00296BE1" w:rsidRDefault="0035703A">
      <w:r>
        <w:t>Biswas and colleagues linked nuclear density to pressure balance across the envelope, combining quantitative measurements with a model of imported macromolecules and chromatin. Nuclear transport establishes a composition that contributes colloid osmotic pressure, while confined chromatin supplies another pressure contribution. The study examined different systems, including nuclear assembly in Xenopus extracts and density relationships during C. elegans development. Its contribution is to make nuclear volum</w:t>
      </w:r>
      <w:r>
        <w:t>e and density joint outputs of transport and chromatin, rather than assuming that volume is set by DNA amount alone or that nuclear and cytoplasmic composition must be identical.</w:t>
      </w:r>
      <w:hyperlink r:id="rId34" w:history="1">
        <w:r>
          <w:rPr>
            <w:color w:val="087B78"/>
            <w:sz w:val="18"/>
            <w:szCs w:val="18"/>
          </w:rPr>
          <w:t xml:space="preserve"> [4]</w:t>
        </w:r>
      </w:hyperlink>
    </w:p>
    <w:p w14:paraId="28233BA4" w14:textId="39A90B1F" w:rsidR="00296BE1" w:rsidRDefault="0035703A">
      <w:r>
        <w:t>Density homeostasis provides a broader context for crowding, but density is still a mass-per-volume measurement. The accessible environment of a small sensor also depends on how that mass is distributed and on its interactions. Nuclear swelling can change concentration, yet the same concentration can coexist with different chromatin geometries or binding states. A model of pressure balance should therefore be connected to local assays before being used to predict diffusion or a specific molecular associatio</w:t>
      </w:r>
      <w:r>
        <w:t>n. This also distinguishes the global response of a nucleus from regional changes occurring near a genomic locus or inside a nuclear body.</w:t>
      </w:r>
      <w:hyperlink r:id="rId35" w:history="1">
        <w:r>
          <w:rPr>
            <w:color w:val="087B78"/>
            <w:sz w:val="18"/>
            <w:szCs w:val="18"/>
          </w:rPr>
          <w:t xml:space="preserve"> [4]</w:t>
        </w:r>
      </w:hyperlink>
      <w:hyperlink r:id="rId36" w:history="1">
        <w:r>
          <w:rPr>
            <w:color w:val="087B78"/>
            <w:sz w:val="18"/>
            <w:szCs w:val="18"/>
          </w:rPr>
          <w:t xml:space="preserve"> [7]</w:t>
        </w:r>
      </w:hyperlink>
      <w:hyperlink r:id="rId37" w:history="1">
        <w:r>
          <w:rPr>
            <w:color w:val="087B78"/>
            <w:sz w:val="18"/>
            <w:szCs w:val="18"/>
          </w:rPr>
          <w:t xml:space="preserve"> [3]</w:t>
        </w:r>
      </w:hyperlink>
    </w:p>
    <w:p w14:paraId="6AB3C4BD" w14:textId="77777777" w:rsidR="00296BE1" w:rsidRDefault="0035703A">
      <w:pPr>
        <w:pStyle w:val="Heading1"/>
      </w:pPr>
      <w:bookmarkStart w:id="6" w:name="_Toc242668369"/>
      <w:r>
        <w:lastRenderedPageBreak/>
        <w:t>6. Engineered binding reporters expose interaction-dependent effects</w:t>
      </w:r>
      <w:bookmarkEnd w:id="6"/>
    </w:p>
    <w:p w14:paraId="0D8F6F6A" w14:textId="50388776" w:rsidR="00296BE1" w:rsidRDefault="0035703A">
      <w:r>
        <w:t xml:space="preserve">Wei and colleagues studied osmotic regulation with a dCas9-SunTag system for DNA labeling and transcriptional control. Hypoosmotic and hyperosmotic interventions produced rapid, reversible differences in the number and intensity of labeled foci, alongside changes in binding-related behavior and transcriptional readouts. The paper appeared online in 2025 and in a 2026 journal volume. This experiment illustrates that environmental changes can affect a multicomponent labeling assembly at a genomic target. The </w:t>
      </w:r>
      <w:r>
        <w:t>brightness of a locus is therefore not always a fixed proxy for the quantity of DNA or the number of accessible target sites.</w:t>
      </w:r>
      <w:hyperlink r:id="rId38" w:history="1">
        <w:r>
          <w:rPr>
            <w:color w:val="087B78"/>
            <w:sz w:val="18"/>
            <w:szCs w:val="18"/>
          </w:rPr>
          <w:t xml:space="preserve"> [5]</w:t>
        </w:r>
      </w:hyperlink>
    </w:p>
    <w:p w14:paraId="52B1E66F" w14:textId="550EE2A2" w:rsidR="00296BE1" w:rsidRDefault="0035703A">
      <w:r>
        <w:t>The mechanistic interpretation concerns binding–unbinding equilibrium in the engineered system, supported by additional chromatin-motion and intensity observations. These readouts do not directly measure a universal excluded-volume fraction. Osmotic changes also alter several cellular variables together, so claims should preserve the experimental system and the alternative physical effects that remain possible. The important biological lesson is that local association can change even when the targeting sequ</w:t>
      </w:r>
      <w:r>
        <w:t>ence remains the same. For imaging experiments, it is also a practical warning that a change in labeling efficiency can reflect altered probe recruitment rather than movement or loss of the locus itself.</w:t>
      </w:r>
      <w:hyperlink r:id="rId39" w:history="1">
        <w:r>
          <w:rPr>
            <w:color w:val="087B78"/>
            <w:sz w:val="18"/>
            <w:szCs w:val="18"/>
          </w:rPr>
          <w:t xml:space="preserve"> [5]</w:t>
        </w:r>
      </w:hyperlink>
      <w:hyperlink r:id="rId40" w:history="1">
        <w:r>
          <w:rPr>
            <w:color w:val="087B78"/>
            <w:sz w:val="18"/>
            <w:szCs w:val="18"/>
          </w:rPr>
          <w:t xml:space="preserve"> [1]</w:t>
        </w:r>
      </w:hyperlink>
    </w:p>
    <w:p w14:paraId="0DE2219F" w14:textId="77777777" w:rsidR="00296BE1" w:rsidRDefault="0035703A">
      <w:pPr>
        <w:pStyle w:val="Heading1"/>
      </w:pPr>
      <w:bookmarkStart w:id="7" w:name="_Toc242668370"/>
      <w:r>
        <w:t>7. Selective enrichment differs from bulk crowding</w:t>
      </w:r>
      <w:bookmarkEnd w:id="7"/>
    </w:p>
    <w:p w14:paraId="37307674" w14:textId="6090EB94" w:rsidR="00296BE1" w:rsidRDefault="0035703A">
      <w:r>
        <w:t>Nuclear bodies create local compositions and interaction environments distinct from the surrounding nucleoplasm. Feric and colleagues demonstrated coexisting nucleolar subcompartments and tested component-specific behavior in reconstituted droplets. Those experiments concern partitioning and material properties of defined components, not a uniform nuclear crowding effect. A protein can be enriched in a compartment because it interacts favorably with its constituents, while another probe is excluded. Such se</w:t>
      </w:r>
      <w:r>
        <w:t>lective enrichment changes the effective reaction environment but is not evidence that all nuclear bodies share the same composition, viscosity or accessibility mechanism.</w:t>
      </w:r>
      <w:hyperlink r:id="rId41" w:history="1">
        <w:r>
          <w:rPr>
            <w:color w:val="087B78"/>
            <w:sz w:val="18"/>
            <w:szCs w:val="18"/>
          </w:rPr>
          <w:t xml:space="preserve"> [11]</w:t>
        </w:r>
      </w:hyperlink>
    </w:p>
    <w:p w14:paraId="593D01A0" w14:textId="527648B5" w:rsidR="00296BE1" w:rsidRDefault="0035703A">
      <w:r>
        <w:t>The multiplexed super-resolution study by Rahman and colleagues adds an observation-scale caution. Apparent co-enrichment of nuclear targets can depend on the distance range used in the analysis: a spatial relationship at one scale need not persist at another. This matters when a broad fluorescence overlap is interpreted as a shared crowded environment. Spatial correlation alone does not identify excluded volume, direct binding or phase separation. A stronger account combines the mapping scale with the mole</w:t>
      </w:r>
      <w:r>
        <w:t>cular specificity of the probes and tests whether the association persists under perturbations designed to distinguish these mechanisms.</w:t>
      </w:r>
      <w:hyperlink r:id="rId42" w:history="1">
        <w:r>
          <w:rPr>
            <w:color w:val="087B78"/>
            <w:sz w:val="18"/>
            <w:szCs w:val="18"/>
          </w:rPr>
          <w:t xml:space="preserve"> [8]</w:t>
        </w:r>
      </w:hyperlink>
    </w:p>
    <w:p w14:paraId="14744DE4" w14:textId="77777777" w:rsidR="00296BE1" w:rsidRDefault="0035703A">
      <w:pPr>
        <w:pStyle w:val="Heading1"/>
      </w:pPr>
      <w:bookmarkStart w:id="8" w:name="_Toc242668371"/>
      <w:r>
        <w:lastRenderedPageBreak/>
        <w:t>8. Deformation can redistribute local crowding environments</w:t>
      </w:r>
      <w:bookmarkEnd w:id="8"/>
    </w:p>
    <w:p w14:paraId="4CDCD37B" w14:textId="31FEB1E2" w:rsidR="00296BE1" w:rsidRDefault="0035703A">
      <w:r>
        <w:t>Zhao, Xia and Brangwynne examined confined migration of MDA-MB-231 cells in a microfluidic system. Nucleoli and speckles changed shape and underwent altered fusion or fission behavior while the nucleus deformed. Chromatin organization differed between advancing and trailing nuclear regions, and endogenous or synthetic condensate responses depended on that local environment. The study connects physical deformation to regional organization, while preserving distinctions between chromatin heterogeneity, protei</w:t>
      </w:r>
      <w:r>
        <w:t>n concentration and the phase boundary of a particular assembly. It does not require a uniform increase in crowding throughout the deformed nucleus.</w:t>
      </w:r>
      <w:hyperlink r:id="rId43" w:history="1">
        <w:r>
          <w:rPr>
            <w:color w:val="087B78"/>
            <w:sz w:val="18"/>
            <w:szCs w:val="18"/>
          </w:rPr>
          <w:t xml:space="preserve"> [6]</w:t>
        </w:r>
      </w:hyperlink>
    </w:p>
    <w:p w14:paraId="4EAA039A" w14:textId="5646C77D" w:rsidR="00296BE1" w:rsidRDefault="0035703A">
      <w:r>
        <w:t xml:space="preserve">Targeted force work by Rashid and colleagues provides a complementary route: loading chromatin with magnetic particles altered local mobility and associated regulatory readouts after force cessation. The connection between deformation and molecular environment is therefore dynamic, extending beyond the immediate shape change. However, material response, fluorescent mobility and crowding remain different observables even when they respond to the same intervention. Future comparisons should determine whether </w:t>
      </w:r>
      <w:r>
        <w:t>a persistent mobility change follows altered concentration, binding, chromatin geometry or active remodeling, rather than automatically assigning every mechanical effect to crowding.</w:t>
      </w:r>
      <w:hyperlink r:id="rId44" w:history="1">
        <w:r>
          <w:rPr>
            <w:color w:val="087B78"/>
            <w:sz w:val="18"/>
            <w:szCs w:val="18"/>
          </w:rPr>
          <w:t xml:space="preserve"> [12]</w:t>
        </w:r>
      </w:hyperlink>
      <w:hyperlink r:id="rId45" w:history="1">
        <w:r>
          <w:rPr>
            <w:color w:val="087B78"/>
            <w:sz w:val="18"/>
            <w:szCs w:val="18"/>
          </w:rPr>
          <w:t xml:space="preserve"> [6]</w:t>
        </w:r>
      </w:hyperlink>
      <w:hyperlink r:id="rId46" w:history="1">
        <w:r>
          <w:rPr>
            <w:color w:val="087B78"/>
            <w:sz w:val="18"/>
            <w:szCs w:val="18"/>
          </w:rPr>
          <w:t xml:space="preserve"> [13]</w:t>
        </w:r>
      </w:hyperlink>
    </w:p>
    <w:p w14:paraId="6B5916B1" w14:textId="77777777" w:rsidR="00296BE1" w:rsidRDefault="0035703A">
      <w:pPr>
        <w:pStyle w:val="Heading1"/>
      </w:pPr>
      <w:bookmarkStart w:id="9" w:name="_Toc242668372"/>
      <w:r>
        <w:t>9. Match the observable to the biological claim</w:t>
      </w:r>
      <w:bookmarkEnd w:id="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296BE1" w14:paraId="02ABC602" w14:textId="77777777">
        <w:tblPrEx>
          <w:tblCellMar>
            <w:top w:w="0" w:type="dxa"/>
            <w:bottom w:w="0" w:type="dxa"/>
          </w:tblCellMar>
        </w:tblPrEx>
        <w:trPr>
          <w:cantSplit/>
          <w:tblHeader/>
        </w:trPr>
        <w:tc>
          <w:tcPr>
            <w:tcW w:w="2340" w:type="dxa"/>
            <w:shd w:val="clear" w:color="auto" w:fill="EAF3F3"/>
            <w:tcMar>
              <w:top w:w="105" w:type="dxa"/>
              <w:left w:w="125" w:type="dxa"/>
              <w:bottom w:w="105" w:type="dxa"/>
              <w:right w:w="125" w:type="dxa"/>
            </w:tcMar>
          </w:tcPr>
          <w:p w14:paraId="53C865C8" w14:textId="77777777" w:rsidR="00296BE1" w:rsidRDefault="0035703A">
            <w:pPr>
              <w:spacing w:after="50" w:line="255" w:lineRule="auto"/>
            </w:pPr>
            <w:r>
              <w:rPr>
                <w:b/>
                <w:bCs/>
                <w:color w:val="173B4C"/>
                <w:sz w:val="19"/>
                <w:szCs w:val="19"/>
              </w:rPr>
              <w:t>Approach</w:t>
            </w:r>
          </w:p>
        </w:tc>
        <w:tc>
          <w:tcPr>
            <w:tcW w:w="2340" w:type="dxa"/>
            <w:shd w:val="clear" w:color="auto" w:fill="EAF3F3"/>
            <w:tcMar>
              <w:top w:w="105" w:type="dxa"/>
              <w:left w:w="125" w:type="dxa"/>
              <w:bottom w:w="105" w:type="dxa"/>
              <w:right w:w="125" w:type="dxa"/>
            </w:tcMar>
          </w:tcPr>
          <w:p w14:paraId="49F58FA2" w14:textId="77777777" w:rsidR="00296BE1" w:rsidRDefault="0035703A">
            <w:pPr>
              <w:spacing w:after="50" w:line="255" w:lineRule="auto"/>
            </w:pPr>
            <w:r>
              <w:rPr>
                <w:b/>
                <w:bCs/>
                <w:color w:val="173B4C"/>
                <w:sz w:val="19"/>
                <w:szCs w:val="19"/>
              </w:rPr>
              <w:t>What it measures</w:t>
            </w:r>
          </w:p>
        </w:tc>
        <w:tc>
          <w:tcPr>
            <w:tcW w:w="2340" w:type="dxa"/>
            <w:shd w:val="clear" w:color="auto" w:fill="EAF3F3"/>
            <w:tcMar>
              <w:top w:w="105" w:type="dxa"/>
              <w:left w:w="125" w:type="dxa"/>
              <w:bottom w:w="105" w:type="dxa"/>
              <w:right w:w="125" w:type="dxa"/>
            </w:tcMar>
          </w:tcPr>
          <w:p w14:paraId="6C941BDB" w14:textId="77777777" w:rsidR="00296BE1" w:rsidRDefault="0035703A">
            <w:pPr>
              <w:spacing w:after="50" w:line="255" w:lineRule="auto"/>
            </w:pPr>
            <w:r>
              <w:rPr>
                <w:b/>
                <w:bCs/>
                <w:color w:val="173B4C"/>
                <w:sz w:val="19"/>
                <w:szCs w:val="19"/>
              </w:rPr>
              <w:t>Useful biological question</w:t>
            </w:r>
          </w:p>
        </w:tc>
        <w:tc>
          <w:tcPr>
            <w:tcW w:w="2340" w:type="dxa"/>
            <w:shd w:val="clear" w:color="auto" w:fill="EAF3F3"/>
            <w:tcMar>
              <w:top w:w="105" w:type="dxa"/>
              <w:left w:w="125" w:type="dxa"/>
              <w:bottom w:w="105" w:type="dxa"/>
              <w:right w:w="125" w:type="dxa"/>
            </w:tcMar>
          </w:tcPr>
          <w:p w14:paraId="08FD90E1" w14:textId="77777777" w:rsidR="00296BE1" w:rsidRDefault="0035703A">
            <w:pPr>
              <w:spacing w:after="50" w:line="255" w:lineRule="auto"/>
            </w:pPr>
            <w:r>
              <w:rPr>
                <w:b/>
                <w:bCs/>
                <w:color w:val="173B4C"/>
                <w:sz w:val="19"/>
                <w:szCs w:val="19"/>
              </w:rPr>
              <w:t>Interpretive boundary</w:t>
            </w:r>
          </w:p>
        </w:tc>
      </w:tr>
      <w:tr w:rsidR="00296BE1" w14:paraId="222D555A" w14:textId="77777777">
        <w:tblPrEx>
          <w:tblCellMar>
            <w:top w:w="0" w:type="dxa"/>
            <w:bottom w:w="0" w:type="dxa"/>
          </w:tblCellMar>
        </w:tblPrEx>
        <w:trPr>
          <w:cantSplit/>
        </w:trPr>
        <w:tc>
          <w:tcPr>
            <w:tcW w:w="2340" w:type="dxa"/>
            <w:tcMar>
              <w:top w:w="105" w:type="dxa"/>
              <w:left w:w="125" w:type="dxa"/>
              <w:bottom w:w="105" w:type="dxa"/>
              <w:right w:w="125" w:type="dxa"/>
            </w:tcMar>
          </w:tcPr>
          <w:p w14:paraId="12D7EC08" w14:textId="77777777" w:rsidR="00296BE1" w:rsidRDefault="0035703A">
            <w:pPr>
              <w:spacing w:after="50" w:line="255" w:lineRule="auto"/>
            </w:pPr>
            <w:r>
              <w:rPr>
                <w:sz w:val="19"/>
                <w:szCs w:val="19"/>
              </w:rPr>
              <w:t>Size-varied inert tracers</w:t>
            </w:r>
          </w:p>
        </w:tc>
        <w:tc>
          <w:tcPr>
            <w:tcW w:w="2340" w:type="dxa"/>
            <w:tcMar>
              <w:top w:w="105" w:type="dxa"/>
              <w:left w:w="125" w:type="dxa"/>
              <w:bottom w:w="105" w:type="dxa"/>
              <w:right w:w="125" w:type="dxa"/>
            </w:tcMar>
          </w:tcPr>
          <w:p w14:paraId="0086B652" w14:textId="77777777" w:rsidR="00296BE1" w:rsidRDefault="0035703A">
            <w:pPr>
              <w:spacing w:after="50" w:line="255" w:lineRule="auto"/>
            </w:pPr>
            <w:r>
              <w:rPr>
                <w:sz w:val="19"/>
                <w:szCs w:val="19"/>
              </w:rPr>
              <w:t>Probe mobility across observation scales</w:t>
            </w:r>
          </w:p>
        </w:tc>
        <w:tc>
          <w:tcPr>
            <w:tcW w:w="2340" w:type="dxa"/>
            <w:tcMar>
              <w:top w:w="105" w:type="dxa"/>
              <w:left w:w="125" w:type="dxa"/>
              <w:bottom w:w="105" w:type="dxa"/>
              <w:right w:w="125" w:type="dxa"/>
            </w:tcMar>
          </w:tcPr>
          <w:p w14:paraId="4B0D0FE0" w14:textId="77777777" w:rsidR="00296BE1" w:rsidRDefault="0035703A">
            <w:pPr>
              <w:spacing w:after="50" w:line="255" w:lineRule="auto"/>
            </w:pPr>
            <w:r>
              <w:rPr>
                <w:sz w:val="19"/>
                <w:szCs w:val="19"/>
              </w:rPr>
              <w:t>Which molecules can move through sampled nuclear regions?</w:t>
            </w:r>
          </w:p>
        </w:tc>
        <w:tc>
          <w:tcPr>
            <w:tcW w:w="2340" w:type="dxa"/>
            <w:tcMar>
              <w:top w:w="105" w:type="dxa"/>
              <w:left w:w="125" w:type="dxa"/>
              <w:bottom w:w="105" w:type="dxa"/>
              <w:right w:w="125" w:type="dxa"/>
            </w:tcMar>
          </w:tcPr>
          <w:p w14:paraId="4F26E508" w14:textId="0E7BEF07" w:rsidR="00296BE1" w:rsidRDefault="0035703A">
            <w:pPr>
              <w:spacing w:after="50" w:line="255" w:lineRule="auto"/>
            </w:pPr>
            <w:r>
              <w:rPr>
                <w:sz w:val="19"/>
                <w:szCs w:val="19"/>
              </w:rPr>
              <w:t>No direct binding or universal pore-size measurement</w:t>
            </w:r>
            <w:hyperlink r:id="rId47" w:history="1">
              <w:r>
                <w:rPr>
                  <w:color w:val="087B78"/>
                  <w:sz w:val="18"/>
                  <w:szCs w:val="18"/>
                </w:rPr>
                <w:t xml:space="preserve"> [2]</w:t>
              </w:r>
            </w:hyperlink>
            <w:hyperlink r:id="rId48" w:history="1">
              <w:r>
                <w:rPr>
                  <w:color w:val="087B78"/>
                  <w:sz w:val="18"/>
                  <w:szCs w:val="18"/>
                </w:rPr>
                <w:t xml:space="preserve"> [7]</w:t>
              </w:r>
            </w:hyperlink>
          </w:p>
        </w:tc>
      </w:tr>
      <w:tr w:rsidR="00296BE1" w14:paraId="473CB65C" w14:textId="77777777">
        <w:tblPrEx>
          <w:tblCellMar>
            <w:top w:w="0" w:type="dxa"/>
            <w:bottom w:w="0" w:type="dxa"/>
          </w:tblCellMar>
        </w:tblPrEx>
        <w:trPr>
          <w:cantSplit/>
        </w:trPr>
        <w:tc>
          <w:tcPr>
            <w:tcW w:w="2340" w:type="dxa"/>
            <w:tcMar>
              <w:top w:w="105" w:type="dxa"/>
              <w:left w:w="125" w:type="dxa"/>
              <w:bottom w:w="105" w:type="dxa"/>
              <w:right w:w="125" w:type="dxa"/>
            </w:tcMar>
          </w:tcPr>
          <w:p w14:paraId="40301152" w14:textId="77777777" w:rsidR="00296BE1" w:rsidRDefault="0035703A">
            <w:pPr>
              <w:spacing w:after="50" w:line="255" w:lineRule="auto"/>
            </w:pPr>
            <w:r>
              <w:rPr>
                <w:sz w:val="19"/>
                <w:szCs w:val="19"/>
              </w:rPr>
              <w:t>FRET crowding sensor</w:t>
            </w:r>
          </w:p>
        </w:tc>
        <w:tc>
          <w:tcPr>
            <w:tcW w:w="2340" w:type="dxa"/>
            <w:tcMar>
              <w:top w:w="105" w:type="dxa"/>
              <w:left w:w="125" w:type="dxa"/>
              <w:bottom w:w="105" w:type="dxa"/>
              <w:right w:w="125" w:type="dxa"/>
            </w:tcMar>
          </w:tcPr>
          <w:p w14:paraId="0F155667" w14:textId="77777777" w:rsidR="00296BE1" w:rsidRDefault="0035703A">
            <w:pPr>
              <w:spacing w:after="50" w:line="255" w:lineRule="auto"/>
            </w:pPr>
            <w:r>
              <w:rPr>
                <w:sz w:val="19"/>
                <w:szCs w:val="19"/>
              </w:rPr>
              <w:t>Environmental response of a defined construct</w:t>
            </w:r>
          </w:p>
        </w:tc>
        <w:tc>
          <w:tcPr>
            <w:tcW w:w="2340" w:type="dxa"/>
            <w:tcMar>
              <w:top w:w="105" w:type="dxa"/>
              <w:left w:w="125" w:type="dxa"/>
              <w:bottom w:w="105" w:type="dxa"/>
              <w:right w:w="125" w:type="dxa"/>
            </w:tcMar>
          </w:tcPr>
          <w:p w14:paraId="40A05834" w14:textId="77777777" w:rsidR="00296BE1" w:rsidRDefault="0035703A">
            <w:pPr>
              <w:spacing w:after="50" w:line="255" w:lineRule="auto"/>
            </w:pPr>
            <w:r>
              <w:rPr>
                <w:sz w:val="19"/>
                <w:szCs w:val="19"/>
              </w:rPr>
              <w:t>Do compartments or perturbations change sensor-scale packing?</w:t>
            </w:r>
          </w:p>
        </w:tc>
        <w:tc>
          <w:tcPr>
            <w:tcW w:w="2340" w:type="dxa"/>
            <w:tcMar>
              <w:top w:w="105" w:type="dxa"/>
              <w:left w:w="125" w:type="dxa"/>
              <w:bottom w:w="105" w:type="dxa"/>
              <w:right w:w="125" w:type="dxa"/>
            </w:tcMar>
          </w:tcPr>
          <w:p w14:paraId="626491DD" w14:textId="056D776C" w:rsidR="00296BE1" w:rsidRDefault="0035703A">
            <w:pPr>
              <w:spacing w:after="50" w:line="255" w:lineRule="auto"/>
            </w:pPr>
            <w:r>
              <w:rPr>
                <w:sz w:val="19"/>
                <w:szCs w:val="19"/>
              </w:rPr>
              <w:t>Calibration and chemical effects remain sensor specific</w:t>
            </w:r>
            <w:hyperlink r:id="rId49" w:history="1">
              <w:r>
                <w:rPr>
                  <w:color w:val="087B78"/>
                  <w:sz w:val="18"/>
                  <w:szCs w:val="18"/>
                </w:rPr>
                <w:t xml:space="preserve"> [3]</w:t>
              </w:r>
            </w:hyperlink>
            <w:hyperlink r:id="rId50" w:history="1">
              <w:r>
                <w:rPr>
                  <w:color w:val="087B78"/>
                  <w:sz w:val="18"/>
                  <w:szCs w:val="18"/>
                </w:rPr>
                <w:t xml:space="preserve"> [9]</w:t>
              </w:r>
            </w:hyperlink>
          </w:p>
        </w:tc>
      </w:tr>
      <w:tr w:rsidR="00296BE1" w14:paraId="2FADB9E0" w14:textId="77777777">
        <w:tblPrEx>
          <w:tblCellMar>
            <w:top w:w="0" w:type="dxa"/>
            <w:bottom w:w="0" w:type="dxa"/>
          </w:tblCellMar>
        </w:tblPrEx>
        <w:trPr>
          <w:cantSplit/>
        </w:trPr>
        <w:tc>
          <w:tcPr>
            <w:tcW w:w="2340" w:type="dxa"/>
            <w:tcMar>
              <w:top w:w="105" w:type="dxa"/>
              <w:left w:w="125" w:type="dxa"/>
              <w:bottom w:w="105" w:type="dxa"/>
              <w:right w:w="125" w:type="dxa"/>
            </w:tcMar>
          </w:tcPr>
          <w:p w14:paraId="7F2CB08C" w14:textId="77777777" w:rsidR="00296BE1" w:rsidRDefault="0035703A">
            <w:pPr>
              <w:spacing w:after="50" w:line="255" w:lineRule="auto"/>
            </w:pPr>
            <w:r>
              <w:rPr>
                <w:sz w:val="19"/>
                <w:szCs w:val="19"/>
              </w:rPr>
              <w:t>Binding-sensitive DNA reporter</w:t>
            </w:r>
          </w:p>
        </w:tc>
        <w:tc>
          <w:tcPr>
            <w:tcW w:w="2340" w:type="dxa"/>
            <w:tcMar>
              <w:top w:w="105" w:type="dxa"/>
              <w:left w:w="125" w:type="dxa"/>
              <w:bottom w:w="105" w:type="dxa"/>
              <w:right w:w="125" w:type="dxa"/>
            </w:tcMar>
          </w:tcPr>
          <w:p w14:paraId="707DF5D9" w14:textId="77777777" w:rsidR="00296BE1" w:rsidRDefault="0035703A">
            <w:pPr>
              <w:spacing w:after="50" w:line="255" w:lineRule="auto"/>
            </w:pPr>
            <w:r>
              <w:rPr>
                <w:sz w:val="19"/>
                <w:szCs w:val="19"/>
              </w:rPr>
              <w:t>Recruitment and occupancy-related fluorescence at a target</w:t>
            </w:r>
          </w:p>
        </w:tc>
        <w:tc>
          <w:tcPr>
            <w:tcW w:w="2340" w:type="dxa"/>
            <w:tcMar>
              <w:top w:w="105" w:type="dxa"/>
              <w:left w:w="125" w:type="dxa"/>
              <w:bottom w:w="105" w:type="dxa"/>
              <w:right w:w="125" w:type="dxa"/>
            </w:tcMar>
          </w:tcPr>
          <w:p w14:paraId="2B4D83F0" w14:textId="77777777" w:rsidR="00296BE1" w:rsidRDefault="0035703A">
            <w:pPr>
              <w:spacing w:after="50" w:line="255" w:lineRule="auto"/>
            </w:pPr>
            <w:r>
              <w:rPr>
                <w:sz w:val="19"/>
                <w:szCs w:val="19"/>
              </w:rPr>
              <w:t>Does osmotic state alter assembly of the labeling/regulatory complex?</w:t>
            </w:r>
          </w:p>
        </w:tc>
        <w:tc>
          <w:tcPr>
            <w:tcW w:w="2340" w:type="dxa"/>
            <w:tcMar>
              <w:top w:w="105" w:type="dxa"/>
              <w:left w:w="125" w:type="dxa"/>
              <w:bottom w:w="105" w:type="dxa"/>
              <w:right w:w="125" w:type="dxa"/>
            </w:tcMar>
          </w:tcPr>
          <w:p w14:paraId="57CB5CA3" w14:textId="19A6B050" w:rsidR="00296BE1" w:rsidRDefault="0035703A">
            <w:pPr>
              <w:spacing w:after="50" w:line="255" w:lineRule="auto"/>
            </w:pPr>
            <w:r>
              <w:rPr>
                <w:sz w:val="19"/>
                <w:szCs w:val="19"/>
              </w:rPr>
              <w:t>Brightness changes can reflect recruitment rather than DNA amount</w:t>
            </w:r>
            <w:hyperlink r:id="rId51" w:history="1">
              <w:r>
                <w:rPr>
                  <w:color w:val="087B78"/>
                  <w:sz w:val="18"/>
                  <w:szCs w:val="18"/>
                </w:rPr>
                <w:t xml:space="preserve"> [5]</w:t>
              </w:r>
            </w:hyperlink>
          </w:p>
        </w:tc>
      </w:tr>
      <w:tr w:rsidR="00296BE1" w14:paraId="0E86C974" w14:textId="77777777">
        <w:tblPrEx>
          <w:tblCellMar>
            <w:top w:w="0" w:type="dxa"/>
            <w:bottom w:w="0" w:type="dxa"/>
          </w:tblCellMar>
        </w:tblPrEx>
        <w:trPr>
          <w:cantSplit/>
        </w:trPr>
        <w:tc>
          <w:tcPr>
            <w:tcW w:w="2340" w:type="dxa"/>
            <w:tcMar>
              <w:top w:w="105" w:type="dxa"/>
              <w:left w:w="125" w:type="dxa"/>
              <w:bottom w:w="105" w:type="dxa"/>
              <w:right w:w="125" w:type="dxa"/>
            </w:tcMar>
          </w:tcPr>
          <w:p w14:paraId="36C085FD" w14:textId="77777777" w:rsidR="00296BE1" w:rsidRDefault="0035703A">
            <w:pPr>
              <w:spacing w:after="50" w:line="255" w:lineRule="auto"/>
            </w:pPr>
            <w:r>
              <w:rPr>
                <w:sz w:val="19"/>
                <w:szCs w:val="19"/>
              </w:rPr>
              <w:t>Quantitative density and volume</w:t>
            </w:r>
          </w:p>
        </w:tc>
        <w:tc>
          <w:tcPr>
            <w:tcW w:w="2340" w:type="dxa"/>
            <w:tcMar>
              <w:top w:w="105" w:type="dxa"/>
              <w:left w:w="125" w:type="dxa"/>
              <w:bottom w:w="105" w:type="dxa"/>
              <w:right w:w="125" w:type="dxa"/>
            </w:tcMar>
          </w:tcPr>
          <w:p w14:paraId="12E11CEB" w14:textId="77777777" w:rsidR="00296BE1" w:rsidRDefault="0035703A">
            <w:pPr>
              <w:spacing w:after="50" w:line="255" w:lineRule="auto"/>
            </w:pPr>
            <w:r>
              <w:rPr>
                <w:sz w:val="19"/>
                <w:szCs w:val="19"/>
              </w:rPr>
              <w:t>Global mass distribution and pressure-balance behavior</w:t>
            </w:r>
          </w:p>
        </w:tc>
        <w:tc>
          <w:tcPr>
            <w:tcW w:w="2340" w:type="dxa"/>
            <w:tcMar>
              <w:top w:w="105" w:type="dxa"/>
              <w:left w:w="125" w:type="dxa"/>
              <w:bottom w:w="105" w:type="dxa"/>
              <w:right w:w="125" w:type="dxa"/>
            </w:tcMar>
          </w:tcPr>
          <w:p w14:paraId="611F2D53" w14:textId="77777777" w:rsidR="00296BE1" w:rsidRDefault="0035703A">
            <w:pPr>
              <w:spacing w:after="50" w:line="255" w:lineRule="auto"/>
            </w:pPr>
            <w:r>
              <w:rPr>
                <w:sz w:val="19"/>
                <w:szCs w:val="19"/>
              </w:rPr>
              <w:t>How do transport and chromatin regulate nuclear density?</w:t>
            </w:r>
          </w:p>
        </w:tc>
        <w:tc>
          <w:tcPr>
            <w:tcW w:w="2340" w:type="dxa"/>
            <w:tcMar>
              <w:top w:w="105" w:type="dxa"/>
              <w:left w:w="125" w:type="dxa"/>
              <w:bottom w:w="105" w:type="dxa"/>
              <w:right w:w="125" w:type="dxa"/>
            </w:tcMar>
          </w:tcPr>
          <w:p w14:paraId="041AADB6" w14:textId="205767D3" w:rsidR="00296BE1" w:rsidRDefault="0035703A">
            <w:pPr>
              <w:spacing w:after="50" w:line="255" w:lineRule="auto"/>
            </w:pPr>
            <w:r>
              <w:rPr>
                <w:sz w:val="19"/>
                <w:szCs w:val="19"/>
              </w:rPr>
              <w:t>Global density does not uniquely specify local crowding</w:t>
            </w:r>
            <w:hyperlink r:id="rId52" w:history="1">
              <w:r>
                <w:rPr>
                  <w:color w:val="087B78"/>
                  <w:sz w:val="18"/>
                  <w:szCs w:val="18"/>
                </w:rPr>
                <w:t xml:space="preserve"> [4]</w:t>
              </w:r>
            </w:hyperlink>
          </w:p>
        </w:tc>
      </w:tr>
      <w:tr w:rsidR="00296BE1" w14:paraId="0D68A924" w14:textId="77777777">
        <w:tblPrEx>
          <w:tblCellMar>
            <w:top w:w="0" w:type="dxa"/>
            <w:bottom w:w="0" w:type="dxa"/>
          </w:tblCellMar>
        </w:tblPrEx>
        <w:trPr>
          <w:cantSplit/>
        </w:trPr>
        <w:tc>
          <w:tcPr>
            <w:tcW w:w="2340" w:type="dxa"/>
            <w:tcMar>
              <w:top w:w="105" w:type="dxa"/>
              <w:left w:w="125" w:type="dxa"/>
              <w:bottom w:w="105" w:type="dxa"/>
              <w:right w:w="125" w:type="dxa"/>
            </w:tcMar>
          </w:tcPr>
          <w:p w14:paraId="63EB32AB" w14:textId="77777777" w:rsidR="00296BE1" w:rsidRDefault="0035703A">
            <w:pPr>
              <w:spacing w:after="50" w:line="255" w:lineRule="auto"/>
            </w:pPr>
            <w:r>
              <w:rPr>
                <w:sz w:val="19"/>
                <w:szCs w:val="19"/>
              </w:rPr>
              <w:t>Multiplexed spatial imaging</w:t>
            </w:r>
          </w:p>
        </w:tc>
        <w:tc>
          <w:tcPr>
            <w:tcW w:w="2340" w:type="dxa"/>
            <w:tcMar>
              <w:top w:w="105" w:type="dxa"/>
              <w:left w:w="125" w:type="dxa"/>
              <w:bottom w:w="105" w:type="dxa"/>
              <w:right w:w="125" w:type="dxa"/>
            </w:tcMar>
          </w:tcPr>
          <w:p w14:paraId="5103A78E" w14:textId="77777777" w:rsidR="00296BE1" w:rsidRDefault="0035703A">
            <w:pPr>
              <w:spacing w:after="50" w:line="255" w:lineRule="auto"/>
            </w:pPr>
            <w:r>
              <w:rPr>
                <w:sz w:val="19"/>
                <w:szCs w:val="19"/>
              </w:rPr>
              <w:t>Scale-dependent target distributions</w:t>
            </w:r>
          </w:p>
        </w:tc>
        <w:tc>
          <w:tcPr>
            <w:tcW w:w="2340" w:type="dxa"/>
            <w:tcMar>
              <w:top w:w="105" w:type="dxa"/>
              <w:left w:w="125" w:type="dxa"/>
              <w:bottom w:w="105" w:type="dxa"/>
              <w:right w:w="125" w:type="dxa"/>
            </w:tcMar>
          </w:tcPr>
          <w:p w14:paraId="143FDFD6" w14:textId="77777777" w:rsidR="00296BE1" w:rsidRDefault="0035703A">
            <w:pPr>
              <w:spacing w:after="50" w:line="255" w:lineRule="auto"/>
            </w:pPr>
            <w:r>
              <w:rPr>
                <w:sz w:val="19"/>
                <w:szCs w:val="19"/>
              </w:rPr>
              <w:t>Which molecular environments are adjacent or co-enriched?</w:t>
            </w:r>
          </w:p>
        </w:tc>
        <w:tc>
          <w:tcPr>
            <w:tcW w:w="2340" w:type="dxa"/>
            <w:tcMar>
              <w:top w:w="105" w:type="dxa"/>
              <w:left w:w="125" w:type="dxa"/>
              <w:bottom w:w="105" w:type="dxa"/>
              <w:right w:w="125" w:type="dxa"/>
            </w:tcMar>
          </w:tcPr>
          <w:p w14:paraId="717AC1C5" w14:textId="56BCC1B9" w:rsidR="00296BE1" w:rsidRDefault="0035703A">
            <w:pPr>
              <w:spacing w:after="50" w:line="255" w:lineRule="auto"/>
            </w:pPr>
            <w:r>
              <w:rPr>
                <w:sz w:val="19"/>
                <w:szCs w:val="19"/>
              </w:rPr>
              <w:t>Correlation is not direct interaction or excluded volume</w:t>
            </w:r>
            <w:hyperlink r:id="rId53" w:history="1">
              <w:r>
                <w:rPr>
                  <w:color w:val="087B78"/>
                  <w:sz w:val="18"/>
                  <w:szCs w:val="18"/>
                </w:rPr>
                <w:t xml:space="preserve"> [8]</w:t>
              </w:r>
            </w:hyperlink>
          </w:p>
        </w:tc>
      </w:tr>
      <w:tr w:rsidR="00296BE1" w14:paraId="530FA4B7" w14:textId="77777777">
        <w:tblPrEx>
          <w:tblCellMar>
            <w:top w:w="0" w:type="dxa"/>
            <w:bottom w:w="0" w:type="dxa"/>
          </w:tblCellMar>
        </w:tblPrEx>
        <w:trPr>
          <w:cantSplit/>
        </w:trPr>
        <w:tc>
          <w:tcPr>
            <w:tcW w:w="2340" w:type="dxa"/>
            <w:tcMar>
              <w:top w:w="105" w:type="dxa"/>
              <w:left w:w="125" w:type="dxa"/>
              <w:bottom w:w="105" w:type="dxa"/>
              <w:right w:w="125" w:type="dxa"/>
            </w:tcMar>
          </w:tcPr>
          <w:p w14:paraId="032D8640" w14:textId="77777777" w:rsidR="00296BE1" w:rsidRDefault="0035703A">
            <w:pPr>
              <w:spacing w:after="50" w:line="255" w:lineRule="auto"/>
            </w:pPr>
            <w:r>
              <w:rPr>
                <w:sz w:val="19"/>
                <w:szCs w:val="19"/>
              </w:rPr>
              <w:lastRenderedPageBreak/>
              <w:t>Confined migration with live imaging</w:t>
            </w:r>
          </w:p>
        </w:tc>
        <w:tc>
          <w:tcPr>
            <w:tcW w:w="2340" w:type="dxa"/>
            <w:tcMar>
              <w:top w:w="105" w:type="dxa"/>
              <w:left w:w="125" w:type="dxa"/>
              <w:bottom w:w="105" w:type="dxa"/>
              <w:right w:w="125" w:type="dxa"/>
            </w:tcMar>
          </w:tcPr>
          <w:p w14:paraId="0483F343" w14:textId="77777777" w:rsidR="00296BE1" w:rsidRDefault="0035703A">
            <w:pPr>
              <w:spacing w:after="50" w:line="255" w:lineRule="auto"/>
            </w:pPr>
            <w:r>
              <w:rPr>
                <w:sz w:val="19"/>
                <w:szCs w:val="19"/>
              </w:rPr>
              <w:t>Regional chromatin and condensate reorganization</w:t>
            </w:r>
          </w:p>
        </w:tc>
        <w:tc>
          <w:tcPr>
            <w:tcW w:w="2340" w:type="dxa"/>
            <w:tcMar>
              <w:top w:w="105" w:type="dxa"/>
              <w:left w:w="125" w:type="dxa"/>
              <w:bottom w:w="105" w:type="dxa"/>
              <w:right w:w="125" w:type="dxa"/>
            </w:tcMar>
          </w:tcPr>
          <w:p w14:paraId="5517F2AF" w14:textId="77777777" w:rsidR="00296BE1" w:rsidRDefault="0035703A">
            <w:pPr>
              <w:spacing w:after="50" w:line="255" w:lineRule="auto"/>
            </w:pPr>
            <w:r>
              <w:rPr>
                <w:sz w:val="19"/>
                <w:szCs w:val="19"/>
              </w:rPr>
              <w:t>How does deformation redistribute molecular environments?</w:t>
            </w:r>
          </w:p>
        </w:tc>
        <w:tc>
          <w:tcPr>
            <w:tcW w:w="2340" w:type="dxa"/>
            <w:tcMar>
              <w:top w:w="105" w:type="dxa"/>
              <w:left w:w="125" w:type="dxa"/>
              <w:bottom w:w="105" w:type="dxa"/>
              <w:right w:w="125" w:type="dxa"/>
            </w:tcMar>
          </w:tcPr>
          <w:p w14:paraId="12C60DE4" w14:textId="742BB88F" w:rsidR="00296BE1" w:rsidRDefault="0035703A">
            <w:pPr>
              <w:spacing w:after="50" w:line="255" w:lineRule="auto"/>
            </w:pPr>
            <w:r>
              <w:rPr>
                <w:sz w:val="19"/>
                <w:szCs w:val="19"/>
              </w:rPr>
              <w:t>Model assemblies and expression level delimit phase conclusions</w:t>
            </w:r>
            <w:hyperlink r:id="rId54" w:history="1">
              <w:r>
                <w:rPr>
                  <w:color w:val="087B78"/>
                  <w:sz w:val="18"/>
                  <w:szCs w:val="18"/>
                </w:rPr>
                <w:t xml:space="preserve"> [6]</w:t>
              </w:r>
            </w:hyperlink>
          </w:p>
        </w:tc>
      </w:tr>
    </w:tbl>
    <w:p w14:paraId="1A2EE5DC" w14:textId="77777777" w:rsidR="00296BE1" w:rsidRDefault="00296BE1">
      <w:pPr>
        <w:spacing w:after="170"/>
      </w:pPr>
    </w:p>
    <w:p w14:paraId="1434F98C" w14:textId="1D31D9C1" w:rsidR="00296BE1" w:rsidRDefault="0035703A">
      <w:r>
        <w:t>An informative experiment can combine several rows of the table within one biological state. A sensor contrast accompanied by altered soluble-tracer diffusion suggests an environmental change, while a change confined to a DNA-binding reporter may indicate a stronger interaction-dependent contribution. Measuring global density can reveal whether an intervention alters mass concentration; spatial imaging can show whether that mass becomes more heterogeneous. These combinations do not remove all ambiguity, but</w:t>
      </w:r>
      <w:r>
        <w:t xml:space="preserve"> they specify which physical explanation is being tested and which observations would distinguish it from alternatives.</w:t>
      </w:r>
      <w:hyperlink r:id="rId55" w:history="1">
        <w:r>
          <w:rPr>
            <w:color w:val="087B78"/>
            <w:sz w:val="18"/>
            <w:szCs w:val="18"/>
          </w:rPr>
          <w:t xml:space="preserve"> [3]</w:t>
        </w:r>
      </w:hyperlink>
      <w:hyperlink r:id="rId56" w:history="1">
        <w:r>
          <w:rPr>
            <w:color w:val="087B78"/>
            <w:sz w:val="18"/>
            <w:szCs w:val="18"/>
          </w:rPr>
          <w:t xml:space="preserve"> [2]</w:t>
        </w:r>
      </w:hyperlink>
      <w:hyperlink r:id="rId57" w:history="1">
        <w:r>
          <w:rPr>
            <w:color w:val="087B78"/>
            <w:sz w:val="18"/>
            <w:szCs w:val="18"/>
          </w:rPr>
          <w:t xml:space="preserve"> [5]</w:t>
        </w:r>
      </w:hyperlink>
      <w:hyperlink r:id="rId58" w:history="1">
        <w:r>
          <w:rPr>
            <w:color w:val="087B78"/>
            <w:sz w:val="18"/>
            <w:szCs w:val="18"/>
          </w:rPr>
          <w:t xml:space="preserve"> [4]</w:t>
        </w:r>
      </w:hyperlink>
      <w:hyperlink r:id="rId59" w:history="1">
        <w:r>
          <w:rPr>
            <w:color w:val="087B78"/>
            <w:sz w:val="18"/>
            <w:szCs w:val="18"/>
          </w:rPr>
          <w:t xml:space="preserve"> [8]</w:t>
        </w:r>
      </w:hyperlink>
    </w:p>
    <w:p w14:paraId="4F56346B" w14:textId="77777777" w:rsidR="00296BE1" w:rsidRDefault="0035703A">
      <w:pPr>
        <w:pStyle w:val="Heading1"/>
      </w:pPr>
      <w:bookmarkStart w:id="10" w:name="_Toc242668373"/>
      <w:r>
        <w:t>10. Current conclusions and unresolved mechanisms</w:t>
      </w:r>
      <w:bookmarkEnd w:id="10"/>
    </w:p>
    <w:p w14:paraId="3925CE6E" w14:textId="4A92C4EB" w:rsidR="00296BE1" w:rsidRDefault="0035703A">
      <w:r>
        <w:t xml:space="preserve">The nucleus is a heterogeneous reaction environment whose accessibility is shaped jointly by chromatin, volume regulation and molecular interactions. Primary studies now connect global density control with local sensor responses and mechanically induced redistribution. The remaining challenge is to quantify how those levels interact during a physiological transition: which environmental changes occur first, which affect binding or diffusion, and which persist after the nucleus recovers its shape. A current </w:t>
      </w:r>
      <w:r>
        <w:t>account should therefore treat crowding as an experimentally constrained set of molecular effects, retaining probe identity and scale, rather than a blanket explanation for every dense image, slow protein or nuclear condensate.</w:t>
      </w:r>
      <w:hyperlink r:id="rId60" w:history="1">
        <w:r>
          <w:rPr>
            <w:color w:val="087B78"/>
            <w:sz w:val="18"/>
            <w:szCs w:val="18"/>
          </w:rPr>
          <w:t xml:space="preserve"> [4]</w:t>
        </w:r>
      </w:hyperlink>
      <w:hyperlink r:id="rId61" w:history="1">
        <w:r>
          <w:rPr>
            <w:color w:val="087B78"/>
            <w:sz w:val="18"/>
            <w:szCs w:val="18"/>
          </w:rPr>
          <w:t xml:space="preserve"> [5]</w:t>
        </w:r>
      </w:hyperlink>
      <w:hyperlink r:id="rId62" w:history="1">
        <w:r>
          <w:rPr>
            <w:color w:val="087B78"/>
            <w:sz w:val="18"/>
            <w:szCs w:val="18"/>
          </w:rPr>
          <w:t xml:space="preserve"> [6]</w:t>
        </w:r>
      </w:hyperlink>
      <w:hyperlink r:id="rId63" w:history="1">
        <w:r>
          <w:rPr>
            <w:color w:val="087B78"/>
            <w:sz w:val="18"/>
            <w:szCs w:val="18"/>
          </w:rPr>
          <w:t xml:space="preserve"> [1]</w:t>
        </w:r>
      </w:hyperlink>
      <w:hyperlink r:id="rId64" w:history="1">
        <w:r>
          <w:rPr>
            <w:color w:val="087B78"/>
            <w:sz w:val="18"/>
            <w:szCs w:val="18"/>
          </w:rPr>
          <w:t xml:space="preserve"> [7]</w:t>
        </w:r>
      </w:hyperlink>
      <w:hyperlink r:id="rId65" w:history="1">
        <w:r>
          <w:rPr>
            <w:color w:val="087B78"/>
            <w:sz w:val="18"/>
            <w:szCs w:val="18"/>
          </w:rPr>
          <w:t xml:space="preserve"> [3]</w:t>
        </w:r>
      </w:hyperlink>
    </w:p>
    <w:p w14:paraId="7A6D1877" w14:textId="77777777" w:rsidR="00296BE1" w:rsidRDefault="0035703A">
      <w:pPr>
        <w:pStyle w:val="Heading1"/>
      </w:pPr>
      <w:bookmarkStart w:id="11" w:name="_Toc242668374"/>
      <w:r>
        <w:t>References</w:t>
      </w:r>
      <w:bookmarkEnd w:id="11"/>
    </w:p>
    <w:p w14:paraId="46508A83" w14:textId="40D8FE9D" w:rsidR="00296BE1" w:rsidRDefault="0035703A">
      <w:pPr>
        <w:keepLines/>
        <w:spacing w:after="90" w:line="245" w:lineRule="auto"/>
      </w:pPr>
      <w:r>
        <w:rPr>
          <w:b/>
          <w:bCs/>
          <w:sz w:val="20"/>
          <w:szCs w:val="20"/>
        </w:rPr>
        <w:t xml:space="preserve">[1] Aurélien Bancaud, Sébastien Huet, Nathalie Daigle et al. (2009). </w:t>
      </w:r>
      <w:r>
        <w:rPr>
          <w:sz w:val="20"/>
          <w:szCs w:val="20"/>
        </w:rPr>
        <w:t xml:space="preserve">Molecular crowding affects diffusion and binding of nuclear proteins in heterochromatin and reveals the fractal organization of chromatin. The EMBO Journal. </w:t>
      </w:r>
      <w:hyperlink r:id="rId66" w:history="1">
        <w:r>
          <w:rPr>
            <w:color w:val="087B78"/>
            <w:sz w:val="20"/>
            <w:szCs w:val="20"/>
            <w:u w:val="single"/>
          </w:rPr>
          <w:t>10.1038/emboj.2009.340</w:t>
        </w:r>
      </w:hyperlink>
    </w:p>
    <w:p w14:paraId="1ADE920B" w14:textId="7C823CF1" w:rsidR="00296BE1" w:rsidRDefault="0035703A">
      <w:pPr>
        <w:keepLines/>
        <w:spacing w:after="90" w:line="245" w:lineRule="auto"/>
      </w:pPr>
      <w:r>
        <w:rPr>
          <w:b/>
          <w:bCs/>
          <w:sz w:val="20"/>
          <w:szCs w:val="20"/>
        </w:rPr>
        <w:t xml:space="preserve">[2] Nicolas Dross, Corentin Spriet, Monika Zwerger et al. (2009). </w:t>
      </w:r>
      <w:r>
        <w:rPr>
          <w:sz w:val="20"/>
          <w:szCs w:val="20"/>
        </w:rPr>
        <w:t xml:space="preserve">Mapping eGFP Oligomer Mobility in Living Cell Nuclei. PLOS ONE. </w:t>
      </w:r>
      <w:hyperlink r:id="rId67" w:history="1">
        <w:r>
          <w:rPr>
            <w:color w:val="087B78"/>
            <w:sz w:val="20"/>
            <w:szCs w:val="20"/>
            <w:u w:val="single"/>
          </w:rPr>
          <w:t>10.1371/journal.pone.0005041</w:t>
        </w:r>
      </w:hyperlink>
    </w:p>
    <w:p w14:paraId="67956A4A" w14:textId="721EAB65" w:rsidR="00296BE1" w:rsidRDefault="0035703A">
      <w:pPr>
        <w:keepLines/>
        <w:spacing w:after="90" w:line="245" w:lineRule="auto"/>
      </w:pPr>
      <w:r>
        <w:rPr>
          <w:b/>
          <w:bCs/>
          <w:sz w:val="20"/>
          <w:szCs w:val="20"/>
        </w:rPr>
        <w:t xml:space="preserve">[3] Chandrashekhar U. Murade, George T. Shubeita (2019). </w:t>
      </w:r>
      <w:r>
        <w:rPr>
          <w:sz w:val="20"/>
          <w:szCs w:val="20"/>
        </w:rPr>
        <w:t xml:space="preserve">A Molecular Sensor Reveals Differences in Macromolecular Crowding between the Cytoplasm and Nucleoplasm. ACS Sensors. </w:t>
      </w:r>
      <w:hyperlink r:id="rId68" w:history="1">
        <w:r>
          <w:rPr>
            <w:color w:val="087B78"/>
            <w:sz w:val="20"/>
            <w:szCs w:val="20"/>
            <w:u w:val="single"/>
          </w:rPr>
          <w:t>10.1021/acssensors.9b00569</w:t>
        </w:r>
      </w:hyperlink>
    </w:p>
    <w:p w14:paraId="6A1B7EDC" w14:textId="708550E0" w:rsidR="00296BE1" w:rsidRDefault="0035703A">
      <w:pPr>
        <w:keepLines/>
        <w:spacing w:after="90" w:line="245" w:lineRule="auto"/>
      </w:pPr>
      <w:r>
        <w:rPr>
          <w:b/>
          <w:bCs/>
          <w:sz w:val="20"/>
          <w:szCs w:val="20"/>
        </w:rPr>
        <w:t xml:space="preserve">[4] Abin Biswas, Omar Muñoz, Kyoohyun Kim et al. (2025). </w:t>
      </w:r>
      <w:r>
        <w:rPr>
          <w:sz w:val="20"/>
          <w:szCs w:val="20"/>
        </w:rPr>
        <w:t xml:space="preserve">Conserved nucleocytoplasmic density homeostasis drives cellular organization across eukaryotes. Nature Communications. </w:t>
      </w:r>
      <w:hyperlink r:id="rId69" w:history="1">
        <w:r>
          <w:rPr>
            <w:color w:val="087B78"/>
            <w:sz w:val="20"/>
            <w:szCs w:val="20"/>
            <w:u w:val="single"/>
          </w:rPr>
          <w:t>10.1038/s41467-025-62605-0</w:t>
        </w:r>
      </w:hyperlink>
    </w:p>
    <w:p w14:paraId="3BDE9FEE" w14:textId="5797B060" w:rsidR="00296BE1" w:rsidRDefault="0035703A">
      <w:pPr>
        <w:keepLines/>
        <w:spacing w:after="90" w:line="245" w:lineRule="auto"/>
      </w:pPr>
      <w:r>
        <w:rPr>
          <w:b/>
          <w:bCs/>
          <w:sz w:val="20"/>
          <w:szCs w:val="20"/>
        </w:rPr>
        <w:t xml:space="preserve">[5] Tanlin Wei, Xiaofeng Yang, Chao Jiang et al. (2025). </w:t>
      </w:r>
      <w:r>
        <w:rPr>
          <w:sz w:val="20"/>
          <w:szCs w:val="20"/>
        </w:rPr>
        <w:t xml:space="preserve">Osmotic pressure regulates DNA labelling and transcription with dCas9-SunTag system in live cells. Nature Communications. </w:t>
      </w:r>
      <w:hyperlink r:id="rId70" w:history="1">
        <w:r>
          <w:rPr>
            <w:color w:val="087B78"/>
            <w:sz w:val="20"/>
            <w:szCs w:val="20"/>
            <w:u w:val="single"/>
          </w:rPr>
          <w:t>10.1038/s41467-025-66160-6</w:t>
        </w:r>
      </w:hyperlink>
    </w:p>
    <w:p w14:paraId="66AA376A" w14:textId="10C4E841" w:rsidR="00296BE1" w:rsidRDefault="0035703A">
      <w:pPr>
        <w:keepLines/>
        <w:spacing w:after="90" w:line="245" w:lineRule="auto"/>
      </w:pPr>
      <w:r>
        <w:rPr>
          <w:b/>
          <w:bCs/>
          <w:sz w:val="20"/>
          <w:szCs w:val="20"/>
        </w:rPr>
        <w:lastRenderedPageBreak/>
        <w:t xml:space="preserve">[6] Jessica Z. Zhao, Jing Xia, Clifford P. Brangwynne (2024). </w:t>
      </w:r>
      <w:r>
        <w:rPr>
          <w:sz w:val="20"/>
          <w:szCs w:val="20"/>
        </w:rPr>
        <w:t xml:space="preserve">Chromatin compaction during confined cell migration induces and reshapes nuclear condensates. Nature Communications. </w:t>
      </w:r>
      <w:hyperlink r:id="rId71" w:history="1">
        <w:r>
          <w:rPr>
            <w:color w:val="087B78"/>
            <w:sz w:val="20"/>
            <w:szCs w:val="20"/>
            <w:u w:val="single"/>
          </w:rPr>
          <w:t>10.1038/s41467-024-54120-5</w:t>
        </w:r>
      </w:hyperlink>
    </w:p>
    <w:p w14:paraId="2B1CC210" w14:textId="6724CCF1" w:rsidR="00296BE1" w:rsidRDefault="0035703A">
      <w:pPr>
        <w:keepLines/>
        <w:spacing w:after="90" w:line="245" w:lineRule="auto"/>
      </w:pPr>
      <w:r>
        <w:rPr>
          <w:b/>
          <w:bCs/>
          <w:sz w:val="20"/>
          <w:szCs w:val="20"/>
        </w:rPr>
        <w:t xml:space="preserve">[7] Fabian Erdel, Michael Baum, Karsten Rippe (2015). </w:t>
      </w:r>
      <w:r>
        <w:rPr>
          <w:sz w:val="20"/>
          <w:szCs w:val="20"/>
        </w:rPr>
        <w:t xml:space="preserve">The viscoelastic properties of chromatin and the nucleoplasm revealed by scale-dependent protein mobility. Journal of Physics: Condensed Matter. </w:t>
      </w:r>
      <w:hyperlink r:id="rId72" w:history="1">
        <w:r>
          <w:rPr>
            <w:color w:val="087B78"/>
            <w:sz w:val="20"/>
            <w:szCs w:val="20"/>
            <w:u w:val="single"/>
          </w:rPr>
          <w:t>10.1088/0953-8984/27/6/064115</w:t>
        </w:r>
      </w:hyperlink>
    </w:p>
    <w:p w14:paraId="094DB084" w14:textId="1E1D91D3" w:rsidR="00296BE1" w:rsidRDefault="0035703A">
      <w:pPr>
        <w:keepLines/>
        <w:spacing w:after="90" w:line="245" w:lineRule="auto"/>
      </w:pPr>
      <w:r>
        <w:rPr>
          <w:b/>
          <w:bCs/>
          <w:sz w:val="20"/>
          <w:szCs w:val="20"/>
        </w:rPr>
        <w:t xml:space="preserve">[8] Fariha Rahman, Victoria Augoustides, Emma Tyler, Timothy A. Daugird, Christian Arthur, Wesley R. Legant (2025). </w:t>
      </w:r>
      <w:r>
        <w:rPr>
          <w:sz w:val="20"/>
          <w:szCs w:val="20"/>
        </w:rPr>
        <w:t xml:space="preserve">Mapping the nuclear landscape with multiplexed super-resolution fluorescence microscopy. Nature Communications. </w:t>
      </w:r>
      <w:hyperlink r:id="rId73" w:history="1">
        <w:r>
          <w:rPr>
            <w:color w:val="087B78"/>
            <w:sz w:val="20"/>
            <w:szCs w:val="20"/>
            <w:u w:val="single"/>
          </w:rPr>
          <w:t>10.1038/s41467-025-61358-0</w:t>
        </w:r>
      </w:hyperlink>
    </w:p>
    <w:p w14:paraId="04795D1F" w14:textId="3B07F3B5" w:rsidR="00296BE1" w:rsidRDefault="0035703A">
      <w:pPr>
        <w:keepLines/>
        <w:spacing w:after="90" w:line="245" w:lineRule="auto"/>
      </w:pPr>
      <w:r>
        <w:rPr>
          <w:b/>
          <w:bCs/>
          <w:sz w:val="20"/>
          <w:szCs w:val="20"/>
        </w:rPr>
        <w:t xml:space="preserve">[9] Arnold J. Boersma, Inge S. Zuhorn, Bert Poolman (2015). </w:t>
      </w:r>
      <w:r>
        <w:rPr>
          <w:sz w:val="20"/>
          <w:szCs w:val="20"/>
        </w:rPr>
        <w:t xml:space="preserve">A sensor for quantification of macromolecular crowding in living cells. Nature Methods. </w:t>
      </w:r>
      <w:hyperlink r:id="rId74" w:history="1">
        <w:r>
          <w:rPr>
            <w:color w:val="087B78"/>
            <w:sz w:val="20"/>
            <w:szCs w:val="20"/>
            <w:u w:val="single"/>
          </w:rPr>
          <w:t>10.1038/nmeth.3257</w:t>
        </w:r>
      </w:hyperlink>
    </w:p>
    <w:p w14:paraId="3EF62556" w14:textId="6A556F22" w:rsidR="00296BE1" w:rsidRDefault="0035703A">
      <w:pPr>
        <w:keepLines/>
        <w:spacing w:after="90" w:line="245" w:lineRule="auto"/>
      </w:pPr>
      <w:r>
        <w:rPr>
          <w:b/>
          <w:bCs/>
          <w:sz w:val="20"/>
          <w:szCs w:val="20"/>
        </w:rPr>
        <w:t xml:space="preserve">[10] Anders S. Hansen, Maxime Woringer, Jonathan B. Grimm et al. (2018). </w:t>
      </w:r>
      <w:r>
        <w:rPr>
          <w:sz w:val="20"/>
          <w:szCs w:val="20"/>
        </w:rPr>
        <w:t xml:space="preserve">Robust model-based analysis of single-particle tracking experiments with Spot-On. eLife. </w:t>
      </w:r>
      <w:hyperlink r:id="rId75" w:history="1">
        <w:r>
          <w:rPr>
            <w:color w:val="087B78"/>
            <w:sz w:val="20"/>
            <w:szCs w:val="20"/>
            <w:u w:val="single"/>
          </w:rPr>
          <w:t>10.7554/eLife.33125</w:t>
        </w:r>
      </w:hyperlink>
    </w:p>
    <w:p w14:paraId="04031B21" w14:textId="7E385BB1" w:rsidR="00296BE1" w:rsidRDefault="0035703A">
      <w:pPr>
        <w:keepLines/>
        <w:spacing w:after="90" w:line="245" w:lineRule="auto"/>
      </w:pPr>
      <w:r>
        <w:rPr>
          <w:b/>
          <w:bCs/>
          <w:sz w:val="20"/>
          <w:szCs w:val="20"/>
        </w:rPr>
        <w:t xml:space="preserve">[11] Marina Feric, Nilesh Vaidya, Tyler S. Harmon et al. (2016). </w:t>
      </w:r>
      <w:r>
        <w:rPr>
          <w:sz w:val="20"/>
          <w:szCs w:val="20"/>
        </w:rPr>
        <w:t xml:space="preserve">Coexisting Liquid Phases Underlie Nucleolar Subcompartments. Cell. </w:t>
      </w:r>
      <w:hyperlink r:id="rId76" w:history="1">
        <w:r>
          <w:rPr>
            <w:color w:val="087B78"/>
            <w:sz w:val="20"/>
            <w:szCs w:val="20"/>
            <w:u w:val="single"/>
          </w:rPr>
          <w:t>10.1016/j.cell.2016.04.047</w:t>
        </w:r>
      </w:hyperlink>
    </w:p>
    <w:p w14:paraId="06346E06" w14:textId="6D7B6DE3" w:rsidR="00296BE1" w:rsidRDefault="0035703A">
      <w:pPr>
        <w:keepLines/>
        <w:spacing w:after="90" w:line="245" w:lineRule="auto"/>
      </w:pPr>
      <w:r>
        <w:rPr>
          <w:b/>
          <w:bCs/>
          <w:sz w:val="20"/>
          <w:szCs w:val="20"/>
        </w:rPr>
        <w:t xml:space="preserve">[12] Fazlur Rashid, Sadia Amin Kabbo, Ning Wang (2024). </w:t>
      </w:r>
      <w:r>
        <w:rPr>
          <w:sz w:val="20"/>
          <w:szCs w:val="20"/>
        </w:rPr>
        <w:t xml:space="preserve">Mechanomemory of nucleoplasm and RNA polymerase II after chromatin stretching by a microinjected magnetic nanoparticle force. Cell Reports. </w:t>
      </w:r>
      <w:hyperlink r:id="rId77" w:history="1">
        <w:r>
          <w:rPr>
            <w:color w:val="087B78"/>
            <w:sz w:val="20"/>
            <w:szCs w:val="20"/>
            <w:u w:val="single"/>
          </w:rPr>
          <w:t>10.1016/j.celrep.2024.114462</w:t>
        </w:r>
      </w:hyperlink>
    </w:p>
    <w:p w14:paraId="246D9607" w14:textId="5E039D24" w:rsidR="00296BE1" w:rsidRDefault="0035703A">
      <w:pPr>
        <w:keepLines/>
        <w:spacing w:after="90" w:line="245" w:lineRule="auto"/>
      </w:pPr>
      <w:r>
        <w:rPr>
          <w:b/>
          <w:bCs/>
          <w:sz w:val="20"/>
          <w:szCs w:val="20"/>
        </w:rPr>
        <w:t xml:space="preserve">[13] Fitzroy J. Byfield, Behnaz Eftekhari, Kaeli Kaymak-Loveless et al. (2025). </w:t>
      </w:r>
      <w:r>
        <w:rPr>
          <w:sz w:val="20"/>
          <w:szCs w:val="20"/>
        </w:rPr>
        <w:t xml:space="preserve">Metabolically intact nuclei are fluidized by the activity of the chromatin remodeling motor BRG1. Biophysical Journal. </w:t>
      </w:r>
      <w:hyperlink r:id="rId78" w:history="1">
        <w:r>
          <w:rPr>
            <w:color w:val="087B78"/>
            <w:sz w:val="20"/>
            <w:szCs w:val="20"/>
            <w:u w:val="single"/>
          </w:rPr>
          <w:t>10.1016/j.bpj.2024.11.3322</w:t>
        </w:r>
      </w:hyperlink>
    </w:p>
    <w:p w14:paraId="1B2146B7" w14:textId="77777777" w:rsidR="00296BE1" w:rsidRDefault="0035703A">
      <w:pPr>
        <w:pStyle w:val="Heading1"/>
      </w:pPr>
      <w:bookmarkStart w:id="12" w:name="_Toc242668375"/>
      <w:r>
        <w:t>Evidence scope</w:t>
      </w:r>
      <w:bookmarkEnd w:id="12"/>
    </w:p>
    <w:p w14:paraId="66A2887C" w14:textId="77777777" w:rsidR="00296BE1" w:rsidRDefault="0035703A">
      <w:pPr>
        <w:keepLines/>
        <w:spacing w:after="160" w:line="270" w:lineRule="auto"/>
      </w:pPr>
      <w:r>
        <w:t>This review integrates published primary research with a foundational methods review where needed. Source access ranges from primary abstracts to the selected main Results and Methods identified in each reference record. It is a scholarly synthesis rather than an independent reanalysis of experimental data. Conclusions retain the biological system, measurement scale and model assumptions of the cited studies.</w:t>
      </w:r>
    </w:p>
    <w:sectPr w:rsidR="00296BE1">
      <w:headerReference w:type="default" r:id="rId79"/>
      <w:footerReference w:type="default" r:id="rId80"/>
      <w:pgSz w:w="12240" w:h="15840"/>
      <w:pgMar w:top="1250" w:right="1440" w:bottom="1250" w:left="1440" w:header="650" w:footer="6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0DB07A" w14:textId="77777777" w:rsidR="0035703A" w:rsidRDefault="0035703A">
      <w:pPr>
        <w:spacing w:after="0" w:line="240" w:lineRule="auto"/>
      </w:pPr>
      <w:r>
        <w:separator/>
      </w:r>
    </w:p>
  </w:endnote>
  <w:endnote w:type="continuationSeparator" w:id="0">
    <w:p w14:paraId="5EDEF173" w14:textId="77777777" w:rsidR="0035703A" w:rsidRDefault="003570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5CED2" w14:textId="77777777" w:rsidR="00296BE1" w:rsidRDefault="0035703A">
    <w:pPr>
      <w:jc w:val="right"/>
    </w:pPr>
    <w:r>
      <w:rPr>
        <w:color w:val="527077"/>
        <w:sz w:val="17"/>
        <w:szCs w:val="17"/>
      </w:rPr>
      <w:t xml:space="preserve">CellNucleus · Page </w:t>
    </w:r>
    <w:r>
      <w:rPr>
        <w:color w:val="527077"/>
        <w:sz w:val="17"/>
        <w:szCs w:val="17"/>
      </w:rPr>
      <w:fldChar w:fldCharType="begin"/>
    </w:r>
    <w:r>
      <w:rPr>
        <w:color w:val="527077"/>
        <w:sz w:val="17"/>
        <w:szCs w:val="17"/>
      </w:rPr>
      <w:instrText>PAGE</w:instrText>
    </w:r>
    <w:r>
      <w:rPr>
        <w:color w:val="527077"/>
        <w:sz w:val="17"/>
        <w:szCs w:val="17"/>
      </w:rPr>
      <w:fldChar w:fldCharType="separate"/>
    </w:r>
    <w:r w:rsidR="001C16E9">
      <w:rPr>
        <w:noProof/>
        <w:color w:val="527077"/>
        <w:sz w:val="17"/>
        <w:szCs w:val="17"/>
      </w:rPr>
      <w:t>1</w:t>
    </w:r>
    <w:r>
      <w:rPr>
        <w:color w:val="527077"/>
        <w:sz w:val="17"/>
        <w:szCs w:val="17"/>
      </w:rPr>
      <w:fldChar w:fldCharType="end"/>
    </w:r>
    <w:r>
      <w:rPr>
        <w:color w:val="527077"/>
        <w:sz w:val="17"/>
        <w:szCs w:val="17"/>
      </w:rPr>
      <w:t xml:space="preserve"> of </w:t>
    </w:r>
    <w:r>
      <w:rPr>
        <w:color w:val="527077"/>
        <w:sz w:val="17"/>
        <w:szCs w:val="17"/>
      </w:rPr>
      <w:fldChar w:fldCharType="begin"/>
    </w:r>
    <w:r>
      <w:rPr>
        <w:color w:val="527077"/>
        <w:sz w:val="17"/>
        <w:szCs w:val="17"/>
      </w:rPr>
      <w:instrText>NUMPAGES</w:instrText>
    </w:r>
    <w:r>
      <w:rPr>
        <w:color w:val="527077"/>
        <w:sz w:val="17"/>
        <w:szCs w:val="17"/>
      </w:rPr>
      <w:fldChar w:fldCharType="separate"/>
    </w:r>
    <w:r w:rsidR="001C16E9">
      <w:rPr>
        <w:noProof/>
        <w:color w:val="527077"/>
        <w:sz w:val="17"/>
        <w:szCs w:val="17"/>
      </w:rPr>
      <w:t>2</w:t>
    </w:r>
    <w:r>
      <w:rPr>
        <w:color w:val="527077"/>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7D310" w14:textId="77777777" w:rsidR="0035703A" w:rsidRDefault="0035703A">
      <w:pPr>
        <w:spacing w:after="0" w:line="240" w:lineRule="auto"/>
      </w:pPr>
      <w:r>
        <w:separator/>
      </w:r>
    </w:p>
  </w:footnote>
  <w:footnote w:type="continuationSeparator" w:id="0">
    <w:p w14:paraId="3FBF91CB" w14:textId="77777777" w:rsidR="0035703A" w:rsidRDefault="003570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2B1E1" w14:textId="77777777" w:rsidR="00296BE1" w:rsidRDefault="0035703A">
    <w:pPr>
      <w:pBdr>
        <w:bottom w:val="single" w:sz="4" w:space="0" w:color="B8D1D0"/>
      </w:pBdr>
    </w:pPr>
    <w:r>
      <w:rPr>
        <w:color w:val="527077"/>
        <w:sz w:val="17"/>
        <w:szCs w:val="17"/>
      </w:rPr>
      <w:t>Nuclear Macromolecular Crowding: Accessibility, Association and Spati…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122B8F"/>
    <w:multiLevelType w:val="hybridMultilevel"/>
    <w:tmpl w:val="8B62C8AE"/>
    <w:lvl w:ilvl="0" w:tplc="606C95FC">
      <w:start w:val="1"/>
      <w:numFmt w:val="bullet"/>
      <w:lvlText w:val="•"/>
      <w:lvlJc w:val="left"/>
      <w:pPr>
        <w:ind w:left="340" w:hanging="170"/>
      </w:pPr>
    </w:lvl>
    <w:lvl w:ilvl="1" w:tplc="596ABA6A">
      <w:numFmt w:val="decimal"/>
      <w:lvlText w:val=""/>
      <w:lvlJc w:val="left"/>
    </w:lvl>
    <w:lvl w:ilvl="2" w:tplc="000C2384">
      <w:numFmt w:val="decimal"/>
      <w:lvlText w:val=""/>
      <w:lvlJc w:val="left"/>
    </w:lvl>
    <w:lvl w:ilvl="3" w:tplc="027E1994">
      <w:numFmt w:val="decimal"/>
      <w:lvlText w:val=""/>
      <w:lvlJc w:val="left"/>
    </w:lvl>
    <w:lvl w:ilvl="4" w:tplc="94AE6ECE">
      <w:numFmt w:val="decimal"/>
      <w:lvlText w:val=""/>
      <w:lvlJc w:val="left"/>
    </w:lvl>
    <w:lvl w:ilvl="5" w:tplc="62642AE4">
      <w:numFmt w:val="decimal"/>
      <w:lvlText w:val=""/>
      <w:lvlJc w:val="left"/>
    </w:lvl>
    <w:lvl w:ilvl="6" w:tplc="B1FCB142">
      <w:numFmt w:val="decimal"/>
      <w:lvlText w:val=""/>
      <w:lvlJc w:val="left"/>
    </w:lvl>
    <w:lvl w:ilvl="7" w:tplc="D7F8C926">
      <w:numFmt w:val="decimal"/>
      <w:lvlText w:val=""/>
      <w:lvlJc w:val="left"/>
    </w:lvl>
    <w:lvl w:ilvl="8" w:tplc="4B06B2BA">
      <w:numFmt w:val="decimal"/>
      <w:lvlText w:val=""/>
      <w:lvlJc w:val="left"/>
    </w:lvl>
  </w:abstractNum>
  <w:abstractNum w:abstractNumId="1" w15:restartNumberingAfterBreak="0">
    <w:nsid w:val="38D1615C"/>
    <w:multiLevelType w:val="hybridMultilevel"/>
    <w:tmpl w:val="A22E34A4"/>
    <w:lvl w:ilvl="0" w:tplc="D8BC619C">
      <w:start w:val="1"/>
      <w:numFmt w:val="bullet"/>
      <w:lvlText w:val="●"/>
      <w:lvlJc w:val="left"/>
      <w:pPr>
        <w:ind w:left="720" w:hanging="360"/>
      </w:pPr>
    </w:lvl>
    <w:lvl w:ilvl="1" w:tplc="0C3CCCA8">
      <w:start w:val="1"/>
      <w:numFmt w:val="bullet"/>
      <w:lvlText w:val="○"/>
      <w:lvlJc w:val="left"/>
      <w:pPr>
        <w:ind w:left="1440" w:hanging="360"/>
      </w:pPr>
    </w:lvl>
    <w:lvl w:ilvl="2" w:tplc="DD52533E">
      <w:start w:val="1"/>
      <w:numFmt w:val="bullet"/>
      <w:lvlText w:val="■"/>
      <w:lvlJc w:val="left"/>
      <w:pPr>
        <w:ind w:left="2160" w:hanging="360"/>
      </w:pPr>
    </w:lvl>
    <w:lvl w:ilvl="3" w:tplc="C6623EC0">
      <w:start w:val="1"/>
      <w:numFmt w:val="bullet"/>
      <w:lvlText w:val="●"/>
      <w:lvlJc w:val="left"/>
      <w:pPr>
        <w:ind w:left="2880" w:hanging="360"/>
      </w:pPr>
    </w:lvl>
    <w:lvl w:ilvl="4" w:tplc="CB96BBA2">
      <w:start w:val="1"/>
      <w:numFmt w:val="bullet"/>
      <w:lvlText w:val="○"/>
      <w:lvlJc w:val="left"/>
      <w:pPr>
        <w:ind w:left="3600" w:hanging="360"/>
      </w:pPr>
    </w:lvl>
    <w:lvl w:ilvl="5" w:tplc="EF02E9AC">
      <w:start w:val="1"/>
      <w:numFmt w:val="bullet"/>
      <w:lvlText w:val="■"/>
      <w:lvlJc w:val="left"/>
      <w:pPr>
        <w:ind w:left="4320" w:hanging="360"/>
      </w:pPr>
    </w:lvl>
    <w:lvl w:ilvl="6" w:tplc="FED4D34A">
      <w:start w:val="1"/>
      <w:numFmt w:val="bullet"/>
      <w:lvlText w:val="●"/>
      <w:lvlJc w:val="left"/>
      <w:pPr>
        <w:ind w:left="5040" w:hanging="360"/>
      </w:pPr>
    </w:lvl>
    <w:lvl w:ilvl="7" w:tplc="6C7C562A">
      <w:start w:val="1"/>
      <w:numFmt w:val="bullet"/>
      <w:lvlText w:val="●"/>
      <w:lvlJc w:val="left"/>
      <w:pPr>
        <w:ind w:left="5760" w:hanging="360"/>
      </w:pPr>
    </w:lvl>
    <w:lvl w:ilvl="8" w:tplc="127C871C">
      <w:start w:val="1"/>
      <w:numFmt w:val="bullet"/>
      <w:lvlText w:val="●"/>
      <w:lvlJc w:val="left"/>
      <w:pPr>
        <w:ind w:left="6480" w:hanging="360"/>
      </w:pPr>
    </w:lvl>
  </w:abstractNum>
  <w:num w:numId="1" w16cid:durableId="14439605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6BE1"/>
    <w:rsid w:val="00107DA1"/>
    <w:rsid w:val="001C16E9"/>
    <w:rsid w:val="00296BE1"/>
    <w:rsid w:val="003570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25558"/>
  <w15:docId w15:val="{F6996A9A-6818-4429-9FE0-5DCB7677D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color w:val="243F48"/>
        <w:sz w:val="22"/>
        <w:szCs w:val="22"/>
        <w:lang w:val="en-US" w:eastAsia="en-US" w:bidi="ar-SA"/>
      </w:rPr>
    </w:rPrDefault>
    <w:pPrDefault>
      <w:pPr>
        <w:spacing w:after="150" w:line="285"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30"/>
      <w:outlineLvl w:val="0"/>
    </w:pPr>
    <w:rPr>
      <w:b/>
      <w:bCs/>
      <w:color w:val="173B4C"/>
      <w:sz w:val="32"/>
      <w:szCs w:val="32"/>
    </w:rPr>
  </w:style>
  <w:style w:type="paragraph" w:styleId="Heading2">
    <w:name w:val="heading 2"/>
    <w:uiPriority w:val="9"/>
    <w:semiHidden/>
    <w:unhideWhenUsed/>
    <w:qFormat/>
    <w:pPr>
      <w:keepNext/>
      <w:spacing w:before="240" w:after="120"/>
      <w:outlineLvl w:val="1"/>
    </w:pPr>
    <w:rPr>
      <w:b/>
      <w:bCs/>
      <w:color w:val="087B7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next w:val="Subtitle"/>
    <w:uiPriority w:val="10"/>
    <w:qFormat/>
    <w:pPr>
      <w:spacing w:after="240"/>
    </w:pPr>
    <w:rPr>
      <w:b/>
      <w:bCs/>
      <w:color w:val="173B4C"/>
      <w:sz w:val="54"/>
      <w:szCs w:val="5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uiPriority w:val="11"/>
    <w:qFormat/>
    <w:pPr>
      <w:spacing w:after="180"/>
    </w:pPr>
    <w:rPr>
      <w:color w:val="527077"/>
      <w:sz w:val="25"/>
      <w:szCs w:val="25"/>
    </w:rPr>
  </w:style>
  <w:style w:type="paragraph" w:styleId="TOC1">
    <w:name w:val="toc 1"/>
    <w:basedOn w:val="Normal"/>
    <w:next w:val="Normal"/>
    <w:autoRedefine/>
    <w:uiPriority w:val="39"/>
    <w:unhideWhenUsed/>
    <w:rsid w:val="001C16E9"/>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371/journal.pone.0005041" TargetMode="External"/><Relationship Id="rId21" Type="http://schemas.openxmlformats.org/officeDocument/2006/relationships/hyperlink" Target="https://doi.org/10.1021/acssensors.9b00569" TargetMode="External"/><Relationship Id="rId42" Type="http://schemas.openxmlformats.org/officeDocument/2006/relationships/hyperlink" Target="https://doi.org/10.1038/s41467-025-61358-0" TargetMode="External"/><Relationship Id="rId47" Type="http://schemas.openxmlformats.org/officeDocument/2006/relationships/hyperlink" Target="https://doi.org/10.1371/journal.pone.0005041" TargetMode="External"/><Relationship Id="rId63" Type="http://schemas.openxmlformats.org/officeDocument/2006/relationships/hyperlink" Target="https://doi.org/10.1038/emboj.2009.340" TargetMode="External"/><Relationship Id="rId68" Type="http://schemas.openxmlformats.org/officeDocument/2006/relationships/hyperlink" Target="https://doi.org/10.1021/acssensors.9b00569" TargetMode="External"/><Relationship Id="rId16" Type="http://schemas.openxmlformats.org/officeDocument/2006/relationships/hyperlink" Target="https://doi.org/10.1038/s41467-025-66160-6" TargetMode="External"/><Relationship Id="rId11" Type="http://schemas.openxmlformats.org/officeDocument/2006/relationships/hyperlink" Target="https://doi.org/10.1038/s41467-025-66160-6" TargetMode="External"/><Relationship Id="rId32" Type="http://schemas.openxmlformats.org/officeDocument/2006/relationships/hyperlink" Target="https://doi.org/10.1021/acssensors.9b00569" TargetMode="External"/><Relationship Id="rId37" Type="http://schemas.openxmlformats.org/officeDocument/2006/relationships/hyperlink" Target="https://doi.org/10.1021/acssensors.9b00569" TargetMode="External"/><Relationship Id="rId53" Type="http://schemas.openxmlformats.org/officeDocument/2006/relationships/hyperlink" Target="https://doi.org/10.1038/s41467-025-61358-0" TargetMode="External"/><Relationship Id="rId58" Type="http://schemas.openxmlformats.org/officeDocument/2006/relationships/hyperlink" Target="https://doi.org/10.1038/s41467-025-62605-0" TargetMode="External"/><Relationship Id="rId74" Type="http://schemas.openxmlformats.org/officeDocument/2006/relationships/hyperlink" Target="https://doi.org/10.1038/nmeth.3257" TargetMode="External"/><Relationship Id="rId79" Type="http://schemas.openxmlformats.org/officeDocument/2006/relationships/header" Target="header1.xml"/><Relationship Id="rId5" Type="http://schemas.openxmlformats.org/officeDocument/2006/relationships/footnotes" Target="footnotes.xml"/><Relationship Id="rId61" Type="http://schemas.openxmlformats.org/officeDocument/2006/relationships/hyperlink" Target="https://doi.org/10.1038/s41467-025-66160-6" TargetMode="External"/><Relationship Id="rId82" Type="http://schemas.openxmlformats.org/officeDocument/2006/relationships/theme" Target="theme/theme1.xml"/><Relationship Id="rId19" Type="http://schemas.openxmlformats.org/officeDocument/2006/relationships/hyperlink" Target="https://doi.org/10.1371/journal.pone.0005041" TargetMode="External"/><Relationship Id="rId14" Type="http://schemas.openxmlformats.org/officeDocument/2006/relationships/hyperlink" Target="https://doi.org/10.1088/0953-8984/27/6/064115" TargetMode="External"/><Relationship Id="rId22" Type="http://schemas.openxmlformats.org/officeDocument/2006/relationships/hyperlink" Target="https://doi.org/10.1038/s41467-025-62605-0" TargetMode="External"/><Relationship Id="rId27" Type="http://schemas.openxmlformats.org/officeDocument/2006/relationships/hyperlink" Target="https://doi.org/10.1088/0953-8984/27/6/064115" TargetMode="External"/><Relationship Id="rId30" Type="http://schemas.openxmlformats.org/officeDocument/2006/relationships/hyperlink" Target="https://doi.org/10.1038/nmeth.3257" TargetMode="External"/><Relationship Id="rId35" Type="http://schemas.openxmlformats.org/officeDocument/2006/relationships/hyperlink" Target="https://doi.org/10.1038/s41467-025-62605-0" TargetMode="External"/><Relationship Id="rId43" Type="http://schemas.openxmlformats.org/officeDocument/2006/relationships/hyperlink" Target="https://doi.org/10.1038/s41467-024-54120-5" TargetMode="External"/><Relationship Id="rId48" Type="http://schemas.openxmlformats.org/officeDocument/2006/relationships/hyperlink" Target="https://doi.org/10.1088/0953-8984/27/6/064115" TargetMode="External"/><Relationship Id="rId56" Type="http://schemas.openxmlformats.org/officeDocument/2006/relationships/hyperlink" Target="https://doi.org/10.1371/journal.pone.0005041" TargetMode="External"/><Relationship Id="rId64" Type="http://schemas.openxmlformats.org/officeDocument/2006/relationships/hyperlink" Target="https://doi.org/10.1088/0953-8984/27/6/064115" TargetMode="External"/><Relationship Id="rId69" Type="http://schemas.openxmlformats.org/officeDocument/2006/relationships/hyperlink" Target="https://doi.org/10.1038/s41467-025-62605-0" TargetMode="External"/><Relationship Id="rId77" Type="http://schemas.openxmlformats.org/officeDocument/2006/relationships/hyperlink" Target="https://doi.org/10.1016/j.celrep.2024.114462" TargetMode="External"/><Relationship Id="rId8" Type="http://schemas.openxmlformats.org/officeDocument/2006/relationships/hyperlink" Target="https://doi.org/10.1371/journal.pone.0005041" TargetMode="External"/><Relationship Id="rId51" Type="http://schemas.openxmlformats.org/officeDocument/2006/relationships/hyperlink" Target="https://doi.org/10.1038/s41467-025-66160-6" TargetMode="External"/><Relationship Id="rId72" Type="http://schemas.openxmlformats.org/officeDocument/2006/relationships/hyperlink" Target="https://doi.org/10.1088/0953-8984/27/6/064115" TargetMode="External"/><Relationship Id="rId80"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s://doi.org/10.1038/s41467-024-54120-5" TargetMode="External"/><Relationship Id="rId17" Type="http://schemas.openxmlformats.org/officeDocument/2006/relationships/hyperlink" Target="https://doi.org/10.1038/nmeth.3257" TargetMode="External"/><Relationship Id="rId25" Type="http://schemas.openxmlformats.org/officeDocument/2006/relationships/hyperlink" Target="https://doi.org/10.1038/emboj.2009.340" TargetMode="External"/><Relationship Id="rId33" Type="http://schemas.openxmlformats.org/officeDocument/2006/relationships/hyperlink" Target="https://doi.org/10.1371/journal.pone.0005041" TargetMode="External"/><Relationship Id="rId38" Type="http://schemas.openxmlformats.org/officeDocument/2006/relationships/hyperlink" Target="https://doi.org/10.1038/s41467-025-66160-6" TargetMode="External"/><Relationship Id="rId46" Type="http://schemas.openxmlformats.org/officeDocument/2006/relationships/hyperlink" Target="https://doi.org/10.1016/j.bpj.2024.11.3322" TargetMode="External"/><Relationship Id="rId59" Type="http://schemas.openxmlformats.org/officeDocument/2006/relationships/hyperlink" Target="https://doi.org/10.1038/s41467-025-61358-0" TargetMode="External"/><Relationship Id="rId67" Type="http://schemas.openxmlformats.org/officeDocument/2006/relationships/hyperlink" Target="https://doi.org/10.1371/journal.pone.0005041" TargetMode="External"/><Relationship Id="rId20" Type="http://schemas.openxmlformats.org/officeDocument/2006/relationships/hyperlink" Target="https://doi.org/10.1038/emboj.2009.340" TargetMode="External"/><Relationship Id="rId41" Type="http://schemas.openxmlformats.org/officeDocument/2006/relationships/hyperlink" Target="https://doi.org/10.1016/j.cell.2016.04.047" TargetMode="External"/><Relationship Id="rId54" Type="http://schemas.openxmlformats.org/officeDocument/2006/relationships/hyperlink" Target="https://doi.org/10.1038/s41467-024-54120-5" TargetMode="External"/><Relationship Id="rId62" Type="http://schemas.openxmlformats.org/officeDocument/2006/relationships/hyperlink" Target="https://doi.org/10.1038/s41467-024-54120-5" TargetMode="External"/><Relationship Id="rId70" Type="http://schemas.openxmlformats.org/officeDocument/2006/relationships/hyperlink" Target="https://doi.org/10.1038/s41467-025-66160-6" TargetMode="External"/><Relationship Id="rId75" Type="http://schemas.openxmlformats.org/officeDocument/2006/relationships/hyperlink" Target="https://doi.org/10.7554/eLife.33125"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oi.org/10.1038/s41467-025-61358-0" TargetMode="External"/><Relationship Id="rId23" Type="http://schemas.openxmlformats.org/officeDocument/2006/relationships/hyperlink" Target="https://doi.org/10.1038/emboj.2009.340" TargetMode="External"/><Relationship Id="rId28" Type="http://schemas.openxmlformats.org/officeDocument/2006/relationships/hyperlink" Target="https://doi.org/10.1371/journal.pone.0005041" TargetMode="External"/><Relationship Id="rId36" Type="http://schemas.openxmlformats.org/officeDocument/2006/relationships/hyperlink" Target="https://doi.org/10.1088/0953-8984/27/6/064115" TargetMode="External"/><Relationship Id="rId49" Type="http://schemas.openxmlformats.org/officeDocument/2006/relationships/hyperlink" Target="https://doi.org/10.1021/acssensors.9b00569" TargetMode="External"/><Relationship Id="rId57" Type="http://schemas.openxmlformats.org/officeDocument/2006/relationships/hyperlink" Target="https://doi.org/10.1038/s41467-025-66160-6" TargetMode="External"/><Relationship Id="rId10" Type="http://schemas.openxmlformats.org/officeDocument/2006/relationships/hyperlink" Target="https://doi.org/10.1038/s41467-025-62605-0" TargetMode="External"/><Relationship Id="rId31" Type="http://schemas.openxmlformats.org/officeDocument/2006/relationships/hyperlink" Target="https://doi.org/10.1021/acssensors.9b00569" TargetMode="External"/><Relationship Id="rId44" Type="http://schemas.openxmlformats.org/officeDocument/2006/relationships/hyperlink" Target="https://doi.org/10.1016/j.celrep.2024.114462" TargetMode="External"/><Relationship Id="rId52" Type="http://schemas.openxmlformats.org/officeDocument/2006/relationships/hyperlink" Target="https://doi.org/10.1038/s41467-025-62605-0" TargetMode="External"/><Relationship Id="rId60" Type="http://schemas.openxmlformats.org/officeDocument/2006/relationships/hyperlink" Target="https://doi.org/10.1038/s41467-025-62605-0" TargetMode="External"/><Relationship Id="rId65" Type="http://schemas.openxmlformats.org/officeDocument/2006/relationships/hyperlink" Target="https://doi.org/10.1021/acssensors.9b00569" TargetMode="External"/><Relationship Id="rId73" Type="http://schemas.openxmlformats.org/officeDocument/2006/relationships/hyperlink" Target="https://doi.org/10.1038/s41467-025-61358-0" TargetMode="External"/><Relationship Id="rId78" Type="http://schemas.openxmlformats.org/officeDocument/2006/relationships/hyperlink" Target="https://doi.org/10.1016/j.bpj.2024.11.3322" TargetMode="External"/><Relationship Id="rId8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i.org/10.1021/acssensors.9b00569" TargetMode="External"/><Relationship Id="rId13" Type="http://schemas.openxmlformats.org/officeDocument/2006/relationships/hyperlink" Target="https://doi.org/10.1038/emboj.2009.340" TargetMode="External"/><Relationship Id="rId18" Type="http://schemas.openxmlformats.org/officeDocument/2006/relationships/hyperlink" Target="https://doi.org/10.1021/acssensors.9b00569" TargetMode="External"/><Relationship Id="rId39" Type="http://schemas.openxmlformats.org/officeDocument/2006/relationships/hyperlink" Target="https://doi.org/10.1038/s41467-025-66160-6" TargetMode="External"/><Relationship Id="rId34" Type="http://schemas.openxmlformats.org/officeDocument/2006/relationships/hyperlink" Target="https://doi.org/10.1038/s41467-025-62605-0" TargetMode="External"/><Relationship Id="rId50" Type="http://schemas.openxmlformats.org/officeDocument/2006/relationships/hyperlink" Target="https://doi.org/10.1038/nmeth.3257" TargetMode="External"/><Relationship Id="rId55" Type="http://schemas.openxmlformats.org/officeDocument/2006/relationships/hyperlink" Target="https://doi.org/10.1021/acssensors.9b00569" TargetMode="External"/><Relationship Id="rId76" Type="http://schemas.openxmlformats.org/officeDocument/2006/relationships/hyperlink" Target="https://doi.org/10.1016/j.cell.2016.04.047" TargetMode="External"/><Relationship Id="rId7" Type="http://schemas.openxmlformats.org/officeDocument/2006/relationships/hyperlink" Target="https://doi.org/10.1038/emboj.2009.340" TargetMode="External"/><Relationship Id="rId71" Type="http://schemas.openxmlformats.org/officeDocument/2006/relationships/hyperlink" Target="https://doi.org/10.1038/s41467-024-54120-5" TargetMode="External"/><Relationship Id="rId2" Type="http://schemas.openxmlformats.org/officeDocument/2006/relationships/styles" Target="styles.xml"/><Relationship Id="rId29" Type="http://schemas.openxmlformats.org/officeDocument/2006/relationships/hyperlink" Target="https://doi.org/10.7554/eLife.33125" TargetMode="External"/><Relationship Id="rId24" Type="http://schemas.openxmlformats.org/officeDocument/2006/relationships/hyperlink" Target="https://doi.org/10.1088/0953-8984/27/6/064115" TargetMode="External"/><Relationship Id="rId40" Type="http://schemas.openxmlformats.org/officeDocument/2006/relationships/hyperlink" Target="https://doi.org/10.1038/emboj.2009.340" TargetMode="External"/><Relationship Id="rId45" Type="http://schemas.openxmlformats.org/officeDocument/2006/relationships/hyperlink" Target="https://doi.org/10.1038/s41467-024-54120-5" TargetMode="External"/><Relationship Id="rId66" Type="http://schemas.openxmlformats.org/officeDocument/2006/relationships/hyperlink" Target="https://doi.org/10.1038/emboj.2009.3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2650</Words>
  <Characters>17040</Characters>
  <Application>Microsoft Office Word</Application>
  <DocSecurity>0</DocSecurity>
  <Lines>298</Lines>
  <Paragraphs>92</Paragraphs>
  <ScaleCrop>false</ScaleCrop>
  <Company/>
  <LinksUpToDate>false</LinksUpToDate>
  <CharactersWithSpaces>19597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Nuclear Macromolecular Crowding: Accessibility, Association and Spatial Organization</dc:title>
  <dc:subject>How chromatin, volume and molecular interactions shape the nuclear reaction environment</dc:subject>
  <dc:creator>CellNucleus</dc:creator>
  <dc:description>Current source-based review with a matching webpage edition.</dc:description>
  <cp:lastModifiedBy>Michael Hendzel</cp:lastModifiedBy>
  <cp:revision>2</cp:revision>
  <dcterms:created xsi:type="dcterms:W3CDTF">2026-10-12T09:31:00Z</dcterms:created>
  <dcterms:modified xsi:type="dcterms:W3CDTF">2026-10-12T09:32:00Z</dcterms:modified>
</cp:coreProperties>
</file>