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F997D" w14:textId="77777777" w:rsidR="000D44A8" w:rsidRDefault="0021533B">
      <w:pPr>
        <w:pStyle w:val="Title"/>
      </w:pPr>
      <w:r>
        <w:t>The Nuclear Envelope: Membranes, Genome Coupling and Regulated Remodeling</w:t>
      </w:r>
    </w:p>
    <w:p w14:paraId="2300339E" w14:textId="77777777" w:rsidR="000D44A8" w:rsidRDefault="0021533B">
      <w:pPr>
        <w:pStyle w:val="Subtitle"/>
      </w:pPr>
      <w:r>
        <w:t>A complete current synthesis of boundary structure and function</w:t>
      </w:r>
    </w:p>
    <w:p w14:paraId="59C8FAC1" w14:textId="77777777" w:rsidR="000D44A8" w:rsidRDefault="0021533B">
      <w:pPr>
        <w:spacing w:before="200" w:after="320"/>
      </w:pPr>
      <w:r>
        <w:rPr>
          <w:color w:val="087B78"/>
          <w:sz w:val="20"/>
          <w:szCs w:val="20"/>
        </w:rPr>
        <w:t>CellNucleus · Current research review · 12 October 2026</w:t>
      </w:r>
    </w:p>
    <w:p w14:paraId="0E48AD76" w14:textId="77777777" w:rsidR="000D44A8" w:rsidRDefault="0021533B">
      <w:pPr>
        <w:pStyle w:val="Heading1"/>
      </w:pPr>
      <w:bookmarkStart w:id="0" w:name="_Toc242668366"/>
      <w:r>
        <w:t>Abstract</w:t>
      </w:r>
      <w:bookmarkEnd w:id="0"/>
    </w:p>
    <w:p w14:paraId="15333833" w14:textId="53F87338" w:rsidR="000D44A8" w:rsidRDefault="0021533B">
      <w:r>
        <w:t>The nuclear envelope establishes a regulated boundary through paired membranes, nuclear pore complexes and associated proteins that connect the boundary to chromatin and the cytoskeleton. Its functions include selective molecular exchange, genome positioning and resistance to mechanical deformation. It also undergoes coordinated remodeling during pore assembly, cell division and repair after rupture. These functions require distinct molecular mechanisms and experimental readouts; nuclear shape or one transp</w:t>
      </w:r>
      <w:r>
        <w:t>ort reporter cannot establish all of them.</w:t>
      </w:r>
      <w:hyperlink r:id="rId7" w:history="1">
        <w:r>
          <w:rPr>
            <w:color w:val="087B78"/>
            <w:sz w:val="18"/>
            <w:szCs w:val="18"/>
          </w:rPr>
          <w:t xml:space="preserve"> [1]</w:t>
        </w:r>
      </w:hyperlink>
      <w:hyperlink r:id="rId8" w:history="1">
        <w:r>
          <w:rPr>
            <w:color w:val="087B78"/>
            <w:sz w:val="18"/>
            <w:szCs w:val="18"/>
          </w:rPr>
          <w:t xml:space="preserve"> [2]</w:t>
        </w:r>
      </w:hyperlink>
      <w:hyperlink r:id="rId9" w:history="1">
        <w:r>
          <w:rPr>
            <w:color w:val="087B78"/>
            <w:sz w:val="18"/>
            <w:szCs w:val="18"/>
          </w:rPr>
          <w:t xml:space="preserve"> [3]</w:t>
        </w:r>
      </w:hyperlink>
      <w:hyperlink r:id="rId10" w:history="1">
        <w:r>
          <w:rPr>
            <w:color w:val="087B78"/>
            <w:sz w:val="18"/>
            <w:szCs w:val="18"/>
          </w:rPr>
          <w:t xml:space="preserve"> [4]</w:t>
        </w:r>
      </w:hyperlink>
      <w:hyperlink r:id="rId11" w:history="1">
        <w:r>
          <w:rPr>
            <w:color w:val="087B78"/>
            <w:sz w:val="18"/>
            <w:szCs w:val="18"/>
          </w:rPr>
          <w:t xml:space="preserve"> [5]</w:t>
        </w:r>
      </w:hyperlink>
      <w:hyperlink r:id="rId12" w:history="1">
        <w:r>
          <w:rPr>
            <w:color w:val="087B78"/>
            <w:sz w:val="18"/>
            <w:szCs w:val="18"/>
          </w:rPr>
          <w:t xml:space="preserve"> [6]</w:t>
        </w:r>
      </w:hyperlink>
      <w:hyperlink r:id="rId13" w:history="1">
        <w:r>
          <w:rPr>
            <w:color w:val="087B78"/>
            <w:sz w:val="18"/>
            <w:szCs w:val="18"/>
          </w:rPr>
          <w:t xml:space="preserve"> [7]</w:t>
        </w:r>
      </w:hyperlink>
    </w:p>
    <w:p w14:paraId="68FFB612" w14:textId="34BAB75B" w:rsidR="000D44A8" w:rsidRDefault="0021533B">
      <w:r>
        <w:t>Current primary research links envelope behavior to pore plasticity, pressure-driven flow and redundant chromatin tethers. These developments refine older descriptions of a stable nuclear shell by showing that geometry, composition and coupling can vary with biological state. This review integrates the evidence from molecular architecture through regulatory consequences, retaining the distinction between structural association, causal perturbation and mechanistic interpretation.</w:t>
      </w:r>
      <w:hyperlink r:id="rId14" w:history="1">
        <w:r>
          <w:rPr>
            <w:color w:val="087B78"/>
            <w:sz w:val="18"/>
            <w:szCs w:val="18"/>
          </w:rPr>
          <w:t xml:space="preserve"> [8]</w:t>
        </w:r>
      </w:hyperlink>
      <w:hyperlink r:id="rId15" w:history="1">
        <w:r>
          <w:rPr>
            <w:color w:val="087B78"/>
            <w:sz w:val="18"/>
            <w:szCs w:val="18"/>
          </w:rPr>
          <w:t xml:space="preserve"> [9]</w:t>
        </w:r>
      </w:hyperlink>
      <w:hyperlink r:id="rId16" w:history="1">
        <w:r>
          <w:rPr>
            <w:color w:val="087B78"/>
            <w:sz w:val="18"/>
            <w:szCs w:val="18"/>
          </w:rPr>
          <w:t xml:space="preserve"> [7]</w:t>
        </w:r>
      </w:hyperlink>
      <w:hyperlink r:id="rId17" w:history="1">
        <w:r>
          <w:rPr>
            <w:color w:val="087B78"/>
            <w:sz w:val="18"/>
            <w:szCs w:val="18"/>
          </w:rPr>
          <w:t xml:space="preserve"> [10]</w:t>
        </w:r>
      </w:hyperlink>
      <w:hyperlink r:id="rId18" w:history="1">
        <w:r>
          <w:rPr>
            <w:color w:val="087B78"/>
            <w:sz w:val="18"/>
            <w:szCs w:val="18"/>
          </w:rPr>
          <w:t xml:space="preserve"> [11]</w:t>
        </w:r>
      </w:hyperlink>
    </w:p>
    <w:p w14:paraId="34F8BD90" w14:textId="77777777" w:rsidR="000D44A8" w:rsidRDefault="0021533B">
      <w:pPr>
        <w:pageBreakBefore/>
        <w:spacing w:before="330"/>
      </w:pPr>
      <w:r>
        <w:rPr>
          <w:b/>
          <w:bCs/>
          <w:color w:val="173B4C"/>
          <w:sz w:val="32"/>
          <w:szCs w:val="32"/>
        </w:rPr>
        <w:lastRenderedPageBreak/>
        <w:t>Contents</w:t>
      </w:r>
    </w:p>
    <w:sdt>
      <w:sdtPr>
        <w:alias w:val="Contents"/>
        <w:id w:val="1192024516"/>
      </w:sdtPr>
      <w:sdtEndPr/>
      <w:sdtContent>
        <w:p w14:paraId="3A53731A" w14:textId="35F61435" w:rsidR="00CD1D51" w:rsidRDefault="0021533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68366" w:history="1">
            <w:r w:rsidR="00CD1D51" w:rsidRPr="00BA56F7">
              <w:rPr>
                <w:rStyle w:val="Hyperlink"/>
                <w:noProof/>
              </w:rPr>
              <w:t>Abstract</w:t>
            </w:r>
            <w:r w:rsidR="00CD1D51">
              <w:rPr>
                <w:noProof/>
              </w:rPr>
              <w:tab/>
            </w:r>
            <w:r w:rsidR="00CD1D51">
              <w:rPr>
                <w:noProof/>
              </w:rPr>
              <w:fldChar w:fldCharType="begin"/>
            </w:r>
            <w:r w:rsidR="00CD1D51">
              <w:rPr>
                <w:noProof/>
              </w:rPr>
              <w:instrText xml:space="preserve"> PAGEREF _Toc242668366 \h </w:instrText>
            </w:r>
            <w:r w:rsidR="00CD1D51">
              <w:rPr>
                <w:noProof/>
              </w:rPr>
            </w:r>
            <w:r w:rsidR="00CD1D51">
              <w:rPr>
                <w:noProof/>
              </w:rPr>
              <w:fldChar w:fldCharType="separate"/>
            </w:r>
            <w:r w:rsidR="00CD1D51">
              <w:rPr>
                <w:noProof/>
              </w:rPr>
              <w:t>1</w:t>
            </w:r>
            <w:r w:rsidR="00CD1D51">
              <w:rPr>
                <w:noProof/>
              </w:rPr>
              <w:fldChar w:fldCharType="end"/>
            </w:r>
          </w:hyperlink>
        </w:p>
        <w:p w14:paraId="2E73756D" w14:textId="7BF99D12" w:rsidR="00CD1D51" w:rsidRDefault="00CD1D5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7" w:history="1">
            <w:r w:rsidRPr="00BA56F7">
              <w:rPr>
                <w:rStyle w:val="Hyperlink"/>
                <w:noProof/>
              </w:rPr>
              <w:t>1. A boundary with several connected structures</w:t>
            </w:r>
            <w:r>
              <w:rPr>
                <w:noProof/>
              </w:rPr>
              <w:tab/>
            </w:r>
            <w:r>
              <w:rPr>
                <w:noProof/>
              </w:rPr>
              <w:fldChar w:fldCharType="begin"/>
            </w:r>
            <w:r>
              <w:rPr>
                <w:noProof/>
              </w:rPr>
              <w:instrText xml:space="preserve"> PAGEREF _Toc242668367 \h </w:instrText>
            </w:r>
            <w:r>
              <w:rPr>
                <w:noProof/>
              </w:rPr>
            </w:r>
            <w:r>
              <w:rPr>
                <w:noProof/>
              </w:rPr>
              <w:fldChar w:fldCharType="separate"/>
            </w:r>
            <w:r>
              <w:rPr>
                <w:noProof/>
              </w:rPr>
              <w:t>2</w:t>
            </w:r>
            <w:r>
              <w:rPr>
                <w:noProof/>
              </w:rPr>
              <w:fldChar w:fldCharType="end"/>
            </w:r>
          </w:hyperlink>
        </w:p>
        <w:p w14:paraId="1E6CAD4B" w14:textId="08F18565" w:rsidR="00CD1D51" w:rsidRDefault="00CD1D5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8" w:history="1">
            <w:r w:rsidRPr="00BA56F7">
              <w:rPr>
                <w:rStyle w:val="Hyperlink"/>
                <w:noProof/>
              </w:rPr>
              <w:t>2. Selective exchange involves multiple pathways</w:t>
            </w:r>
            <w:r>
              <w:rPr>
                <w:noProof/>
              </w:rPr>
              <w:tab/>
            </w:r>
            <w:r>
              <w:rPr>
                <w:noProof/>
              </w:rPr>
              <w:fldChar w:fldCharType="begin"/>
            </w:r>
            <w:r>
              <w:rPr>
                <w:noProof/>
              </w:rPr>
              <w:instrText xml:space="preserve"> PAGEREF _Toc242668368 \h </w:instrText>
            </w:r>
            <w:r>
              <w:rPr>
                <w:noProof/>
              </w:rPr>
            </w:r>
            <w:r>
              <w:rPr>
                <w:noProof/>
              </w:rPr>
              <w:fldChar w:fldCharType="separate"/>
            </w:r>
            <w:r>
              <w:rPr>
                <w:noProof/>
              </w:rPr>
              <w:t>3</w:t>
            </w:r>
            <w:r>
              <w:rPr>
                <w:noProof/>
              </w:rPr>
              <w:fldChar w:fldCharType="end"/>
            </w:r>
          </w:hyperlink>
        </w:p>
        <w:p w14:paraId="4A40CFCA" w14:textId="267B8626" w:rsidR="00CD1D51" w:rsidRDefault="00CD1D5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9" w:history="1">
            <w:r w:rsidRPr="00BA56F7">
              <w:rPr>
                <w:rStyle w:val="Hyperlink"/>
                <w:noProof/>
              </w:rPr>
              <w:t>3. Building a pore through an existing envelope</w:t>
            </w:r>
            <w:r>
              <w:rPr>
                <w:noProof/>
              </w:rPr>
              <w:tab/>
            </w:r>
            <w:r>
              <w:rPr>
                <w:noProof/>
              </w:rPr>
              <w:fldChar w:fldCharType="begin"/>
            </w:r>
            <w:r>
              <w:rPr>
                <w:noProof/>
              </w:rPr>
              <w:instrText xml:space="preserve"> PAGEREF _Toc242668369 \h </w:instrText>
            </w:r>
            <w:r>
              <w:rPr>
                <w:noProof/>
              </w:rPr>
            </w:r>
            <w:r>
              <w:rPr>
                <w:noProof/>
              </w:rPr>
              <w:fldChar w:fldCharType="separate"/>
            </w:r>
            <w:r>
              <w:rPr>
                <w:noProof/>
              </w:rPr>
              <w:t>3</w:t>
            </w:r>
            <w:r>
              <w:rPr>
                <w:noProof/>
              </w:rPr>
              <w:fldChar w:fldCharType="end"/>
            </w:r>
          </w:hyperlink>
        </w:p>
        <w:p w14:paraId="33706568" w14:textId="0FF35438" w:rsidR="00CD1D51" w:rsidRDefault="00CD1D5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0" w:history="1">
            <w:r w:rsidRPr="00BA56F7">
              <w:rPr>
                <w:rStyle w:val="Hyperlink"/>
                <w:noProof/>
              </w:rPr>
              <w:t>4. Restoring a sealed envelope after mitosis</w:t>
            </w:r>
            <w:r>
              <w:rPr>
                <w:noProof/>
              </w:rPr>
              <w:tab/>
            </w:r>
            <w:r>
              <w:rPr>
                <w:noProof/>
              </w:rPr>
              <w:fldChar w:fldCharType="begin"/>
            </w:r>
            <w:r>
              <w:rPr>
                <w:noProof/>
              </w:rPr>
              <w:instrText xml:space="preserve"> PAGEREF _Toc242668370 \h </w:instrText>
            </w:r>
            <w:r>
              <w:rPr>
                <w:noProof/>
              </w:rPr>
            </w:r>
            <w:r>
              <w:rPr>
                <w:noProof/>
              </w:rPr>
              <w:fldChar w:fldCharType="separate"/>
            </w:r>
            <w:r>
              <w:rPr>
                <w:noProof/>
              </w:rPr>
              <w:t>3</w:t>
            </w:r>
            <w:r>
              <w:rPr>
                <w:noProof/>
              </w:rPr>
              <w:fldChar w:fldCharType="end"/>
            </w:r>
          </w:hyperlink>
        </w:p>
        <w:p w14:paraId="79EF0545" w14:textId="697622CA" w:rsidR="00CD1D51" w:rsidRDefault="00CD1D5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1" w:history="1">
            <w:r w:rsidRPr="00BA56F7">
              <w:rPr>
                <w:rStyle w:val="Hyperlink"/>
                <w:noProof/>
              </w:rPr>
              <w:t>5. Inner-membrane proteins position chromatin</w:t>
            </w:r>
            <w:r>
              <w:rPr>
                <w:noProof/>
              </w:rPr>
              <w:tab/>
            </w:r>
            <w:r>
              <w:rPr>
                <w:noProof/>
              </w:rPr>
              <w:fldChar w:fldCharType="begin"/>
            </w:r>
            <w:r>
              <w:rPr>
                <w:noProof/>
              </w:rPr>
              <w:instrText xml:space="preserve"> PAGEREF _Toc242668371 \h </w:instrText>
            </w:r>
            <w:r>
              <w:rPr>
                <w:noProof/>
              </w:rPr>
            </w:r>
            <w:r>
              <w:rPr>
                <w:noProof/>
              </w:rPr>
              <w:fldChar w:fldCharType="separate"/>
            </w:r>
            <w:r>
              <w:rPr>
                <w:noProof/>
              </w:rPr>
              <w:t>4</w:t>
            </w:r>
            <w:r>
              <w:rPr>
                <w:noProof/>
              </w:rPr>
              <w:fldChar w:fldCharType="end"/>
            </w:r>
          </w:hyperlink>
        </w:p>
        <w:p w14:paraId="61AA14A3" w14:textId="4414874B" w:rsidR="00CD1D51" w:rsidRDefault="00CD1D5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2" w:history="1">
            <w:r w:rsidRPr="00BA56F7">
              <w:rPr>
                <w:rStyle w:val="Hyperlink"/>
                <w:noProof/>
              </w:rPr>
              <w:t>6. Mechanical coupling joins the boundary to the cell</w:t>
            </w:r>
            <w:r>
              <w:rPr>
                <w:noProof/>
              </w:rPr>
              <w:tab/>
            </w:r>
            <w:r>
              <w:rPr>
                <w:noProof/>
              </w:rPr>
              <w:fldChar w:fldCharType="begin"/>
            </w:r>
            <w:r>
              <w:rPr>
                <w:noProof/>
              </w:rPr>
              <w:instrText xml:space="preserve"> PAGEREF _Toc242668372 \h </w:instrText>
            </w:r>
            <w:r>
              <w:rPr>
                <w:noProof/>
              </w:rPr>
            </w:r>
            <w:r>
              <w:rPr>
                <w:noProof/>
              </w:rPr>
              <w:fldChar w:fldCharType="separate"/>
            </w:r>
            <w:r>
              <w:rPr>
                <w:noProof/>
              </w:rPr>
              <w:t>4</w:t>
            </w:r>
            <w:r>
              <w:rPr>
                <w:noProof/>
              </w:rPr>
              <w:fldChar w:fldCharType="end"/>
            </w:r>
          </w:hyperlink>
        </w:p>
        <w:p w14:paraId="54E692B2" w14:textId="58C49187" w:rsidR="00CD1D51" w:rsidRDefault="00CD1D5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3" w:history="1">
            <w:r w:rsidRPr="00BA56F7">
              <w:rPr>
                <w:rStyle w:val="Hyperlink"/>
                <w:noProof/>
              </w:rPr>
              <w:t>7. Pore geometry is responsive rather than invariant</w:t>
            </w:r>
            <w:r>
              <w:rPr>
                <w:noProof/>
              </w:rPr>
              <w:tab/>
            </w:r>
            <w:r>
              <w:rPr>
                <w:noProof/>
              </w:rPr>
              <w:fldChar w:fldCharType="begin"/>
            </w:r>
            <w:r>
              <w:rPr>
                <w:noProof/>
              </w:rPr>
              <w:instrText xml:space="preserve"> PAGEREF _Toc242668373 \h </w:instrText>
            </w:r>
            <w:r>
              <w:rPr>
                <w:noProof/>
              </w:rPr>
            </w:r>
            <w:r>
              <w:rPr>
                <w:noProof/>
              </w:rPr>
              <w:fldChar w:fldCharType="separate"/>
            </w:r>
            <w:r>
              <w:rPr>
                <w:noProof/>
              </w:rPr>
              <w:t>5</w:t>
            </w:r>
            <w:r>
              <w:rPr>
                <w:noProof/>
              </w:rPr>
              <w:fldChar w:fldCharType="end"/>
            </w:r>
          </w:hyperlink>
        </w:p>
        <w:p w14:paraId="2C969C91" w14:textId="62456D7A" w:rsidR="00CD1D51" w:rsidRDefault="00CD1D5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4" w:history="1">
            <w:r w:rsidRPr="00BA56F7">
              <w:rPr>
                <w:rStyle w:val="Hyperlink"/>
                <w:noProof/>
              </w:rPr>
              <w:t>8. Rupture, resealing and genome consequences</w:t>
            </w:r>
            <w:r>
              <w:rPr>
                <w:noProof/>
              </w:rPr>
              <w:tab/>
            </w:r>
            <w:r>
              <w:rPr>
                <w:noProof/>
              </w:rPr>
              <w:fldChar w:fldCharType="begin"/>
            </w:r>
            <w:r>
              <w:rPr>
                <w:noProof/>
              </w:rPr>
              <w:instrText xml:space="preserve"> PAGEREF _Toc242668374 \h </w:instrText>
            </w:r>
            <w:r>
              <w:rPr>
                <w:noProof/>
              </w:rPr>
            </w:r>
            <w:r>
              <w:rPr>
                <w:noProof/>
              </w:rPr>
              <w:fldChar w:fldCharType="separate"/>
            </w:r>
            <w:r>
              <w:rPr>
                <w:noProof/>
              </w:rPr>
              <w:t>6</w:t>
            </w:r>
            <w:r>
              <w:rPr>
                <w:noProof/>
              </w:rPr>
              <w:fldChar w:fldCharType="end"/>
            </w:r>
          </w:hyperlink>
        </w:p>
        <w:p w14:paraId="290141B7" w14:textId="515E6615" w:rsidR="00CD1D51" w:rsidRDefault="00CD1D5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5" w:history="1">
            <w:r w:rsidRPr="00BA56F7">
              <w:rPr>
                <w:rStyle w:val="Hyperlink"/>
                <w:noProof/>
              </w:rPr>
              <w:t>9. Distinguishing envelope phenotypes experimentally</w:t>
            </w:r>
            <w:r>
              <w:rPr>
                <w:noProof/>
              </w:rPr>
              <w:tab/>
            </w:r>
            <w:r>
              <w:rPr>
                <w:noProof/>
              </w:rPr>
              <w:fldChar w:fldCharType="begin"/>
            </w:r>
            <w:r>
              <w:rPr>
                <w:noProof/>
              </w:rPr>
              <w:instrText xml:space="preserve"> PAGEREF _Toc242668375 \h </w:instrText>
            </w:r>
            <w:r>
              <w:rPr>
                <w:noProof/>
              </w:rPr>
            </w:r>
            <w:r>
              <w:rPr>
                <w:noProof/>
              </w:rPr>
              <w:fldChar w:fldCharType="separate"/>
            </w:r>
            <w:r>
              <w:rPr>
                <w:noProof/>
              </w:rPr>
              <w:t>6</w:t>
            </w:r>
            <w:r>
              <w:rPr>
                <w:noProof/>
              </w:rPr>
              <w:fldChar w:fldCharType="end"/>
            </w:r>
          </w:hyperlink>
        </w:p>
        <w:p w14:paraId="3042D78F" w14:textId="009BAA98" w:rsidR="00CD1D51" w:rsidRDefault="00CD1D5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6" w:history="1">
            <w:r w:rsidRPr="00BA56F7">
              <w:rPr>
                <w:rStyle w:val="Hyperlink"/>
                <w:noProof/>
              </w:rPr>
              <w:t>10. Current synthesis</w:t>
            </w:r>
            <w:r>
              <w:rPr>
                <w:noProof/>
              </w:rPr>
              <w:tab/>
            </w:r>
            <w:r>
              <w:rPr>
                <w:noProof/>
              </w:rPr>
              <w:fldChar w:fldCharType="begin"/>
            </w:r>
            <w:r>
              <w:rPr>
                <w:noProof/>
              </w:rPr>
              <w:instrText xml:space="preserve"> PAGEREF _Toc242668376 \h </w:instrText>
            </w:r>
            <w:r>
              <w:rPr>
                <w:noProof/>
              </w:rPr>
            </w:r>
            <w:r>
              <w:rPr>
                <w:noProof/>
              </w:rPr>
              <w:fldChar w:fldCharType="separate"/>
            </w:r>
            <w:r>
              <w:rPr>
                <w:noProof/>
              </w:rPr>
              <w:t>7</w:t>
            </w:r>
            <w:r>
              <w:rPr>
                <w:noProof/>
              </w:rPr>
              <w:fldChar w:fldCharType="end"/>
            </w:r>
          </w:hyperlink>
        </w:p>
        <w:p w14:paraId="0F5446C5" w14:textId="77E14A56" w:rsidR="00CD1D51" w:rsidRDefault="00CD1D5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7" w:history="1">
            <w:r w:rsidRPr="00BA56F7">
              <w:rPr>
                <w:rStyle w:val="Hyperlink"/>
                <w:noProof/>
              </w:rPr>
              <w:t>References</w:t>
            </w:r>
            <w:r>
              <w:rPr>
                <w:noProof/>
              </w:rPr>
              <w:tab/>
            </w:r>
            <w:r>
              <w:rPr>
                <w:noProof/>
              </w:rPr>
              <w:fldChar w:fldCharType="begin"/>
            </w:r>
            <w:r>
              <w:rPr>
                <w:noProof/>
              </w:rPr>
              <w:instrText xml:space="preserve"> PAGEREF _Toc242668377 \h </w:instrText>
            </w:r>
            <w:r>
              <w:rPr>
                <w:noProof/>
              </w:rPr>
            </w:r>
            <w:r>
              <w:rPr>
                <w:noProof/>
              </w:rPr>
              <w:fldChar w:fldCharType="separate"/>
            </w:r>
            <w:r>
              <w:rPr>
                <w:noProof/>
              </w:rPr>
              <w:t>7</w:t>
            </w:r>
            <w:r>
              <w:rPr>
                <w:noProof/>
              </w:rPr>
              <w:fldChar w:fldCharType="end"/>
            </w:r>
          </w:hyperlink>
        </w:p>
        <w:p w14:paraId="2F2BA16D" w14:textId="70A6273C" w:rsidR="00CD1D51" w:rsidRDefault="00CD1D5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8" w:history="1">
            <w:r w:rsidRPr="00BA56F7">
              <w:rPr>
                <w:rStyle w:val="Hyperlink"/>
                <w:noProof/>
              </w:rPr>
              <w:t>Evidence scope</w:t>
            </w:r>
            <w:r>
              <w:rPr>
                <w:noProof/>
              </w:rPr>
              <w:tab/>
            </w:r>
            <w:r>
              <w:rPr>
                <w:noProof/>
              </w:rPr>
              <w:fldChar w:fldCharType="begin"/>
            </w:r>
            <w:r>
              <w:rPr>
                <w:noProof/>
              </w:rPr>
              <w:instrText xml:space="preserve"> PAGEREF _Toc242668378 \h </w:instrText>
            </w:r>
            <w:r>
              <w:rPr>
                <w:noProof/>
              </w:rPr>
            </w:r>
            <w:r>
              <w:rPr>
                <w:noProof/>
              </w:rPr>
              <w:fldChar w:fldCharType="separate"/>
            </w:r>
            <w:r>
              <w:rPr>
                <w:noProof/>
              </w:rPr>
              <w:t>9</w:t>
            </w:r>
            <w:r>
              <w:rPr>
                <w:noProof/>
              </w:rPr>
              <w:fldChar w:fldCharType="end"/>
            </w:r>
          </w:hyperlink>
        </w:p>
        <w:p w14:paraId="4CA4D40B" w14:textId="37DC8C5E" w:rsidR="000D44A8" w:rsidRDefault="0021533B">
          <w:r>
            <w:fldChar w:fldCharType="end"/>
          </w:r>
        </w:p>
      </w:sdtContent>
    </w:sdt>
    <w:p w14:paraId="6A678B67" w14:textId="77777777" w:rsidR="000D44A8" w:rsidRDefault="0021533B">
      <w:pPr>
        <w:pStyle w:val="Heading1"/>
      </w:pPr>
      <w:bookmarkStart w:id="1" w:name="_Toc242668367"/>
      <w:r>
        <w:t>1. A boundary with several connected structures</w:t>
      </w:r>
      <w:bookmarkEnd w:id="1"/>
    </w:p>
    <w:p w14:paraId="215BCD5B" w14:textId="79999061" w:rsidR="000D44A8" w:rsidRDefault="0021533B">
      <w:r>
        <w:t>The inner and outer nuclear membranes enclose a perinuclear space, with the outer membrane continuous with the endoplasmic reticulum. Nuclear pores cross the boundary at membrane junctions, while inner-membrane proteins associate with lamins and chromatin. Crisp and colleagues showed how SUN proteins and nesprin 2 contribute to a bridge spanning the perinuclear space, supporting the LINC-complex model. This organization permits selective exchange and mechanical communication to coexist. It should not be und</w:t>
      </w:r>
      <w:r>
        <w:t>erstood as a homogeneous shell: each molecular interface can contribute differently to localization, force transmission and membrane remodeling.</w:t>
      </w:r>
      <w:hyperlink r:id="rId19" w:history="1">
        <w:r>
          <w:rPr>
            <w:color w:val="087B78"/>
            <w:sz w:val="18"/>
            <w:szCs w:val="18"/>
          </w:rPr>
          <w:t xml:space="preserve"> [1]</w:t>
        </w:r>
      </w:hyperlink>
      <w:hyperlink r:id="rId20" w:history="1">
        <w:r>
          <w:rPr>
            <w:color w:val="087B78"/>
            <w:sz w:val="18"/>
            <w:szCs w:val="18"/>
          </w:rPr>
          <w:t xml:space="preserve"> [2]</w:t>
        </w:r>
      </w:hyperlink>
      <w:hyperlink r:id="rId21" w:history="1">
        <w:r>
          <w:rPr>
            <w:color w:val="087B78"/>
            <w:sz w:val="18"/>
            <w:szCs w:val="18"/>
          </w:rPr>
          <w:t xml:space="preserve"> [12]</w:t>
        </w:r>
      </w:hyperlink>
    </w:p>
    <w:p w14:paraId="59E1D4DA" w14:textId="01A5DF8A" w:rsidR="000D44A8" w:rsidRDefault="0021533B">
      <w:r>
        <w:t>Structural methods resolve different parts of that organization. Lamin cryo-electron analysis identifies filament arrangement in a prepared specimen, while NPC structural studies resolve scaffold and channel architecture. These images establish the presence and arrangement of components at the boundary, but they do not alone measure membrane tension, pore permeability or tether strength. A complete functional account needs perturbation and dynamic assays in addition to architecture. This distinction is espe</w:t>
      </w:r>
      <w:r>
        <w:t>cially important when a structural dimension from one specimen is used to predict transport or mechanics in another cell state.</w:t>
      </w:r>
      <w:hyperlink r:id="rId22" w:history="1">
        <w:r>
          <w:rPr>
            <w:color w:val="087B78"/>
            <w:sz w:val="18"/>
            <w:szCs w:val="18"/>
          </w:rPr>
          <w:t xml:space="preserve"> [12]</w:t>
        </w:r>
      </w:hyperlink>
      <w:hyperlink r:id="rId23" w:history="1">
        <w:r>
          <w:rPr>
            <w:color w:val="087B78"/>
            <w:sz w:val="18"/>
            <w:szCs w:val="18"/>
          </w:rPr>
          <w:t xml:space="preserve"> [2]</w:t>
        </w:r>
      </w:hyperlink>
      <w:hyperlink r:id="rId24" w:history="1">
        <w:r>
          <w:rPr>
            <w:color w:val="087B78"/>
            <w:sz w:val="18"/>
            <w:szCs w:val="18"/>
          </w:rPr>
          <w:t xml:space="preserve"> [13]</w:t>
        </w:r>
      </w:hyperlink>
      <w:hyperlink r:id="rId25" w:history="1">
        <w:r>
          <w:rPr>
            <w:color w:val="087B78"/>
            <w:sz w:val="18"/>
            <w:szCs w:val="18"/>
          </w:rPr>
          <w:t xml:space="preserve"> [8]</w:t>
        </w:r>
      </w:hyperlink>
    </w:p>
    <w:p w14:paraId="47AFA342" w14:textId="77777777" w:rsidR="000D44A8" w:rsidRDefault="0021533B">
      <w:pPr>
        <w:pStyle w:val="Heading1"/>
      </w:pPr>
      <w:bookmarkStart w:id="2" w:name="_Toc242668368"/>
      <w:r>
        <w:lastRenderedPageBreak/>
        <w:t>2. Selective exchange involves multiple pathways</w:t>
      </w:r>
      <w:bookmarkEnd w:id="2"/>
    </w:p>
    <w:p w14:paraId="381702AE" w14:textId="047EEC86" w:rsidR="000D44A8" w:rsidRDefault="0021533B">
      <w:r>
        <w:t xml:space="preserve">Passive NPC exchange is graded for the tested reporters rather than governed by one universal molecular-mass cutoff. Timney and colleagues examined reporter passage in living yeast, while Mohr and colleagues probed the passive barrier using a different experimental preparation. Size, molecular properties, pathway and assay conditions therefore belong in the description of permeability. A fluorescent protein accumulating in the nucleus can also reflect binding or active import, so concentration alone is not </w:t>
      </w:r>
      <w:r>
        <w:t>a direct permeability measurement. Transport analysis should identify the cargo and follow exchange rates or pathway-specific perturbations.</w:t>
      </w:r>
      <w:hyperlink r:id="rId26" w:history="1">
        <w:r>
          <w:rPr>
            <w:color w:val="087B78"/>
            <w:sz w:val="18"/>
            <w:szCs w:val="18"/>
          </w:rPr>
          <w:t xml:space="preserve"> [14]</w:t>
        </w:r>
      </w:hyperlink>
      <w:hyperlink r:id="rId27" w:history="1">
        <w:r>
          <w:rPr>
            <w:color w:val="087B78"/>
            <w:sz w:val="18"/>
            <w:szCs w:val="18"/>
          </w:rPr>
          <w:t xml:space="preserve"> [15]</w:t>
        </w:r>
      </w:hyperlink>
      <w:hyperlink r:id="rId28" w:history="1">
        <w:r>
          <w:rPr>
            <w:color w:val="087B78"/>
            <w:sz w:val="18"/>
            <w:szCs w:val="18"/>
          </w:rPr>
          <w:t xml:space="preserve"> [3]</w:t>
        </w:r>
      </w:hyperlink>
    </w:p>
    <w:p w14:paraId="65CE8FAC" w14:textId="45204B89" w:rsidR="000D44A8" w:rsidRDefault="0021533B">
      <w:r>
        <w:t>The Ran system provides directional organization for important receptor-mediated import and export pathways, with the asymmetry demonstrated by Izaurralde and colleagues. mRNA export includes another mechanism, illustrated by the Dbp5 cycle regulated by Nup159 and Gle1 at the pore. These experiments show why transport cannot be described by a single energy requirement for every cargo. The envelope combines a physical channel with pathway-specific molecular cycles. Its selectivity emerges from the interactio</w:t>
      </w:r>
      <w:r>
        <w:t>ns and directional chemistry of the particular route, rather than from membrane enclosure alone.</w:t>
      </w:r>
      <w:hyperlink r:id="rId29" w:history="1">
        <w:r>
          <w:rPr>
            <w:color w:val="087B78"/>
            <w:sz w:val="18"/>
            <w:szCs w:val="18"/>
          </w:rPr>
          <w:t xml:space="preserve"> [3]</w:t>
        </w:r>
      </w:hyperlink>
      <w:hyperlink r:id="rId30" w:history="1">
        <w:r>
          <w:rPr>
            <w:color w:val="087B78"/>
            <w:sz w:val="18"/>
            <w:szCs w:val="18"/>
          </w:rPr>
          <w:t xml:space="preserve"> [16]</w:t>
        </w:r>
      </w:hyperlink>
    </w:p>
    <w:p w14:paraId="406A97BF" w14:textId="77777777" w:rsidR="000D44A8" w:rsidRDefault="0021533B">
      <w:pPr>
        <w:pStyle w:val="Heading1"/>
      </w:pPr>
      <w:bookmarkStart w:id="3" w:name="_Toc242668369"/>
      <w:r>
        <w:t>3. Building a pore through an existing envelope</w:t>
      </w:r>
      <w:bookmarkEnd w:id="3"/>
    </w:p>
    <w:p w14:paraId="544C4131" w14:textId="7B000DE3" w:rsidR="000D44A8" w:rsidRDefault="0021533B">
      <w:r>
        <w:t>Interphase NPC assembly must form a transport channel while maintaining the surrounding nuclear boundary. Otsuka and colleagues used correlative structural analysis to resolve intermediates consistent with an inside-out extrusion of the inner nuclear membrane during interphase assembly. This is a membrane-remodeling pathway distinct from rebuilding pores during postmitotic envelope formation. The observed intermediates and proposed sequence provide a mechanism to test, rather than a direct time-resolved vie</w:t>
      </w:r>
      <w:r>
        <w:t>w of every molecular step in every cell. A review of envelope dynamics should keep these assembly settings separate.</w:t>
      </w:r>
      <w:hyperlink r:id="rId31" w:history="1">
        <w:r>
          <w:rPr>
            <w:color w:val="087B78"/>
            <w:sz w:val="18"/>
            <w:szCs w:val="18"/>
          </w:rPr>
          <w:t xml:space="preserve"> [4]</w:t>
        </w:r>
      </w:hyperlink>
    </w:p>
    <w:p w14:paraId="0C6DE798" w14:textId="2A996F4F" w:rsidR="000D44A8" w:rsidRDefault="0021533B">
      <w:r>
        <w:t xml:space="preserve">Modern linker-scaffold and cytoplasmic-face models identify connections that maintain pore organization while allowing structural flexibility. This links the assembly question to the organization of an existing pore, but a finished structural model does not by itself identify the order of assembly. Likewise, successful localization of a nucleoporin does not prove that the resulting channel has normal selectivity. Measurements of pore recruitment, membrane geometry and transport competence therefore provide </w:t>
      </w:r>
      <w:r>
        <w:t>complementary stages of evidence. Their combination is more informative than treating a visible pore-like ring as sufficient proof of a completed functional channel.</w:t>
      </w:r>
      <w:hyperlink r:id="rId32" w:history="1">
        <w:r>
          <w:rPr>
            <w:color w:val="087B78"/>
            <w:sz w:val="18"/>
            <w:szCs w:val="18"/>
          </w:rPr>
          <w:t xml:space="preserve"> [13]</w:t>
        </w:r>
      </w:hyperlink>
      <w:hyperlink r:id="rId33" w:history="1">
        <w:r>
          <w:rPr>
            <w:color w:val="087B78"/>
            <w:sz w:val="18"/>
            <w:szCs w:val="18"/>
          </w:rPr>
          <w:t xml:space="preserve"> [17]</w:t>
        </w:r>
      </w:hyperlink>
      <w:hyperlink r:id="rId34" w:history="1">
        <w:r>
          <w:rPr>
            <w:color w:val="087B78"/>
            <w:sz w:val="18"/>
            <w:szCs w:val="18"/>
          </w:rPr>
          <w:t xml:space="preserve"> [4]</w:t>
        </w:r>
      </w:hyperlink>
      <w:hyperlink r:id="rId35" w:history="1">
        <w:r>
          <w:rPr>
            <w:color w:val="087B78"/>
            <w:sz w:val="18"/>
            <w:szCs w:val="18"/>
          </w:rPr>
          <w:t xml:space="preserve"> [14]</w:t>
        </w:r>
      </w:hyperlink>
    </w:p>
    <w:p w14:paraId="6F5A702F" w14:textId="77777777" w:rsidR="000D44A8" w:rsidRDefault="0021533B">
      <w:pPr>
        <w:pStyle w:val="Heading1"/>
      </w:pPr>
      <w:bookmarkStart w:id="4" w:name="_Toc242668370"/>
      <w:r>
        <w:t>4. Restoring a sealed envelope after mitosis</w:t>
      </w:r>
      <w:bookmarkEnd w:id="4"/>
    </w:p>
    <w:p w14:paraId="7B8E9D3A" w14:textId="269942D5" w:rsidR="000D44A8" w:rsidRDefault="0021533B">
      <w:r>
        <w:t xml:space="preserve">After chromosome segregation in open mitosis, membranes derived from the endoplasmic reticulum enclose daughter chromatin and remaining openings must be sealed. Olmos and colleagues identified ESCRT-III recruitment and a requirement for postmitotic compartmentalization in human cells, with CHMP2A, CHMP4B and UFD1 contributing to the </w:t>
      </w:r>
      <w:r>
        <w:lastRenderedPageBreak/>
        <w:t>examined mechanism. Membrane coverage and barrier function are related but distinct milestones: surrounding chromatin with membrane is not sufficient if residual openings continue to connect nuclear and cytoplasmic space. This separation makes localization and transport reporters useful partners for ultrastructural measurements.</w:t>
      </w:r>
      <w:hyperlink r:id="rId36" w:history="1">
        <w:r>
          <w:rPr>
            <w:color w:val="087B78"/>
            <w:sz w:val="18"/>
            <w:szCs w:val="18"/>
          </w:rPr>
          <w:t xml:space="preserve"> [5]</w:t>
        </w:r>
      </w:hyperlink>
    </w:p>
    <w:p w14:paraId="2932B87A" w14:textId="4DAE4577" w:rsidR="000D44A8" w:rsidRDefault="0021533B">
      <w:r>
        <w:t>The LEM2 study by von Appen and colleagues connected chromatin affinity, microtubule-directed condensation and CHMP7 activation during envelope reformation. Disrupting the examined functions compromised downstream ESCRT recruitment and nuclear integrity in human cells. The proposed ring-sealing mechanism links membranes, chromatin and spindle remnants at the reforming boundary. It is a specific molecular explanation supported by the study, rather than evidence that every envelope protein condenses through t</w:t>
      </w:r>
      <w:r>
        <w:t>he same mechanism or that interphase repair repeats the entire mitotic process.</w:t>
      </w:r>
      <w:hyperlink r:id="rId37" w:history="1">
        <w:r>
          <w:rPr>
            <w:color w:val="087B78"/>
            <w:sz w:val="18"/>
            <w:szCs w:val="18"/>
          </w:rPr>
          <w:t xml:space="preserve"> [18]</w:t>
        </w:r>
      </w:hyperlink>
      <w:hyperlink r:id="rId38" w:history="1">
        <w:r>
          <w:rPr>
            <w:color w:val="087B78"/>
            <w:sz w:val="18"/>
            <w:szCs w:val="18"/>
          </w:rPr>
          <w:t xml:space="preserve"> [5]</w:t>
        </w:r>
      </w:hyperlink>
    </w:p>
    <w:p w14:paraId="19DBE448" w14:textId="77777777" w:rsidR="000D44A8" w:rsidRDefault="0021533B">
      <w:pPr>
        <w:pStyle w:val="Heading1"/>
      </w:pPr>
      <w:bookmarkStart w:id="5" w:name="_Toc242668371"/>
      <w:r>
        <w:t>5. Inner-membrane proteins position chromatin</w:t>
      </w:r>
      <w:bookmarkEnd w:id="5"/>
    </w:p>
    <w:p w14:paraId="23D16E55" w14:textId="47DEB6D8" w:rsidR="000D44A8" w:rsidRDefault="0021533B">
      <w:r>
        <w:t>Guelen and colleagues mapped lamina-associated genomic domains in human fibroblasts, providing evidence that broad portions of the genome associate with the nuclear periphery and exhibit characteristic chromatin and expression features. The mapping identifies population-level association; it does not prove permanent contact or uniform repression of every locus. The accompanying corrigendum corrects the chromatin-mark identity and Methods provenance and is retained alongside the primary paper. Such associati</w:t>
      </w:r>
      <w:r>
        <w:t>on maps help define the genomic substrate for mechanistic experiments but should not be interpreted as measurements of every molecular attachment.</w:t>
      </w:r>
      <w:hyperlink r:id="rId39" w:history="1">
        <w:r>
          <w:rPr>
            <w:color w:val="087B78"/>
            <w:sz w:val="18"/>
            <w:szCs w:val="18"/>
          </w:rPr>
          <w:t xml:space="preserve"> [19]</w:t>
        </w:r>
      </w:hyperlink>
      <w:hyperlink r:id="rId40" w:history="1">
        <w:r>
          <w:rPr>
            <w:color w:val="087B78"/>
            <w:sz w:val="18"/>
            <w:szCs w:val="18"/>
          </w:rPr>
          <w:t xml:space="preserve"> [20]</w:t>
        </w:r>
      </w:hyperlink>
    </w:p>
    <w:p w14:paraId="348273FE" w14:textId="578F09A9" w:rsidR="000D44A8" w:rsidRDefault="0021533B">
      <w:r>
        <w:t>Lewis and colleagues advanced the causal question in 2026 by depleting candidate envelope proteins and identifying redundant contributions of LBR and membrane-bound LAP2 isoforms to peripheral heterochromatin positioning. Rescue and combined-depletion experiments supported the tethering role in the tested mammalian cell models. Importantly, short-term chromatin release had relatively limited immediate transcription effects compared with persistent loss. The result separates positioning from the slower conse</w:t>
      </w:r>
      <w:r>
        <w:t>quences of altered organization. It challenges a universal claim that every peripheral contact instantly silences a gene while supporting a sustained role of envelope coupling in genome homeostasis.</w:t>
      </w:r>
      <w:hyperlink r:id="rId41" w:history="1">
        <w:r>
          <w:rPr>
            <w:color w:val="087B78"/>
            <w:sz w:val="18"/>
            <w:szCs w:val="18"/>
          </w:rPr>
          <w:t xml:space="preserve"> [7]</w:t>
        </w:r>
      </w:hyperlink>
    </w:p>
    <w:p w14:paraId="0BA8AB32" w14:textId="77777777" w:rsidR="000D44A8" w:rsidRDefault="0021533B">
      <w:pPr>
        <w:pStyle w:val="Heading1"/>
      </w:pPr>
      <w:bookmarkStart w:id="6" w:name="_Toc242668372"/>
      <w:r>
        <w:t>6. Mechanical coupling joins the boundary to the cell</w:t>
      </w:r>
      <w:bookmarkEnd w:id="6"/>
    </w:p>
    <w:p w14:paraId="60BC616C" w14:textId="51BE97D1" w:rsidR="000D44A8" w:rsidRDefault="0021533B">
      <w:r>
        <w:t>LINC-complex organization supplies a molecular route by which cytoskeletal connections can influence the nucleus, but the resulting force response depends on the coupled structures. Lamin-A/C-deficient mouse cells studied by Lammerding and colleagues showed altered deformation and selected mechanotransduction responses. Stephens and colleagues separated chromatin and lamin contributions under isolated-nucleus extension. These studies establish bounded functional roles for envelope-associated architecture. T</w:t>
      </w:r>
      <w:r>
        <w:t>hey do not identify every laminopathy as one identical mechanical defect or imply that cytoplasmic and nuclear resistance can always be separated by shape alone.</w:t>
      </w:r>
      <w:hyperlink r:id="rId42" w:history="1">
        <w:r>
          <w:rPr>
            <w:color w:val="087B78"/>
            <w:sz w:val="18"/>
            <w:szCs w:val="18"/>
          </w:rPr>
          <w:t xml:space="preserve"> [1]</w:t>
        </w:r>
      </w:hyperlink>
      <w:hyperlink r:id="rId43" w:history="1">
        <w:r>
          <w:rPr>
            <w:color w:val="087B78"/>
            <w:sz w:val="18"/>
            <w:szCs w:val="18"/>
          </w:rPr>
          <w:t xml:space="preserve"> [21]</w:t>
        </w:r>
      </w:hyperlink>
      <w:hyperlink r:id="rId44" w:history="1">
        <w:r>
          <w:rPr>
            <w:color w:val="087B78"/>
            <w:sz w:val="18"/>
            <w:szCs w:val="18"/>
          </w:rPr>
          <w:t xml:space="preserve"> [22]</w:t>
        </w:r>
      </w:hyperlink>
    </w:p>
    <w:p w14:paraId="35F25848" w14:textId="3464E8F1" w:rsidR="000D44A8" w:rsidRDefault="0021533B">
      <w:r>
        <w:lastRenderedPageBreak/>
        <w:t>Attar and colleagues modeled how peripheral chromatin coupling allows a force imposed on the lamina to recruit internal mechanical resistance. Combined with the new tether-depletion evidence, this motivates experiments connecting specific membrane proteins to matched force and genome-position measurements. Mapping a LAD and observing a softer nucleus remain different readouts until their mechanistic connection is tested. Such a connection could depend on tether abundance, chromatin state and the direction a</w:t>
      </w:r>
      <w:r>
        <w:t>nd duration of loading. Envelope mechanics consequently includes the attachments that transmit stress, rather than only the material properties of the lipid membranes or lamin filaments.</w:t>
      </w:r>
      <w:hyperlink r:id="rId45" w:history="1">
        <w:r>
          <w:rPr>
            <w:color w:val="087B78"/>
            <w:sz w:val="18"/>
            <w:szCs w:val="18"/>
          </w:rPr>
          <w:t xml:space="preserve"> [10]</w:t>
        </w:r>
      </w:hyperlink>
      <w:hyperlink r:id="rId46" w:history="1">
        <w:r>
          <w:rPr>
            <w:color w:val="087B78"/>
            <w:sz w:val="18"/>
            <w:szCs w:val="18"/>
          </w:rPr>
          <w:t xml:space="preserve"> [7]</w:t>
        </w:r>
      </w:hyperlink>
      <w:hyperlink r:id="rId47" w:history="1">
        <w:r>
          <w:rPr>
            <w:color w:val="087B78"/>
            <w:sz w:val="18"/>
            <w:szCs w:val="18"/>
          </w:rPr>
          <w:t xml:space="preserve"> [22]</w:t>
        </w:r>
      </w:hyperlink>
    </w:p>
    <w:p w14:paraId="2D319926" w14:textId="77777777" w:rsidR="000D44A8" w:rsidRDefault="0021533B">
      <w:pPr>
        <w:pStyle w:val="Heading1"/>
      </w:pPr>
      <w:bookmarkStart w:id="7" w:name="_Toc242668373"/>
      <w:r>
        <w:t>7. Pore geometry is responsive rather than invariant</w:t>
      </w:r>
      <w:bookmarkEnd w:id="7"/>
    </w:p>
    <w:p w14:paraId="62CD1C39" w14:textId="7A2E9B37" w:rsidR="000D44A8" w:rsidRDefault="0021533B">
      <w:r>
        <w:t>Morgan and colleagues used pan-expansion microscopy to visualize NPC diameter distributions and their spatial variation over the nuclear surface. Hyperosmotic challenge and LINC perturbation affected particular aspects of pore organization. These fixed-cell structural observations support context-dependent pore plasticity while leaving transport consequences to complementary functional measurements. A distribution of NPC diameters should not be summarized as one invariant number for all pores, and an associ</w:t>
      </w:r>
      <w:r>
        <w:t>ation between a surface region and dilation does not independently quantify the membrane tension at every pore.</w:t>
      </w:r>
      <w:hyperlink r:id="rId48" w:history="1">
        <w:r>
          <w:rPr>
            <w:color w:val="087B78"/>
            <w:sz w:val="18"/>
            <w:szCs w:val="18"/>
          </w:rPr>
          <w:t xml:space="preserve"> [8]</w:t>
        </w:r>
      </w:hyperlink>
    </w:p>
    <w:p w14:paraId="71C0933E" w14:textId="09ED8E6D" w:rsidR="000D44A8" w:rsidRDefault="0021533B">
      <w:r>
        <w:t>Hoffmann and colleagues studied a different functional consequence of pore geometry in Dictyostelium: dilation-dependent nucleocytosolic fluid flow during osmotic adaptation. Their pressure-driven-flow interpretation differs from diffusion down a concentration gradient and from receptor-mediated cargo exchange. Together with the density-homeostasis work of Biswas and colleagues, it connects the envelope to regulation of volume and composition. The living boundary therefore participates in physical equilibra</w:t>
      </w:r>
      <w:r>
        <w:t>tion as well as selective biochemical transport, with the relative contributions dependent on the organism and perturbation.</w:t>
      </w:r>
      <w:hyperlink r:id="rId49" w:history="1">
        <w:r>
          <w:rPr>
            <w:color w:val="087B78"/>
            <w:sz w:val="18"/>
            <w:szCs w:val="18"/>
          </w:rPr>
          <w:t xml:space="preserve"> [9]</w:t>
        </w:r>
      </w:hyperlink>
      <w:hyperlink r:id="rId50" w:history="1">
        <w:r>
          <w:rPr>
            <w:color w:val="087B78"/>
            <w:sz w:val="18"/>
            <w:szCs w:val="18"/>
          </w:rPr>
          <w:t xml:space="preserve"> [11]</w:t>
        </w:r>
      </w:hyperlink>
      <w:hyperlink r:id="rId51" w:history="1">
        <w:r>
          <w:rPr>
            <w:color w:val="087B78"/>
            <w:sz w:val="18"/>
            <w:szCs w:val="18"/>
          </w:rPr>
          <w:t xml:space="preserve"> [14]</w:t>
        </w:r>
      </w:hyperlink>
    </w:p>
    <w:p w14:paraId="03DD97E1" w14:textId="2FB3FC35" w:rsidR="000D44A8" w:rsidRDefault="0021533B">
      <w:r>
        <w:t>A functional envelope must regulate the nuclear contents as well as their route of passage. The density-homeostasis experiments make this connection explicit: transport creates a distinct nuclear composition, and the resulting pressure balance contributes to volume. Chromatin is therefore not merely enclosed cargo; it participates in the physical state of the compartment. This creates a feedback question for envelope biology. A change in import can change nuclear concentration and size, while the altered bo</w:t>
      </w:r>
      <w:r>
        <w:t>undary geometry or chromatin organization can in turn modify the environment experienced by proteins crossing the envelope. The direction and strength of that feedback require matched measurements.</w:t>
      </w:r>
      <w:hyperlink r:id="rId52" w:history="1">
        <w:r>
          <w:rPr>
            <w:color w:val="087B78"/>
            <w:sz w:val="18"/>
            <w:szCs w:val="18"/>
          </w:rPr>
          <w:t xml:space="preserve"> [11]</w:t>
        </w:r>
      </w:hyperlink>
      <w:hyperlink r:id="rId53" w:history="1">
        <w:r>
          <w:rPr>
            <w:color w:val="087B78"/>
            <w:sz w:val="18"/>
            <w:szCs w:val="18"/>
          </w:rPr>
          <w:t xml:space="preserve"> [9]</w:t>
        </w:r>
      </w:hyperlink>
    </w:p>
    <w:p w14:paraId="67184B02" w14:textId="6EDF93B2" w:rsidR="000D44A8" w:rsidRDefault="0021533B">
      <w:r>
        <w:t xml:space="preserve">The 2026 tethering work also provides a way to separate boundary functions experimentally. Its short-term and persistent-loss comparisons show that major changes in chromatin position can precede broader gene-expression consequences. This means an envelope phenotype can be biologically consequential without beginning as a permeability failure. Conversely, a transport or sealing defect should not be assumed to act through wholesale chromatin detachment. Testing both possibilities with localization, exchange </w:t>
      </w:r>
      <w:r>
        <w:t>and chromatin-position assays can distinguish direct boundary mechanisms from slower changes in the nuclear reaction environment.</w:t>
      </w:r>
      <w:hyperlink r:id="rId54" w:history="1">
        <w:r>
          <w:rPr>
            <w:color w:val="087B78"/>
            <w:sz w:val="18"/>
            <w:szCs w:val="18"/>
          </w:rPr>
          <w:t xml:space="preserve"> [7]</w:t>
        </w:r>
      </w:hyperlink>
      <w:hyperlink r:id="rId55" w:history="1">
        <w:r>
          <w:rPr>
            <w:color w:val="087B78"/>
            <w:sz w:val="18"/>
            <w:szCs w:val="18"/>
          </w:rPr>
          <w:t xml:space="preserve"> [5]</w:t>
        </w:r>
      </w:hyperlink>
      <w:hyperlink r:id="rId56" w:history="1">
        <w:r>
          <w:rPr>
            <w:color w:val="087B78"/>
            <w:sz w:val="18"/>
            <w:szCs w:val="18"/>
          </w:rPr>
          <w:t xml:space="preserve"> [14]</w:t>
        </w:r>
      </w:hyperlink>
    </w:p>
    <w:p w14:paraId="2A027561" w14:textId="603BBBED" w:rsidR="000D44A8" w:rsidRDefault="0021533B">
      <w:r>
        <w:lastRenderedPageBreak/>
        <w:t>The same principle applies to mechanical adaptation. Envelope proteins can determine how an external force enters the nucleus, whereas internal chromatin coupling determines how that force is resisted. A nuclear shape change then reflects both the load and the response. Without a calibrated load, larger deformation could mean weaker resistance, stronger force delivery or both. The LINC, lamin-deficiency and isolated-nucleus studies supply complementary ways to separate these contributions. This is a physica</w:t>
      </w:r>
      <w:r>
        <w:t>l reason to interpret nuclear morphology together with the surrounding cell and the relevant attachment architecture.</w:t>
      </w:r>
      <w:hyperlink r:id="rId57" w:history="1">
        <w:r>
          <w:rPr>
            <w:color w:val="087B78"/>
            <w:sz w:val="18"/>
            <w:szCs w:val="18"/>
          </w:rPr>
          <w:t xml:space="preserve"> [1]</w:t>
        </w:r>
      </w:hyperlink>
      <w:hyperlink r:id="rId58" w:history="1">
        <w:r>
          <w:rPr>
            <w:color w:val="087B78"/>
            <w:sz w:val="18"/>
            <w:szCs w:val="18"/>
          </w:rPr>
          <w:t xml:space="preserve"> [21]</w:t>
        </w:r>
      </w:hyperlink>
      <w:hyperlink r:id="rId59" w:history="1">
        <w:r>
          <w:rPr>
            <w:color w:val="087B78"/>
            <w:sz w:val="18"/>
            <w:szCs w:val="18"/>
          </w:rPr>
          <w:t xml:space="preserve"> [22]</w:t>
        </w:r>
      </w:hyperlink>
      <w:hyperlink r:id="rId60" w:history="1">
        <w:r>
          <w:rPr>
            <w:color w:val="087B78"/>
            <w:sz w:val="18"/>
            <w:szCs w:val="18"/>
          </w:rPr>
          <w:t xml:space="preserve"> [10]</w:t>
        </w:r>
      </w:hyperlink>
    </w:p>
    <w:p w14:paraId="3B5DC20F" w14:textId="77777777" w:rsidR="000D44A8" w:rsidRDefault="0021533B">
      <w:pPr>
        <w:pStyle w:val="Heading1"/>
      </w:pPr>
      <w:bookmarkStart w:id="8" w:name="_Toc242668374"/>
      <w:r>
        <w:t>8. Rupture, resealing and genome consequences</w:t>
      </w:r>
      <w:bookmarkEnd w:id="8"/>
    </w:p>
    <w:p w14:paraId="16EA9FA7" w14:textId="5668A627" w:rsidR="000D44A8" w:rsidRDefault="0021533B">
      <w:r>
        <w:t xml:space="preserve">Strong deformation can transiently disrupt nuclear compartmentalization. Denais and colleagues studied envelope rupture during constrained cancer-cell migration and identified ESCRT-III-dependent recovery, alongside damage-associated nuclear responses. A leakage reporter establishes that the barrier has opened, whereas reporter recovery indicates restored compartmentalization under the assay conditions. It does not prove that every molecular constituent has returned to its original distribution or that all </w:t>
      </w:r>
      <w:r>
        <w:t>genome damage has been repaired. These stages require separate measurements, especially when comparing transient rupture with sustained loss of envelope integrity.</w:t>
      </w:r>
      <w:hyperlink r:id="rId61" w:history="1">
        <w:r>
          <w:rPr>
            <w:color w:val="087B78"/>
            <w:sz w:val="18"/>
            <w:szCs w:val="18"/>
          </w:rPr>
          <w:t xml:space="preserve"> [6]</w:t>
        </w:r>
      </w:hyperlink>
    </w:p>
    <w:p w14:paraId="41FB9A37" w14:textId="69A0CBDC" w:rsidR="000D44A8" w:rsidRDefault="0021533B">
      <w:r>
        <w:t>Long-lived NPC components supply another route to altered boundary function. D’Angelo and colleagues linked age-dependent deterioration of NPCs to loss of nuclear integrity in defined postmitotic experimental systems. The observation differs mechanistically from an acute migration-induced membrane rupture. Its implications for other cell types or ordinary human aging should remain bounded by the systems actually studied. A current account of envelope failure should therefore distinguish pore maintenance, me</w:t>
      </w:r>
      <w:r>
        <w:t>mbrane tearing, assembly defects and chromatin-detachment phenotypes, even when some of them produce similar localization or morphology changes.</w:t>
      </w:r>
      <w:hyperlink r:id="rId62" w:history="1">
        <w:r>
          <w:rPr>
            <w:color w:val="087B78"/>
            <w:sz w:val="18"/>
            <w:szCs w:val="18"/>
          </w:rPr>
          <w:t xml:space="preserve"> [23]</w:t>
        </w:r>
      </w:hyperlink>
      <w:hyperlink r:id="rId63" w:history="1">
        <w:r>
          <w:rPr>
            <w:color w:val="087B78"/>
            <w:sz w:val="18"/>
            <w:szCs w:val="18"/>
          </w:rPr>
          <w:t xml:space="preserve"> [6]</w:t>
        </w:r>
      </w:hyperlink>
      <w:hyperlink r:id="rId64" w:history="1">
        <w:r>
          <w:rPr>
            <w:color w:val="087B78"/>
            <w:sz w:val="18"/>
            <w:szCs w:val="18"/>
          </w:rPr>
          <w:t xml:space="preserve"> [7]</w:t>
        </w:r>
      </w:hyperlink>
    </w:p>
    <w:p w14:paraId="6C5813EF" w14:textId="77777777" w:rsidR="000D44A8" w:rsidRDefault="0021533B">
      <w:pPr>
        <w:pStyle w:val="Heading1"/>
      </w:pPr>
      <w:bookmarkStart w:id="9" w:name="_Toc242668375"/>
      <w:r>
        <w:t>9. Distinguishing envelope phenotypes experimentally</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44A8" w14:paraId="407FCDD9" w14:textId="77777777">
        <w:tblPrEx>
          <w:tblCellMar>
            <w:top w:w="0" w:type="dxa"/>
            <w:bottom w:w="0" w:type="dxa"/>
          </w:tblCellMar>
        </w:tblPrEx>
        <w:trPr>
          <w:cantSplit/>
          <w:tblHeader/>
        </w:trPr>
        <w:tc>
          <w:tcPr>
            <w:tcW w:w="3120" w:type="dxa"/>
            <w:shd w:val="clear" w:color="auto" w:fill="EAF3F3"/>
            <w:tcMar>
              <w:top w:w="105" w:type="dxa"/>
              <w:left w:w="125" w:type="dxa"/>
              <w:bottom w:w="105" w:type="dxa"/>
              <w:right w:w="125" w:type="dxa"/>
            </w:tcMar>
          </w:tcPr>
          <w:p w14:paraId="0A019D81" w14:textId="77777777" w:rsidR="000D44A8" w:rsidRDefault="0021533B">
            <w:pPr>
              <w:spacing w:after="50" w:line="255" w:lineRule="auto"/>
            </w:pPr>
            <w:r>
              <w:rPr>
                <w:b/>
                <w:bCs/>
                <w:color w:val="173B4C"/>
                <w:sz w:val="19"/>
                <w:szCs w:val="19"/>
              </w:rPr>
              <w:t>Question</w:t>
            </w:r>
          </w:p>
        </w:tc>
        <w:tc>
          <w:tcPr>
            <w:tcW w:w="3120" w:type="dxa"/>
            <w:shd w:val="clear" w:color="auto" w:fill="EAF3F3"/>
            <w:tcMar>
              <w:top w:w="105" w:type="dxa"/>
              <w:left w:w="125" w:type="dxa"/>
              <w:bottom w:w="105" w:type="dxa"/>
              <w:right w:w="125" w:type="dxa"/>
            </w:tcMar>
          </w:tcPr>
          <w:p w14:paraId="7B042411" w14:textId="77777777" w:rsidR="000D44A8" w:rsidRDefault="0021533B">
            <w:pPr>
              <w:spacing w:after="50" w:line="255" w:lineRule="auto"/>
            </w:pPr>
            <w:r>
              <w:rPr>
                <w:b/>
                <w:bCs/>
                <w:color w:val="173B4C"/>
                <w:sz w:val="19"/>
                <w:szCs w:val="19"/>
              </w:rPr>
              <w:t>Suitable evidence</w:t>
            </w:r>
          </w:p>
        </w:tc>
        <w:tc>
          <w:tcPr>
            <w:tcW w:w="3120" w:type="dxa"/>
            <w:shd w:val="clear" w:color="auto" w:fill="EAF3F3"/>
            <w:tcMar>
              <w:top w:w="105" w:type="dxa"/>
              <w:left w:w="125" w:type="dxa"/>
              <w:bottom w:w="105" w:type="dxa"/>
              <w:right w:w="125" w:type="dxa"/>
            </w:tcMar>
          </w:tcPr>
          <w:p w14:paraId="68E8A7F2" w14:textId="77777777" w:rsidR="000D44A8" w:rsidRDefault="0021533B">
            <w:pPr>
              <w:spacing w:after="50" w:line="255" w:lineRule="auto"/>
            </w:pPr>
            <w:r>
              <w:rPr>
                <w:b/>
                <w:bCs/>
                <w:color w:val="173B4C"/>
                <w:sz w:val="19"/>
                <w:szCs w:val="19"/>
              </w:rPr>
              <w:t>Interpretive boundary</w:t>
            </w:r>
          </w:p>
        </w:tc>
      </w:tr>
      <w:tr w:rsidR="000D44A8" w14:paraId="05C6275D" w14:textId="77777777">
        <w:tblPrEx>
          <w:tblCellMar>
            <w:top w:w="0" w:type="dxa"/>
            <w:bottom w:w="0" w:type="dxa"/>
          </w:tblCellMar>
        </w:tblPrEx>
        <w:trPr>
          <w:cantSplit/>
        </w:trPr>
        <w:tc>
          <w:tcPr>
            <w:tcW w:w="3120" w:type="dxa"/>
            <w:tcMar>
              <w:top w:w="105" w:type="dxa"/>
              <w:left w:w="125" w:type="dxa"/>
              <w:bottom w:w="105" w:type="dxa"/>
              <w:right w:w="125" w:type="dxa"/>
            </w:tcMar>
          </w:tcPr>
          <w:p w14:paraId="0208DCFF" w14:textId="77777777" w:rsidR="000D44A8" w:rsidRDefault="0021533B">
            <w:pPr>
              <w:spacing w:after="50" w:line="255" w:lineRule="auto"/>
            </w:pPr>
            <w:r>
              <w:rPr>
                <w:sz w:val="19"/>
                <w:szCs w:val="19"/>
              </w:rPr>
              <w:t>Is the boundary structurally organized?</w:t>
            </w:r>
          </w:p>
        </w:tc>
        <w:tc>
          <w:tcPr>
            <w:tcW w:w="3120" w:type="dxa"/>
            <w:tcMar>
              <w:top w:w="105" w:type="dxa"/>
              <w:left w:w="125" w:type="dxa"/>
              <w:bottom w:w="105" w:type="dxa"/>
              <w:right w:w="125" w:type="dxa"/>
            </w:tcMar>
          </w:tcPr>
          <w:p w14:paraId="2912C9FA" w14:textId="77777777" w:rsidR="000D44A8" w:rsidRDefault="0021533B">
            <w:pPr>
              <w:spacing w:after="50" w:line="255" w:lineRule="auto"/>
            </w:pPr>
            <w:r>
              <w:rPr>
                <w:sz w:val="19"/>
                <w:szCs w:val="19"/>
              </w:rPr>
              <w:t>Lamin/NPC ultrastructure and molecular localization</w:t>
            </w:r>
          </w:p>
        </w:tc>
        <w:tc>
          <w:tcPr>
            <w:tcW w:w="3120" w:type="dxa"/>
            <w:tcMar>
              <w:top w:w="105" w:type="dxa"/>
              <w:left w:w="125" w:type="dxa"/>
              <w:bottom w:w="105" w:type="dxa"/>
              <w:right w:w="125" w:type="dxa"/>
            </w:tcMar>
          </w:tcPr>
          <w:p w14:paraId="50DB3D29" w14:textId="6B7E14DD" w:rsidR="000D44A8" w:rsidRDefault="0021533B">
            <w:pPr>
              <w:spacing w:after="50" w:line="255" w:lineRule="auto"/>
            </w:pPr>
            <w:r>
              <w:rPr>
                <w:sz w:val="19"/>
                <w:szCs w:val="19"/>
              </w:rPr>
              <w:t>Structure alone is not a transport or mechanics assay</w:t>
            </w:r>
            <w:hyperlink r:id="rId65" w:history="1">
              <w:r>
                <w:rPr>
                  <w:color w:val="087B78"/>
                  <w:sz w:val="18"/>
                  <w:szCs w:val="18"/>
                </w:rPr>
                <w:t xml:space="preserve"> [12]</w:t>
              </w:r>
            </w:hyperlink>
            <w:hyperlink r:id="rId66" w:history="1">
              <w:r>
                <w:rPr>
                  <w:color w:val="087B78"/>
                  <w:sz w:val="18"/>
                  <w:szCs w:val="18"/>
                </w:rPr>
                <w:t xml:space="preserve"> [2]</w:t>
              </w:r>
            </w:hyperlink>
          </w:p>
        </w:tc>
      </w:tr>
      <w:tr w:rsidR="000D44A8" w14:paraId="65732E56" w14:textId="77777777">
        <w:tblPrEx>
          <w:tblCellMar>
            <w:top w:w="0" w:type="dxa"/>
            <w:bottom w:w="0" w:type="dxa"/>
          </w:tblCellMar>
        </w:tblPrEx>
        <w:trPr>
          <w:cantSplit/>
        </w:trPr>
        <w:tc>
          <w:tcPr>
            <w:tcW w:w="3120" w:type="dxa"/>
            <w:tcMar>
              <w:top w:w="105" w:type="dxa"/>
              <w:left w:w="125" w:type="dxa"/>
              <w:bottom w:w="105" w:type="dxa"/>
              <w:right w:w="125" w:type="dxa"/>
            </w:tcMar>
          </w:tcPr>
          <w:p w14:paraId="1DE0C99E" w14:textId="77777777" w:rsidR="000D44A8" w:rsidRDefault="0021533B">
            <w:pPr>
              <w:spacing w:after="50" w:line="255" w:lineRule="auto"/>
            </w:pPr>
            <w:r>
              <w:rPr>
                <w:sz w:val="19"/>
                <w:szCs w:val="19"/>
              </w:rPr>
              <w:t>Does it selectively exchange a cargo?</w:t>
            </w:r>
          </w:p>
        </w:tc>
        <w:tc>
          <w:tcPr>
            <w:tcW w:w="3120" w:type="dxa"/>
            <w:tcMar>
              <w:top w:w="105" w:type="dxa"/>
              <w:left w:w="125" w:type="dxa"/>
              <w:bottom w:w="105" w:type="dxa"/>
              <w:right w:w="125" w:type="dxa"/>
            </w:tcMar>
          </w:tcPr>
          <w:p w14:paraId="53A37A07" w14:textId="77777777" w:rsidR="000D44A8" w:rsidRDefault="0021533B">
            <w:pPr>
              <w:spacing w:after="50" w:line="255" w:lineRule="auto"/>
            </w:pPr>
            <w:r>
              <w:rPr>
                <w:sz w:val="19"/>
                <w:szCs w:val="19"/>
              </w:rPr>
              <w:t>Defined import/export or passive-exchange reporters</w:t>
            </w:r>
          </w:p>
        </w:tc>
        <w:tc>
          <w:tcPr>
            <w:tcW w:w="3120" w:type="dxa"/>
            <w:tcMar>
              <w:top w:w="105" w:type="dxa"/>
              <w:left w:w="125" w:type="dxa"/>
              <w:bottom w:w="105" w:type="dxa"/>
              <w:right w:w="125" w:type="dxa"/>
            </w:tcMar>
          </w:tcPr>
          <w:p w14:paraId="418D5142" w14:textId="6CEAC104" w:rsidR="000D44A8" w:rsidRDefault="0021533B">
            <w:pPr>
              <w:spacing w:after="50" w:line="255" w:lineRule="auto"/>
            </w:pPr>
            <w:r>
              <w:rPr>
                <w:sz w:val="19"/>
                <w:szCs w:val="19"/>
              </w:rPr>
              <w:t>Cargo-specific kinetics should not be generalized to all transport</w:t>
            </w:r>
            <w:hyperlink r:id="rId67" w:history="1">
              <w:r>
                <w:rPr>
                  <w:color w:val="087B78"/>
                  <w:sz w:val="18"/>
                  <w:szCs w:val="18"/>
                </w:rPr>
                <w:t xml:space="preserve"> [14]</w:t>
              </w:r>
            </w:hyperlink>
            <w:hyperlink r:id="rId68" w:history="1">
              <w:r>
                <w:rPr>
                  <w:color w:val="087B78"/>
                  <w:sz w:val="18"/>
                  <w:szCs w:val="18"/>
                </w:rPr>
                <w:t xml:space="preserve"> [3]</w:t>
              </w:r>
            </w:hyperlink>
            <w:hyperlink r:id="rId69" w:history="1">
              <w:r>
                <w:rPr>
                  <w:color w:val="087B78"/>
                  <w:sz w:val="18"/>
                  <w:szCs w:val="18"/>
                </w:rPr>
                <w:t xml:space="preserve"> [16]</w:t>
              </w:r>
            </w:hyperlink>
          </w:p>
        </w:tc>
      </w:tr>
      <w:tr w:rsidR="000D44A8" w14:paraId="5BBBE4AB" w14:textId="77777777">
        <w:tblPrEx>
          <w:tblCellMar>
            <w:top w:w="0" w:type="dxa"/>
            <w:bottom w:w="0" w:type="dxa"/>
          </w:tblCellMar>
        </w:tblPrEx>
        <w:trPr>
          <w:cantSplit/>
        </w:trPr>
        <w:tc>
          <w:tcPr>
            <w:tcW w:w="3120" w:type="dxa"/>
            <w:tcMar>
              <w:top w:w="105" w:type="dxa"/>
              <w:left w:w="125" w:type="dxa"/>
              <w:bottom w:w="105" w:type="dxa"/>
              <w:right w:w="125" w:type="dxa"/>
            </w:tcMar>
          </w:tcPr>
          <w:p w14:paraId="0EC57F86" w14:textId="77777777" w:rsidR="000D44A8" w:rsidRDefault="0021533B">
            <w:pPr>
              <w:spacing w:after="50" w:line="255" w:lineRule="auto"/>
            </w:pPr>
            <w:r>
              <w:rPr>
                <w:sz w:val="19"/>
                <w:szCs w:val="19"/>
              </w:rPr>
              <w:t>Has membrane enclosure become sealed?</w:t>
            </w:r>
          </w:p>
        </w:tc>
        <w:tc>
          <w:tcPr>
            <w:tcW w:w="3120" w:type="dxa"/>
            <w:tcMar>
              <w:top w:w="105" w:type="dxa"/>
              <w:left w:w="125" w:type="dxa"/>
              <w:bottom w:w="105" w:type="dxa"/>
              <w:right w:w="125" w:type="dxa"/>
            </w:tcMar>
          </w:tcPr>
          <w:p w14:paraId="49B9E8D5" w14:textId="77777777" w:rsidR="000D44A8" w:rsidRDefault="0021533B">
            <w:pPr>
              <w:spacing w:after="50" w:line="255" w:lineRule="auto"/>
            </w:pPr>
            <w:r>
              <w:rPr>
                <w:sz w:val="19"/>
                <w:szCs w:val="19"/>
              </w:rPr>
              <w:t>Membrane imaging together with compartmentalization assays</w:t>
            </w:r>
          </w:p>
        </w:tc>
        <w:tc>
          <w:tcPr>
            <w:tcW w:w="3120" w:type="dxa"/>
            <w:tcMar>
              <w:top w:w="105" w:type="dxa"/>
              <w:left w:w="125" w:type="dxa"/>
              <w:bottom w:w="105" w:type="dxa"/>
              <w:right w:w="125" w:type="dxa"/>
            </w:tcMar>
          </w:tcPr>
          <w:p w14:paraId="7C261335" w14:textId="651EBA7C" w:rsidR="000D44A8" w:rsidRDefault="0021533B">
            <w:pPr>
              <w:spacing w:after="50" w:line="255" w:lineRule="auto"/>
            </w:pPr>
            <w:r>
              <w:rPr>
                <w:sz w:val="19"/>
                <w:szCs w:val="19"/>
              </w:rPr>
              <w:t>Membrane coverage alone can miss residual openings</w:t>
            </w:r>
            <w:hyperlink r:id="rId70" w:history="1">
              <w:r>
                <w:rPr>
                  <w:color w:val="087B78"/>
                  <w:sz w:val="18"/>
                  <w:szCs w:val="18"/>
                </w:rPr>
                <w:t xml:space="preserve"> [5]</w:t>
              </w:r>
            </w:hyperlink>
            <w:hyperlink r:id="rId71" w:history="1">
              <w:r>
                <w:rPr>
                  <w:color w:val="087B78"/>
                  <w:sz w:val="18"/>
                  <w:szCs w:val="18"/>
                </w:rPr>
                <w:t xml:space="preserve"> [18]</w:t>
              </w:r>
            </w:hyperlink>
          </w:p>
        </w:tc>
      </w:tr>
      <w:tr w:rsidR="000D44A8" w14:paraId="18E8DAC6" w14:textId="77777777">
        <w:tblPrEx>
          <w:tblCellMar>
            <w:top w:w="0" w:type="dxa"/>
            <w:bottom w:w="0" w:type="dxa"/>
          </w:tblCellMar>
        </w:tblPrEx>
        <w:trPr>
          <w:cantSplit/>
        </w:trPr>
        <w:tc>
          <w:tcPr>
            <w:tcW w:w="3120" w:type="dxa"/>
            <w:tcMar>
              <w:top w:w="105" w:type="dxa"/>
              <w:left w:w="125" w:type="dxa"/>
              <w:bottom w:w="105" w:type="dxa"/>
              <w:right w:w="125" w:type="dxa"/>
            </w:tcMar>
          </w:tcPr>
          <w:p w14:paraId="52405D3F" w14:textId="77777777" w:rsidR="000D44A8" w:rsidRDefault="0021533B">
            <w:pPr>
              <w:spacing w:after="50" w:line="255" w:lineRule="auto"/>
            </w:pPr>
            <w:r>
              <w:rPr>
                <w:sz w:val="19"/>
                <w:szCs w:val="19"/>
              </w:rPr>
              <w:lastRenderedPageBreak/>
              <w:t>Does peripheral chromatin remain tethered?</w:t>
            </w:r>
          </w:p>
        </w:tc>
        <w:tc>
          <w:tcPr>
            <w:tcW w:w="3120" w:type="dxa"/>
            <w:tcMar>
              <w:top w:w="105" w:type="dxa"/>
              <w:left w:w="125" w:type="dxa"/>
              <w:bottom w:w="105" w:type="dxa"/>
              <w:right w:w="125" w:type="dxa"/>
            </w:tcMar>
          </w:tcPr>
          <w:p w14:paraId="0A460DA9" w14:textId="77777777" w:rsidR="000D44A8" w:rsidRDefault="0021533B">
            <w:pPr>
              <w:spacing w:after="50" w:line="255" w:lineRule="auto"/>
            </w:pPr>
            <w:r>
              <w:rPr>
                <w:sz w:val="19"/>
                <w:szCs w:val="19"/>
              </w:rPr>
              <w:t>Combined depletion, rescue and spatial/epigenomic readouts</w:t>
            </w:r>
          </w:p>
        </w:tc>
        <w:tc>
          <w:tcPr>
            <w:tcW w:w="3120" w:type="dxa"/>
            <w:tcMar>
              <w:top w:w="105" w:type="dxa"/>
              <w:left w:w="125" w:type="dxa"/>
              <w:bottom w:w="105" w:type="dxa"/>
              <w:right w:w="125" w:type="dxa"/>
            </w:tcMar>
          </w:tcPr>
          <w:p w14:paraId="3C86C2B8" w14:textId="7E340A08" w:rsidR="000D44A8" w:rsidRDefault="0021533B">
            <w:pPr>
              <w:spacing w:after="50" w:line="255" w:lineRule="auto"/>
            </w:pPr>
            <w:r>
              <w:rPr>
                <w:sz w:val="19"/>
                <w:szCs w:val="19"/>
              </w:rPr>
              <w:t>Position changes and transcription consequences have different timescales</w:t>
            </w:r>
            <w:hyperlink r:id="rId72" w:history="1">
              <w:r>
                <w:rPr>
                  <w:color w:val="087B78"/>
                  <w:sz w:val="18"/>
                  <w:szCs w:val="18"/>
                </w:rPr>
                <w:t xml:space="preserve"> [7]</w:t>
              </w:r>
            </w:hyperlink>
          </w:p>
        </w:tc>
      </w:tr>
      <w:tr w:rsidR="000D44A8" w14:paraId="22C348E7" w14:textId="77777777">
        <w:tblPrEx>
          <w:tblCellMar>
            <w:top w:w="0" w:type="dxa"/>
            <w:bottom w:w="0" w:type="dxa"/>
          </w:tblCellMar>
        </w:tblPrEx>
        <w:trPr>
          <w:cantSplit/>
        </w:trPr>
        <w:tc>
          <w:tcPr>
            <w:tcW w:w="3120" w:type="dxa"/>
            <w:tcMar>
              <w:top w:w="105" w:type="dxa"/>
              <w:left w:w="125" w:type="dxa"/>
              <w:bottom w:w="105" w:type="dxa"/>
              <w:right w:w="125" w:type="dxa"/>
            </w:tcMar>
          </w:tcPr>
          <w:p w14:paraId="381D8DCF" w14:textId="77777777" w:rsidR="000D44A8" w:rsidRDefault="0021533B">
            <w:pPr>
              <w:spacing w:after="50" w:line="255" w:lineRule="auto"/>
            </w:pPr>
            <w:r>
              <w:rPr>
                <w:sz w:val="19"/>
                <w:szCs w:val="19"/>
              </w:rPr>
              <w:t>How does the composite resist force?</w:t>
            </w:r>
          </w:p>
        </w:tc>
        <w:tc>
          <w:tcPr>
            <w:tcW w:w="3120" w:type="dxa"/>
            <w:tcMar>
              <w:top w:w="105" w:type="dxa"/>
              <w:left w:w="125" w:type="dxa"/>
              <w:bottom w:w="105" w:type="dxa"/>
              <w:right w:w="125" w:type="dxa"/>
            </w:tcMar>
          </w:tcPr>
          <w:p w14:paraId="60D61AA9" w14:textId="77777777" w:rsidR="000D44A8" w:rsidRDefault="0021533B">
            <w:pPr>
              <w:spacing w:after="50" w:line="255" w:lineRule="auto"/>
            </w:pPr>
            <w:r>
              <w:rPr>
                <w:sz w:val="19"/>
                <w:szCs w:val="19"/>
              </w:rPr>
              <w:t>Calibrated deformation with component perturbations</w:t>
            </w:r>
          </w:p>
        </w:tc>
        <w:tc>
          <w:tcPr>
            <w:tcW w:w="3120" w:type="dxa"/>
            <w:tcMar>
              <w:top w:w="105" w:type="dxa"/>
              <w:left w:w="125" w:type="dxa"/>
              <w:bottom w:w="105" w:type="dxa"/>
              <w:right w:w="125" w:type="dxa"/>
            </w:tcMar>
          </w:tcPr>
          <w:p w14:paraId="10C9A4C8" w14:textId="56126E09" w:rsidR="000D44A8" w:rsidRDefault="0021533B">
            <w:pPr>
              <w:spacing w:after="50" w:line="255" w:lineRule="auto"/>
            </w:pPr>
            <w:r>
              <w:rPr>
                <w:sz w:val="19"/>
                <w:szCs w:val="19"/>
              </w:rPr>
              <w:t>Geometry and coupling determine the measured response</w:t>
            </w:r>
            <w:hyperlink r:id="rId73" w:history="1">
              <w:r>
                <w:rPr>
                  <w:color w:val="087B78"/>
                  <w:sz w:val="18"/>
                  <w:szCs w:val="18"/>
                </w:rPr>
                <w:t xml:space="preserve"> [22]</w:t>
              </w:r>
            </w:hyperlink>
            <w:hyperlink r:id="rId74" w:history="1">
              <w:r>
                <w:rPr>
                  <w:color w:val="087B78"/>
                  <w:sz w:val="18"/>
                  <w:szCs w:val="18"/>
                </w:rPr>
                <w:t xml:space="preserve"> [10]</w:t>
              </w:r>
            </w:hyperlink>
          </w:p>
        </w:tc>
      </w:tr>
      <w:tr w:rsidR="000D44A8" w14:paraId="5D4BC6A0" w14:textId="77777777">
        <w:tblPrEx>
          <w:tblCellMar>
            <w:top w:w="0" w:type="dxa"/>
            <w:bottom w:w="0" w:type="dxa"/>
          </w:tblCellMar>
        </w:tblPrEx>
        <w:trPr>
          <w:cantSplit/>
        </w:trPr>
        <w:tc>
          <w:tcPr>
            <w:tcW w:w="3120" w:type="dxa"/>
            <w:tcMar>
              <w:top w:w="105" w:type="dxa"/>
              <w:left w:w="125" w:type="dxa"/>
              <w:bottom w:w="105" w:type="dxa"/>
              <w:right w:w="125" w:type="dxa"/>
            </w:tcMar>
          </w:tcPr>
          <w:p w14:paraId="38D07AE5" w14:textId="77777777" w:rsidR="000D44A8" w:rsidRDefault="0021533B">
            <w:pPr>
              <w:spacing w:after="50" w:line="255" w:lineRule="auto"/>
            </w:pPr>
            <w:r>
              <w:rPr>
                <w:sz w:val="19"/>
                <w:szCs w:val="19"/>
              </w:rPr>
              <w:t>Has an acute rupture recovered?</w:t>
            </w:r>
          </w:p>
        </w:tc>
        <w:tc>
          <w:tcPr>
            <w:tcW w:w="3120" w:type="dxa"/>
            <w:tcMar>
              <w:top w:w="105" w:type="dxa"/>
              <w:left w:w="125" w:type="dxa"/>
              <w:bottom w:w="105" w:type="dxa"/>
              <w:right w:w="125" w:type="dxa"/>
            </w:tcMar>
          </w:tcPr>
          <w:p w14:paraId="310766C7" w14:textId="77777777" w:rsidR="000D44A8" w:rsidRDefault="0021533B">
            <w:pPr>
              <w:spacing w:after="50" w:line="255" w:lineRule="auto"/>
            </w:pPr>
            <w:r>
              <w:rPr>
                <w:sz w:val="19"/>
                <w:szCs w:val="19"/>
              </w:rPr>
              <w:t>Leakage/recovery reporters plus damage and repair readouts</w:t>
            </w:r>
          </w:p>
        </w:tc>
        <w:tc>
          <w:tcPr>
            <w:tcW w:w="3120" w:type="dxa"/>
            <w:tcMar>
              <w:top w:w="105" w:type="dxa"/>
              <w:left w:w="125" w:type="dxa"/>
              <w:bottom w:w="105" w:type="dxa"/>
              <w:right w:w="125" w:type="dxa"/>
            </w:tcMar>
          </w:tcPr>
          <w:p w14:paraId="03FEB3FE" w14:textId="4BA5326A" w:rsidR="000D44A8" w:rsidRDefault="0021533B">
            <w:pPr>
              <w:spacing w:after="50" w:line="255" w:lineRule="auto"/>
            </w:pPr>
            <w:r>
              <w:rPr>
                <w:sz w:val="19"/>
                <w:szCs w:val="19"/>
              </w:rPr>
              <w:t>Resealing does not establish completed genome repair</w:t>
            </w:r>
            <w:hyperlink r:id="rId75" w:history="1">
              <w:r>
                <w:rPr>
                  <w:color w:val="087B78"/>
                  <w:sz w:val="18"/>
                  <w:szCs w:val="18"/>
                </w:rPr>
                <w:t xml:space="preserve"> [6]</w:t>
              </w:r>
            </w:hyperlink>
          </w:p>
        </w:tc>
      </w:tr>
    </w:tbl>
    <w:p w14:paraId="3F0FE089" w14:textId="77777777" w:rsidR="000D44A8" w:rsidRDefault="000D44A8">
      <w:pPr>
        <w:spacing w:after="170"/>
      </w:pPr>
    </w:p>
    <w:p w14:paraId="5F25BDA3" w14:textId="304C16EC" w:rsidR="000D44A8" w:rsidRDefault="0021533B">
      <w:r>
        <w:t>The evidence map favors examining a perturbation with several matched readouts. A membrane protein may affect genome positioning without an immediate barrier defect; a pore alteration may affect one cargo while preserving another route; a deformed nucleus may remain sealed. These possibilities are biological distinctions rather than conflicting definitions of envelope health. Resolving them requires identifying the molecular intervention and following architecture, exchange, force response and regulatory ef</w:t>
      </w:r>
      <w:r>
        <w:t>fects on their relevant timescales.</w:t>
      </w:r>
      <w:hyperlink r:id="rId76" w:history="1">
        <w:r>
          <w:rPr>
            <w:color w:val="087B78"/>
            <w:sz w:val="18"/>
            <w:szCs w:val="18"/>
          </w:rPr>
          <w:t xml:space="preserve"> [7]</w:t>
        </w:r>
      </w:hyperlink>
      <w:hyperlink r:id="rId77" w:history="1">
        <w:r>
          <w:rPr>
            <w:color w:val="087B78"/>
            <w:sz w:val="18"/>
            <w:szCs w:val="18"/>
          </w:rPr>
          <w:t xml:space="preserve"> [14]</w:t>
        </w:r>
      </w:hyperlink>
      <w:hyperlink r:id="rId78" w:history="1">
        <w:r>
          <w:rPr>
            <w:color w:val="087B78"/>
            <w:sz w:val="18"/>
            <w:szCs w:val="18"/>
          </w:rPr>
          <w:t xml:space="preserve"> [3]</w:t>
        </w:r>
      </w:hyperlink>
      <w:hyperlink r:id="rId79" w:history="1">
        <w:r>
          <w:rPr>
            <w:color w:val="087B78"/>
            <w:sz w:val="18"/>
            <w:szCs w:val="18"/>
          </w:rPr>
          <w:t xml:space="preserve"> [6]</w:t>
        </w:r>
      </w:hyperlink>
      <w:hyperlink r:id="rId80" w:history="1">
        <w:r>
          <w:rPr>
            <w:color w:val="087B78"/>
            <w:sz w:val="18"/>
            <w:szCs w:val="18"/>
          </w:rPr>
          <w:t xml:space="preserve"> [22]</w:t>
        </w:r>
      </w:hyperlink>
    </w:p>
    <w:p w14:paraId="45E8F633" w14:textId="77777777" w:rsidR="000D44A8" w:rsidRDefault="0021533B">
      <w:pPr>
        <w:pStyle w:val="Heading1"/>
      </w:pPr>
      <w:bookmarkStart w:id="10" w:name="_Toc242668376"/>
      <w:r>
        <w:t>10. Current synthesis</w:t>
      </w:r>
      <w:bookmarkEnd w:id="10"/>
    </w:p>
    <w:p w14:paraId="1539D028" w14:textId="6E684BC7" w:rsidR="000D44A8" w:rsidRDefault="0021533B">
      <w:r>
        <w:t>The nuclear envelope is a regulated interface whose membrane topology, pore organization, chromatin attachments and cytoskeletal coupling support different but connected functions. Current research makes those connections increasingly specific: membrane-bound tethers organize heterochromatin, pore dilation changes particular flow conditions, and repair machinery restores compartmentalization after defined disruptions. The next mechanistic challenge is to relate these observations in matched living systems w</w:t>
      </w:r>
      <w:r>
        <w:t>hile separating immediate boundary effects from delayed genome regulation. Such experiments will clarify how a nucleus preserves selective exchange and functional organization while adapting its size and shape.</w:t>
      </w:r>
      <w:hyperlink r:id="rId81" w:history="1">
        <w:r>
          <w:rPr>
            <w:color w:val="087B78"/>
            <w:sz w:val="18"/>
            <w:szCs w:val="18"/>
          </w:rPr>
          <w:t xml:space="preserve"> [7]</w:t>
        </w:r>
      </w:hyperlink>
      <w:hyperlink r:id="rId82" w:history="1">
        <w:r>
          <w:rPr>
            <w:color w:val="087B78"/>
            <w:sz w:val="18"/>
            <w:szCs w:val="18"/>
          </w:rPr>
          <w:t xml:space="preserve"> [9]</w:t>
        </w:r>
      </w:hyperlink>
      <w:hyperlink r:id="rId83" w:history="1">
        <w:r>
          <w:rPr>
            <w:color w:val="087B78"/>
            <w:sz w:val="18"/>
            <w:szCs w:val="18"/>
          </w:rPr>
          <w:t xml:space="preserve"> [8]</w:t>
        </w:r>
      </w:hyperlink>
      <w:hyperlink r:id="rId84" w:history="1">
        <w:r>
          <w:rPr>
            <w:color w:val="087B78"/>
            <w:sz w:val="18"/>
            <w:szCs w:val="18"/>
          </w:rPr>
          <w:t xml:space="preserve"> [6]</w:t>
        </w:r>
      </w:hyperlink>
      <w:hyperlink r:id="rId85" w:history="1">
        <w:r>
          <w:rPr>
            <w:color w:val="087B78"/>
            <w:sz w:val="18"/>
            <w:szCs w:val="18"/>
          </w:rPr>
          <w:t xml:space="preserve"> [5]</w:t>
        </w:r>
      </w:hyperlink>
      <w:hyperlink r:id="rId86" w:history="1">
        <w:r>
          <w:rPr>
            <w:color w:val="087B78"/>
            <w:sz w:val="18"/>
            <w:szCs w:val="18"/>
          </w:rPr>
          <w:t xml:space="preserve"> [11]</w:t>
        </w:r>
      </w:hyperlink>
    </w:p>
    <w:p w14:paraId="65F348E6" w14:textId="77777777" w:rsidR="000D44A8" w:rsidRDefault="0021533B">
      <w:pPr>
        <w:pStyle w:val="Heading1"/>
      </w:pPr>
      <w:bookmarkStart w:id="11" w:name="_Toc242668377"/>
      <w:r>
        <w:t>References</w:t>
      </w:r>
      <w:bookmarkEnd w:id="11"/>
    </w:p>
    <w:p w14:paraId="41408C80" w14:textId="76058A5F" w:rsidR="000D44A8" w:rsidRDefault="0021533B">
      <w:pPr>
        <w:keepLines/>
        <w:spacing w:after="90" w:line="245" w:lineRule="auto"/>
      </w:pPr>
      <w:r>
        <w:rPr>
          <w:b/>
          <w:bCs/>
          <w:sz w:val="20"/>
          <w:szCs w:val="20"/>
        </w:rPr>
        <w:t xml:space="preserve">[1] Melissa Crisp, Qian Liu, Kyle Roux et al. (2006). </w:t>
      </w:r>
      <w:r>
        <w:rPr>
          <w:sz w:val="20"/>
          <w:szCs w:val="20"/>
        </w:rPr>
        <w:t xml:space="preserve">Coupling of the nucleus and cytoplasm: role of the LINC complex. Journal of Cell Biology. </w:t>
      </w:r>
      <w:hyperlink r:id="rId87" w:history="1">
        <w:r>
          <w:rPr>
            <w:color w:val="087B78"/>
            <w:sz w:val="20"/>
            <w:szCs w:val="20"/>
            <w:u w:val="single"/>
          </w:rPr>
          <w:t>10.1083/jcb.200509124</w:t>
        </w:r>
      </w:hyperlink>
    </w:p>
    <w:p w14:paraId="645AE862" w14:textId="337BA379" w:rsidR="000D44A8" w:rsidRDefault="0021533B">
      <w:pPr>
        <w:keepLines/>
        <w:spacing w:after="90" w:line="245" w:lineRule="auto"/>
      </w:pPr>
      <w:r>
        <w:rPr>
          <w:b/>
          <w:bCs/>
          <w:sz w:val="20"/>
          <w:szCs w:val="20"/>
        </w:rPr>
        <w:t xml:space="preserve">[2] Matthias Eibauer, Mauro Pellanda, Yagmur Turgay et al. (2015). </w:t>
      </w:r>
      <w:r>
        <w:rPr>
          <w:sz w:val="20"/>
          <w:szCs w:val="20"/>
        </w:rPr>
        <w:t xml:space="preserve">Structure and gating of the nuclear pore complex. Nature Communications. </w:t>
      </w:r>
      <w:hyperlink r:id="rId88" w:history="1">
        <w:r>
          <w:rPr>
            <w:color w:val="087B78"/>
            <w:sz w:val="20"/>
            <w:szCs w:val="20"/>
            <w:u w:val="single"/>
          </w:rPr>
          <w:t>10.1038/ncomms8532</w:t>
        </w:r>
      </w:hyperlink>
    </w:p>
    <w:p w14:paraId="0E91E84C" w14:textId="5ABA6016" w:rsidR="000D44A8" w:rsidRDefault="0021533B">
      <w:pPr>
        <w:keepLines/>
        <w:spacing w:after="90" w:line="245" w:lineRule="auto"/>
      </w:pPr>
      <w:r>
        <w:rPr>
          <w:b/>
          <w:bCs/>
          <w:sz w:val="20"/>
          <w:szCs w:val="20"/>
        </w:rPr>
        <w:t xml:space="preserve">[3] Elisa Izaurralde, Ulrike Kutay, Cayetano von Kobbe et al. (1997). </w:t>
      </w:r>
      <w:r>
        <w:rPr>
          <w:sz w:val="20"/>
          <w:szCs w:val="20"/>
        </w:rPr>
        <w:t xml:space="preserve">The asymmetric distribution of the constituents of the Ran system is essential for transport into and out of the nucleus. The EMBO Journal. </w:t>
      </w:r>
      <w:hyperlink r:id="rId89" w:history="1">
        <w:r>
          <w:rPr>
            <w:color w:val="087B78"/>
            <w:sz w:val="20"/>
            <w:szCs w:val="20"/>
            <w:u w:val="single"/>
          </w:rPr>
          <w:t>10.1093/emboj/16.21.6535</w:t>
        </w:r>
      </w:hyperlink>
    </w:p>
    <w:p w14:paraId="0E896648" w14:textId="4F32BAB5" w:rsidR="000D44A8" w:rsidRDefault="0021533B">
      <w:pPr>
        <w:keepLines/>
        <w:spacing w:after="90" w:line="245" w:lineRule="auto"/>
      </w:pPr>
      <w:r>
        <w:rPr>
          <w:b/>
          <w:bCs/>
          <w:sz w:val="20"/>
          <w:szCs w:val="20"/>
        </w:rPr>
        <w:t xml:space="preserve">[4] Shotaro Otsuka, Khanh Huy Bui, Martin Schorb et al. (2016). </w:t>
      </w:r>
      <w:r>
        <w:rPr>
          <w:sz w:val="20"/>
          <w:szCs w:val="20"/>
        </w:rPr>
        <w:t xml:space="preserve">Nuclear pore assembly proceeds by an inside-out extrusion of the nuclear envelope. eLife. </w:t>
      </w:r>
      <w:hyperlink r:id="rId90" w:history="1">
        <w:r>
          <w:rPr>
            <w:color w:val="087B78"/>
            <w:sz w:val="20"/>
            <w:szCs w:val="20"/>
            <w:u w:val="single"/>
          </w:rPr>
          <w:t>10.7554/eLife.19071</w:t>
        </w:r>
      </w:hyperlink>
    </w:p>
    <w:p w14:paraId="48259440" w14:textId="51BC2142" w:rsidR="000D44A8" w:rsidRDefault="0021533B">
      <w:pPr>
        <w:keepLines/>
        <w:spacing w:after="90" w:line="245" w:lineRule="auto"/>
      </w:pPr>
      <w:r>
        <w:rPr>
          <w:b/>
          <w:bCs/>
          <w:sz w:val="20"/>
          <w:szCs w:val="20"/>
        </w:rPr>
        <w:t xml:space="preserve">[5] Yolanda Olmos, Lorna Hodgson, Judith Mantell, Paul Verkade, Jeremy G. Carlton (2015). </w:t>
      </w:r>
      <w:r>
        <w:rPr>
          <w:sz w:val="20"/>
          <w:szCs w:val="20"/>
        </w:rPr>
        <w:t xml:space="preserve">ESCRT-III controls nuclear envelope reformation. Nature. </w:t>
      </w:r>
      <w:hyperlink r:id="rId91" w:history="1">
        <w:r>
          <w:rPr>
            <w:color w:val="087B78"/>
            <w:sz w:val="20"/>
            <w:szCs w:val="20"/>
            <w:u w:val="single"/>
          </w:rPr>
          <w:t>10.1038/nature14503</w:t>
        </w:r>
      </w:hyperlink>
    </w:p>
    <w:p w14:paraId="64B528A6" w14:textId="03A6890F" w:rsidR="000D44A8" w:rsidRDefault="0021533B">
      <w:pPr>
        <w:keepLines/>
        <w:spacing w:after="90" w:line="245" w:lineRule="auto"/>
      </w:pPr>
      <w:r>
        <w:rPr>
          <w:b/>
          <w:bCs/>
          <w:sz w:val="20"/>
          <w:szCs w:val="20"/>
        </w:rPr>
        <w:lastRenderedPageBreak/>
        <w:t xml:space="preserve">[6] Céline Denais, Rachel M. Gilbert, Philipp Isermann et al. (2016). </w:t>
      </w:r>
      <w:r>
        <w:rPr>
          <w:sz w:val="20"/>
          <w:szCs w:val="20"/>
        </w:rPr>
        <w:t xml:space="preserve">Nuclear envelope rupture and repair during cancer cell migration. Science. </w:t>
      </w:r>
      <w:hyperlink r:id="rId92" w:history="1">
        <w:r>
          <w:rPr>
            <w:color w:val="087B78"/>
            <w:sz w:val="20"/>
            <w:szCs w:val="20"/>
            <w:u w:val="single"/>
          </w:rPr>
          <w:t>10.1126/science.aad7297</w:t>
        </w:r>
      </w:hyperlink>
    </w:p>
    <w:p w14:paraId="14E55A80" w14:textId="2CF58D5A" w:rsidR="000D44A8" w:rsidRDefault="0021533B">
      <w:pPr>
        <w:keepLines/>
        <w:spacing w:after="90" w:line="245" w:lineRule="auto"/>
      </w:pPr>
      <w:r>
        <w:rPr>
          <w:b/>
          <w:bCs/>
          <w:sz w:val="20"/>
          <w:szCs w:val="20"/>
        </w:rPr>
        <w:t xml:space="preserve">[7] Renard Lewis, Virginia Sinigiani, Noura Maziak et al. (2026). </w:t>
      </w:r>
      <w:r>
        <w:rPr>
          <w:sz w:val="20"/>
          <w:szCs w:val="20"/>
        </w:rPr>
        <w:t xml:space="preserve">LBR and LAP2 mediate heterochromatin tethering to the nuclear periphery to preserve genome homeostasis. Nature Cell Biology. </w:t>
      </w:r>
      <w:hyperlink r:id="rId93" w:history="1">
        <w:r>
          <w:rPr>
            <w:color w:val="087B78"/>
            <w:sz w:val="20"/>
            <w:szCs w:val="20"/>
            <w:u w:val="single"/>
          </w:rPr>
          <w:t>10.1038/s41556-025-01822-7</w:t>
        </w:r>
      </w:hyperlink>
    </w:p>
    <w:p w14:paraId="3DCD8D15" w14:textId="23CBBE6B" w:rsidR="000D44A8" w:rsidRDefault="0021533B">
      <w:pPr>
        <w:keepLines/>
        <w:spacing w:after="90" w:line="245" w:lineRule="auto"/>
      </w:pPr>
      <w:r>
        <w:rPr>
          <w:b/>
          <w:bCs/>
          <w:sz w:val="20"/>
          <w:szCs w:val="20"/>
        </w:rPr>
        <w:t xml:space="preserve">[8] Kimberly J. Morgan, Emma Carley, Alyssa N. Coyne, Jeffrey D. Rothstein, C. Patrick Lusk, Megan C. King (2025). </w:t>
      </w:r>
      <w:r>
        <w:rPr>
          <w:sz w:val="20"/>
          <w:szCs w:val="20"/>
        </w:rPr>
        <w:t xml:space="preserve">Visualizing nuclear pore complex plasticity with pan-expansion microscopy. Journal of Cell Biology. </w:t>
      </w:r>
      <w:hyperlink r:id="rId94" w:history="1">
        <w:r>
          <w:rPr>
            <w:color w:val="087B78"/>
            <w:sz w:val="20"/>
            <w:szCs w:val="20"/>
            <w:u w:val="single"/>
          </w:rPr>
          <w:t>10.1083/jcb.202409120</w:t>
        </w:r>
      </w:hyperlink>
    </w:p>
    <w:p w14:paraId="11AA3B65" w14:textId="05FA8518" w:rsidR="000D44A8" w:rsidRDefault="0021533B">
      <w:pPr>
        <w:keepLines/>
        <w:spacing w:after="90" w:line="245" w:lineRule="auto"/>
      </w:pPr>
      <w:r>
        <w:rPr>
          <w:b/>
          <w:bCs/>
          <w:sz w:val="20"/>
          <w:szCs w:val="20"/>
        </w:rPr>
        <w:t xml:space="preserve">[9] Patrick C. Hoffmann, Hyuntae Kim, Aleksandra Obarska-Kosińska et al. (2024). </w:t>
      </w:r>
      <w:r>
        <w:rPr>
          <w:sz w:val="20"/>
          <w:szCs w:val="20"/>
        </w:rPr>
        <w:t xml:space="preserve">Nuclear pore permeability and fluid flow are modulated by its dilation state. Molecular Cell. </w:t>
      </w:r>
      <w:hyperlink r:id="rId95" w:history="1">
        <w:r>
          <w:rPr>
            <w:color w:val="087B78"/>
            <w:sz w:val="20"/>
            <w:szCs w:val="20"/>
            <w:u w:val="single"/>
          </w:rPr>
          <w:t>10.1016/j.molcel.2024.11.038</w:t>
        </w:r>
      </w:hyperlink>
    </w:p>
    <w:p w14:paraId="4AB54039" w14:textId="3E6D1ED8" w:rsidR="000D44A8" w:rsidRDefault="0021533B">
      <w:pPr>
        <w:keepLines/>
        <w:spacing w:after="90" w:line="245" w:lineRule="auto"/>
      </w:pPr>
      <w:r>
        <w:rPr>
          <w:b/>
          <w:bCs/>
          <w:sz w:val="20"/>
          <w:szCs w:val="20"/>
        </w:rPr>
        <w:t xml:space="preserve">[10] A. G. Attar, J. Paturej, Ozan S. Sarıyer, E. Banigan, A. Erbaş (2025). </w:t>
      </w:r>
      <w:r>
        <w:rPr>
          <w:sz w:val="20"/>
          <w:szCs w:val="20"/>
        </w:rPr>
        <w:t xml:space="preserve">Peripheral heterochromatin tethering is required for chromatin-based nuclear mechanical response. Nucleic Acids Research. </w:t>
      </w:r>
      <w:hyperlink r:id="rId96" w:history="1">
        <w:r>
          <w:rPr>
            <w:color w:val="087B78"/>
            <w:sz w:val="20"/>
            <w:szCs w:val="20"/>
            <w:u w:val="single"/>
          </w:rPr>
          <w:t>10.1093/nar/gkaf763</w:t>
        </w:r>
      </w:hyperlink>
    </w:p>
    <w:p w14:paraId="266D9CD5" w14:textId="22333635" w:rsidR="000D44A8" w:rsidRDefault="0021533B">
      <w:pPr>
        <w:keepLines/>
        <w:spacing w:after="90" w:line="245" w:lineRule="auto"/>
      </w:pPr>
      <w:r>
        <w:rPr>
          <w:b/>
          <w:bCs/>
          <w:sz w:val="20"/>
          <w:szCs w:val="20"/>
        </w:rPr>
        <w:t xml:space="preserve">[11] Abin Biswas, Omar Muñoz, Kyoohyun Kim et al. (2025). </w:t>
      </w:r>
      <w:r>
        <w:rPr>
          <w:sz w:val="20"/>
          <w:szCs w:val="20"/>
        </w:rPr>
        <w:t xml:space="preserve">Conserved nucleocytoplasmic density homeostasis drives cellular organization across eukaryotes. Nature Communications. </w:t>
      </w:r>
      <w:hyperlink r:id="rId97" w:history="1">
        <w:r>
          <w:rPr>
            <w:color w:val="087B78"/>
            <w:sz w:val="20"/>
            <w:szCs w:val="20"/>
            <w:u w:val="single"/>
          </w:rPr>
          <w:t>10.1038/s41467-025-62605-0</w:t>
        </w:r>
      </w:hyperlink>
    </w:p>
    <w:p w14:paraId="56264DDA" w14:textId="7586CC6E" w:rsidR="000D44A8" w:rsidRDefault="0021533B">
      <w:pPr>
        <w:keepLines/>
        <w:spacing w:after="90" w:line="245" w:lineRule="auto"/>
      </w:pPr>
      <w:r>
        <w:rPr>
          <w:b/>
          <w:bCs/>
          <w:sz w:val="20"/>
          <w:szCs w:val="20"/>
        </w:rPr>
        <w:t xml:space="preserve">[12] Yagmur Turgay, Matthias Eibauer, Anne E. Goldman et al. (2017). </w:t>
      </w:r>
      <w:r>
        <w:rPr>
          <w:sz w:val="20"/>
          <w:szCs w:val="20"/>
        </w:rPr>
        <w:t xml:space="preserve">The molecular architecture of lamins in somatic cells. Nature. </w:t>
      </w:r>
      <w:hyperlink r:id="rId98" w:history="1">
        <w:r>
          <w:rPr>
            <w:color w:val="087B78"/>
            <w:sz w:val="20"/>
            <w:szCs w:val="20"/>
            <w:u w:val="single"/>
          </w:rPr>
          <w:t>10.1038/nature21382</w:t>
        </w:r>
      </w:hyperlink>
    </w:p>
    <w:p w14:paraId="1685800F" w14:textId="52DD2970" w:rsidR="000D44A8" w:rsidRDefault="0021533B">
      <w:pPr>
        <w:keepLines/>
        <w:spacing w:after="90" w:line="245" w:lineRule="auto"/>
      </w:pPr>
      <w:r>
        <w:rPr>
          <w:b/>
          <w:bCs/>
          <w:sz w:val="20"/>
          <w:szCs w:val="20"/>
        </w:rPr>
        <w:t xml:space="preserve">[13] Stefan Petrovic, Dipanjan Samanta, Thibaud Perriches et al. (2022). </w:t>
      </w:r>
      <w:r>
        <w:rPr>
          <w:sz w:val="20"/>
          <w:szCs w:val="20"/>
        </w:rPr>
        <w:t xml:space="preserve">Architecture of the linker-scaffold in the nuclear pore. Science. </w:t>
      </w:r>
      <w:hyperlink r:id="rId99" w:history="1">
        <w:r>
          <w:rPr>
            <w:color w:val="087B78"/>
            <w:sz w:val="20"/>
            <w:szCs w:val="20"/>
            <w:u w:val="single"/>
          </w:rPr>
          <w:t>10.1126/science.abm9798</w:t>
        </w:r>
      </w:hyperlink>
    </w:p>
    <w:p w14:paraId="1A8E8D74" w14:textId="49ACEE46" w:rsidR="000D44A8" w:rsidRDefault="0021533B">
      <w:pPr>
        <w:keepLines/>
        <w:spacing w:after="90" w:line="245" w:lineRule="auto"/>
      </w:pPr>
      <w:r>
        <w:rPr>
          <w:b/>
          <w:bCs/>
          <w:sz w:val="20"/>
          <w:szCs w:val="20"/>
        </w:rPr>
        <w:t xml:space="preserve">[14] Benjamin L. Timney, Barak Raveh, Roxana Mironska et al. (2016). </w:t>
      </w:r>
      <w:r>
        <w:rPr>
          <w:sz w:val="20"/>
          <w:szCs w:val="20"/>
        </w:rPr>
        <w:t xml:space="preserve">Simple rules for passive diffusion through the nuclear pore complex. Journal of Cell Biology. </w:t>
      </w:r>
      <w:hyperlink r:id="rId100" w:history="1">
        <w:r>
          <w:rPr>
            <w:color w:val="087B78"/>
            <w:sz w:val="20"/>
            <w:szCs w:val="20"/>
            <w:u w:val="single"/>
          </w:rPr>
          <w:t>10.1083/jcb.201601004</w:t>
        </w:r>
      </w:hyperlink>
    </w:p>
    <w:p w14:paraId="69D551FC" w14:textId="00D0380B" w:rsidR="000D44A8" w:rsidRDefault="0021533B">
      <w:pPr>
        <w:keepLines/>
        <w:spacing w:after="90" w:line="245" w:lineRule="auto"/>
      </w:pPr>
      <w:r>
        <w:rPr>
          <w:b/>
          <w:bCs/>
          <w:sz w:val="20"/>
          <w:szCs w:val="20"/>
        </w:rPr>
        <w:t xml:space="preserve">[15] Dagmar Mohr, Steffen Frey, Torsten Fischer et al. (2009). </w:t>
      </w:r>
      <w:r>
        <w:rPr>
          <w:sz w:val="20"/>
          <w:szCs w:val="20"/>
        </w:rPr>
        <w:t xml:space="preserve">Characterisation of the passive permeability barrier of nuclear pore complexes. The EMBO Journal. </w:t>
      </w:r>
      <w:hyperlink r:id="rId101" w:history="1">
        <w:r>
          <w:rPr>
            <w:color w:val="087B78"/>
            <w:sz w:val="20"/>
            <w:szCs w:val="20"/>
            <w:u w:val="single"/>
          </w:rPr>
          <w:t>10.1038/emboj.2009.200</w:t>
        </w:r>
      </w:hyperlink>
    </w:p>
    <w:p w14:paraId="37B72F40" w14:textId="34FAA528" w:rsidR="000D44A8" w:rsidRDefault="0021533B">
      <w:pPr>
        <w:keepLines/>
        <w:spacing w:after="90" w:line="245" w:lineRule="auto"/>
      </w:pPr>
      <w:r>
        <w:rPr>
          <w:b/>
          <w:bCs/>
          <w:sz w:val="20"/>
          <w:szCs w:val="20"/>
        </w:rPr>
        <w:t xml:space="preserve">[16] Kristen N. Noble, Elizabeth Tran, Abel R. Alcázar-Román et al. (2011). </w:t>
      </w:r>
      <w:r>
        <w:rPr>
          <w:sz w:val="20"/>
          <w:szCs w:val="20"/>
        </w:rPr>
        <w:t xml:space="preserve">The Dbp5 cycle at the nuclear pore complex during mRNA export II: nucleotide cycling and mRNP remodeling by Dbp5 are controlled by Nup159 and Gle1. Genes &amp; Development. </w:t>
      </w:r>
      <w:hyperlink r:id="rId102" w:history="1">
        <w:r>
          <w:rPr>
            <w:color w:val="087B78"/>
            <w:sz w:val="20"/>
            <w:szCs w:val="20"/>
            <w:u w:val="single"/>
          </w:rPr>
          <w:t>10.1101/gad.2040611</w:t>
        </w:r>
      </w:hyperlink>
    </w:p>
    <w:p w14:paraId="099C8A03" w14:textId="7CE51014" w:rsidR="000D44A8" w:rsidRDefault="0021533B">
      <w:pPr>
        <w:keepLines/>
        <w:spacing w:after="90" w:line="245" w:lineRule="auto"/>
      </w:pPr>
      <w:r>
        <w:rPr>
          <w:b/>
          <w:bCs/>
          <w:sz w:val="20"/>
          <w:szCs w:val="20"/>
        </w:rPr>
        <w:t xml:space="preserve">[17] Christopher J. Bley, Si Nie, George W. Mobbs et al. (2022). </w:t>
      </w:r>
      <w:r>
        <w:rPr>
          <w:sz w:val="20"/>
          <w:szCs w:val="20"/>
        </w:rPr>
        <w:t xml:space="preserve">Architecture of the cytoplasmic face of the nuclear pore. Science. </w:t>
      </w:r>
      <w:hyperlink r:id="rId103" w:history="1">
        <w:r>
          <w:rPr>
            <w:color w:val="087B78"/>
            <w:sz w:val="20"/>
            <w:szCs w:val="20"/>
            <w:u w:val="single"/>
          </w:rPr>
          <w:t>10.1126/science.abm9129</w:t>
        </w:r>
      </w:hyperlink>
    </w:p>
    <w:p w14:paraId="55674DCF" w14:textId="690DE765" w:rsidR="000D44A8" w:rsidRDefault="0021533B">
      <w:pPr>
        <w:keepLines/>
        <w:spacing w:after="90" w:line="245" w:lineRule="auto"/>
      </w:pPr>
      <w:r>
        <w:rPr>
          <w:b/>
          <w:bCs/>
          <w:sz w:val="20"/>
          <w:szCs w:val="20"/>
        </w:rPr>
        <w:t xml:space="preserve">[18] Alexander von Appen, Dollie LaJoie, Isabel E. Johnson et al. (2020). </w:t>
      </w:r>
      <w:r>
        <w:rPr>
          <w:sz w:val="20"/>
          <w:szCs w:val="20"/>
        </w:rPr>
        <w:t xml:space="preserve">LEM2 phase separation governs ESCRT-mediated nuclear envelope reformation. Nature. </w:t>
      </w:r>
      <w:hyperlink r:id="rId104" w:history="1">
        <w:r>
          <w:rPr>
            <w:color w:val="087B78"/>
            <w:sz w:val="20"/>
            <w:szCs w:val="20"/>
            <w:u w:val="single"/>
          </w:rPr>
          <w:t>10.1038/s41586-020-2232-x</w:t>
        </w:r>
      </w:hyperlink>
    </w:p>
    <w:p w14:paraId="7720EB4B" w14:textId="37AFB578" w:rsidR="000D44A8" w:rsidRDefault="0021533B">
      <w:pPr>
        <w:keepLines/>
        <w:spacing w:after="90" w:line="245" w:lineRule="auto"/>
      </w:pPr>
      <w:r>
        <w:rPr>
          <w:b/>
          <w:bCs/>
          <w:sz w:val="20"/>
          <w:szCs w:val="20"/>
        </w:rPr>
        <w:t xml:space="preserve">[19] Lars Guelen, Ludo Pagie, Émilie Brasset et al. (2008). </w:t>
      </w:r>
      <w:r>
        <w:rPr>
          <w:sz w:val="20"/>
          <w:szCs w:val="20"/>
        </w:rPr>
        <w:t xml:space="preserve">Domain organization of human chromosomes revealed by mapping of nuclear lamina interactions. Nature. </w:t>
      </w:r>
      <w:hyperlink r:id="rId105" w:history="1">
        <w:r>
          <w:rPr>
            <w:color w:val="087B78"/>
            <w:sz w:val="20"/>
            <w:szCs w:val="20"/>
            <w:u w:val="single"/>
          </w:rPr>
          <w:t>10.1038/nature06947</w:t>
        </w:r>
      </w:hyperlink>
    </w:p>
    <w:p w14:paraId="44EF8811" w14:textId="070060EE" w:rsidR="000D44A8" w:rsidRDefault="0021533B">
      <w:pPr>
        <w:keepLines/>
        <w:spacing w:after="90" w:line="245" w:lineRule="auto"/>
      </w:pPr>
      <w:r>
        <w:rPr>
          <w:b/>
          <w:bCs/>
          <w:sz w:val="20"/>
          <w:szCs w:val="20"/>
        </w:rPr>
        <w:t xml:space="preserve">[20] Lars Guelen, Ludo Pagie, Émilie Brasset et al. (2013). </w:t>
      </w:r>
      <w:r>
        <w:rPr>
          <w:sz w:val="20"/>
          <w:szCs w:val="20"/>
        </w:rPr>
        <w:t xml:space="preserve">Correction: Corrigendum: Domain organization of human chromosomes revealed by mapping of nuclear lamina interactions. Nature. </w:t>
      </w:r>
      <w:hyperlink r:id="rId106" w:history="1">
        <w:r>
          <w:rPr>
            <w:color w:val="087B78"/>
            <w:sz w:val="20"/>
            <w:szCs w:val="20"/>
            <w:u w:val="single"/>
          </w:rPr>
          <w:t>10.1038/nature12316</w:t>
        </w:r>
      </w:hyperlink>
    </w:p>
    <w:p w14:paraId="3443DCB4" w14:textId="0EA7FE47" w:rsidR="000D44A8" w:rsidRDefault="0021533B">
      <w:pPr>
        <w:keepLines/>
        <w:spacing w:after="90" w:line="245" w:lineRule="auto"/>
      </w:pPr>
      <w:r>
        <w:rPr>
          <w:b/>
          <w:bCs/>
          <w:sz w:val="20"/>
          <w:szCs w:val="20"/>
        </w:rPr>
        <w:t xml:space="preserve">[21] Jan Lammerding, Paul Christian Schulze, Tomosaburo Takahashi et al. (2004). </w:t>
      </w:r>
      <w:r>
        <w:rPr>
          <w:sz w:val="20"/>
          <w:szCs w:val="20"/>
        </w:rPr>
        <w:t xml:space="preserve">Lamin A/C deficiency causes defective nuclear mechanics and mechanotransduction. Journal of Clinical Investigation. </w:t>
      </w:r>
      <w:hyperlink r:id="rId107" w:history="1">
        <w:r>
          <w:rPr>
            <w:color w:val="087B78"/>
            <w:sz w:val="20"/>
            <w:szCs w:val="20"/>
            <w:u w:val="single"/>
          </w:rPr>
          <w:t>10.1172/JCI19670</w:t>
        </w:r>
      </w:hyperlink>
    </w:p>
    <w:p w14:paraId="2A76A7C7" w14:textId="75A2DDD2" w:rsidR="000D44A8" w:rsidRDefault="0021533B">
      <w:pPr>
        <w:keepLines/>
        <w:spacing w:after="90" w:line="245" w:lineRule="auto"/>
      </w:pPr>
      <w:r>
        <w:rPr>
          <w:b/>
          <w:bCs/>
          <w:sz w:val="20"/>
          <w:szCs w:val="20"/>
        </w:rPr>
        <w:t xml:space="preserve">[22] Andrew D. Stephens, Edward J. Banigan, Stephen A. Adam et al. (2017). </w:t>
      </w:r>
      <w:r>
        <w:rPr>
          <w:sz w:val="20"/>
          <w:szCs w:val="20"/>
        </w:rPr>
        <w:t xml:space="preserve">Chromatin and lamin A determine two different mechanical response regimes of the cell nucleus. Molecular Biology of the Cell. </w:t>
      </w:r>
      <w:hyperlink r:id="rId108" w:history="1">
        <w:r>
          <w:rPr>
            <w:color w:val="087B78"/>
            <w:sz w:val="20"/>
            <w:szCs w:val="20"/>
            <w:u w:val="single"/>
          </w:rPr>
          <w:t>10.1091/mbc.E16-09-0653</w:t>
        </w:r>
      </w:hyperlink>
    </w:p>
    <w:p w14:paraId="250F5496" w14:textId="0DEF7541" w:rsidR="000D44A8" w:rsidRDefault="0021533B">
      <w:pPr>
        <w:keepLines/>
        <w:spacing w:after="90" w:line="245" w:lineRule="auto"/>
      </w:pPr>
      <w:r>
        <w:rPr>
          <w:b/>
          <w:bCs/>
          <w:sz w:val="20"/>
          <w:szCs w:val="20"/>
        </w:rPr>
        <w:t xml:space="preserve">[23] Maximiliano A. D’Angelo, Marcela Raı́ces, Siler H. Panowski et al. (2009). </w:t>
      </w:r>
      <w:r>
        <w:rPr>
          <w:sz w:val="20"/>
          <w:szCs w:val="20"/>
        </w:rPr>
        <w:t xml:space="preserve">Age-Dependent Deterioration of Nuclear Pore Complexes Causes a Loss of Nuclear Integrity in Postmitotic Cells. Cell. </w:t>
      </w:r>
      <w:hyperlink r:id="rId109" w:history="1">
        <w:r>
          <w:rPr>
            <w:color w:val="087B78"/>
            <w:sz w:val="20"/>
            <w:szCs w:val="20"/>
            <w:u w:val="single"/>
          </w:rPr>
          <w:t>10.1016/j.cell.2008.11.037</w:t>
        </w:r>
      </w:hyperlink>
    </w:p>
    <w:p w14:paraId="582CC96B" w14:textId="77777777" w:rsidR="000D44A8" w:rsidRDefault="0021533B">
      <w:pPr>
        <w:pStyle w:val="Heading1"/>
      </w:pPr>
      <w:bookmarkStart w:id="12" w:name="_Toc242668378"/>
      <w:r>
        <w:lastRenderedPageBreak/>
        <w:t>Evidence scope</w:t>
      </w:r>
      <w:bookmarkEnd w:id="12"/>
    </w:p>
    <w:p w14:paraId="49380049" w14:textId="77777777" w:rsidR="000D44A8" w:rsidRDefault="0021533B">
      <w:pPr>
        <w:keepLines/>
        <w:spacing w:after="160" w:line="270" w:lineRule="auto"/>
      </w:pPr>
      <w:r>
        <w:t>This review integrates published primary research with a foundational methods review where needed. Source access ranges from primary abstracts to the selected main Results and Methods identified in each reference record. It is a scholarly synthesis rather than an independent reanalysis of experimental data. Conclusions retain the biological system, measurement scale and model assumptions of the cited studies.</w:t>
      </w:r>
    </w:p>
    <w:sectPr w:rsidR="000D44A8">
      <w:headerReference w:type="default" r:id="rId110"/>
      <w:footerReference w:type="default" r:id="rId111"/>
      <w:pgSz w:w="12240" w:h="15840"/>
      <w:pgMar w:top="1250" w:right="1440" w:bottom="1250" w:left="1440"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BFB80" w14:textId="77777777" w:rsidR="0021533B" w:rsidRDefault="0021533B">
      <w:pPr>
        <w:spacing w:after="0" w:line="240" w:lineRule="auto"/>
      </w:pPr>
      <w:r>
        <w:separator/>
      </w:r>
    </w:p>
  </w:endnote>
  <w:endnote w:type="continuationSeparator" w:id="0">
    <w:p w14:paraId="62251BA7" w14:textId="77777777" w:rsidR="0021533B" w:rsidRDefault="00215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020C3" w14:textId="77777777" w:rsidR="000D44A8" w:rsidRDefault="0021533B">
    <w:pPr>
      <w:jc w:val="right"/>
    </w:pPr>
    <w:r>
      <w:rPr>
        <w:color w:val="527077"/>
        <w:sz w:val="17"/>
        <w:szCs w:val="17"/>
      </w:rPr>
      <w:t xml:space="preserve">CellNucleus · Page </w:t>
    </w:r>
    <w:r>
      <w:rPr>
        <w:color w:val="527077"/>
        <w:sz w:val="17"/>
        <w:szCs w:val="17"/>
      </w:rPr>
      <w:fldChar w:fldCharType="begin"/>
    </w:r>
    <w:r>
      <w:rPr>
        <w:color w:val="527077"/>
        <w:sz w:val="17"/>
        <w:szCs w:val="17"/>
      </w:rPr>
      <w:instrText>PAGE</w:instrText>
    </w:r>
    <w:r>
      <w:rPr>
        <w:color w:val="527077"/>
        <w:sz w:val="17"/>
        <w:szCs w:val="17"/>
      </w:rPr>
      <w:fldChar w:fldCharType="separate"/>
    </w:r>
    <w:r w:rsidR="00CD1D51">
      <w:rPr>
        <w:noProof/>
        <w:color w:val="527077"/>
        <w:sz w:val="17"/>
        <w:szCs w:val="17"/>
      </w:rPr>
      <w:t>1</w:t>
    </w:r>
    <w:r>
      <w:rPr>
        <w:color w:val="527077"/>
        <w:sz w:val="17"/>
        <w:szCs w:val="17"/>
      </w:rPr>
      <w:fldChar w:fldCharType="end"/>
    </w:r>
    <w:r>
      <w:rPr>
        <w:color w:val="527077"/>
        <w:sz w:val="17"/>
        <w:szCs w:val="17"/>
      </w:rPr>
      <w:t xml:space="preserve"> of </w:t>
    </w:r>
    <w:r>
      <w:rPr>
        <w:color w:val="527077"/>
        <w:sz w:val="17"/>
        <w:szCs w:val="17"/>
      </w:rPr>
      <w:fldChar w:fldCharType="begin"/>
    </w:r>
    <w:r>
      <w:rPr>
        <w:color w:val="527077"/>
        <w:sz w:val="17"/>
        <w:szCs w:val="17"/>
      </w:rPr>
      <w:instrText>NUMPAGES</w:instrText>
    </w:r>
    <w:r>
      <w:rPr>
        <w:color w:val="527077"/>
        <w:sz w:val="17"/>
        <w:szCs w:val="17"/>
      </w:rPr>
      <w:fldChar w:fldCharType="separate"/>
    </w:r>
    <w:r w:rsidR="00CD1D51">
      <w:rPr>
        <w:noProof/>
        <w:color w:val="527077"/>
        <w:sz w:val="17"/>
        <w:szCs w:val="17"/>
      </w:rPr>
      <w:t>2</w:t>
    </w:r>
    <w:r>
      <w:rPr>
        <w:color w:val="5270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59566" w14:textId="77777777" w:rsidR="0021533B" w:rsidRDefault="0021533B">
      <w:pPr>
        <w:spacing w:after="0" w:line="240" w:lineRule="auto"/>
      </w:pPr>
      <w:r>
        <w:separator/>
      </w:r>
    </w:p>
  </w:footnote>
  <w:footnote w:type="continuationSeparator" w:id="0">
    <w:p w14:paraId="7EE8CCCC" w14:textId="77777777" w:rsidR="0021533B" w:rsidRDefault="002153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D20A6" w14:textId="77777777" w:rsidR="000D44A8" w:rsidRDefault="0021533B">
    <w:pPr>
      <w:pBdr>
        <w:bottom w:val="single" w:sz="4" w:space="0" w:color="B8D1D0"/>
      </w:pBdr>
    </w:pPr>
    <w:r>
      <w:rPr>
        <w:color w:val="527077"/>
        <w:sz w:val="17"/>
        <w:szCs w:val="17"/>
      </w:rPr>
      <w:t>The Nuclear Envelope: Membranes, Genome Coupling and Regulated Remode…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72FC"/>
    <w:multiLevelType w:val="hybridMultilevel"/>
    <w:tmpl w:val="DAA44E5A"/>
    <w:lvl w:ilvl="0" w:tplc="6C440DAC">
      <w:start w:val="1"/>
      <w:numFmt w:val="bullet"/>
      <w:lvlText w:val="•"/>
      <w:lvlJc w:val="left"/>
      <w:pPr>
        <w:ind w:left="340" w:hanging="170"/>
      </w:pPr>
    </w:lvl>
    <w:lvl w:ilvl="1" w:tplc="F5BE423C">
      <w:numFmt w:val="decimal"/>
      <w:lvlText w:val=""/>
      <w:lvlJc w:val="left"/>
    </w:lvl>
    <w:lvl w:ilvl="2" w:tplc="8A24249E">
      <w:numFmt w:val="decimal"/>
      <w:lvlText w:val=""/>
      <w:lvlJc w:val="left"/>
    </w:lvl>
    <w:lvl w:ilvl="3" w:tplc="4116647A">
      <w:numFmt w:val="decimal"/>
      <w:lvlText w:val=""/>
      <w:lvlJc w:val="left"/>
    </w:lvl>
    <w:lvl w:ilvl="4" w:tplc="2ACE9EAE">
      <w:numFmt w:val="decimal"/>
      <w:lvlText w:val=""/>
      <w:lvlJc w:val="left"/>
    </w:lvl>
    <w:lvl w:ilvl="5" w:tplc="EDC062F8">
      <w:numFmt w:val="decimal"/>
      <w:lvlText w:val=""/>
      <w:lvlJc w:val="left"/>
    </w:lvl>
    <w:lvl w:ilvl="6" w:tplc="1CCAF2D8">
      <w:numFmt w:val="decimal"/>
      <w:lvlText w:val=""/>
      <w:lvlJc w:val="left"/>
    </w:lvl>
    <w:lvl w:ilvl="7" w:tplc="01C67F20">
      <w:numFmt w:val="decimal"/>
      <w:lvlText w:val=""/>
      <w:lvlJc w:val="left"/>
    </w:lvl>
    <w:lvl w:ilvl="8" w:tplc="75BC07D6">
      <w:numFmt w:val="decimal"/>
      <w:lvlText w:val=""/>
      <w:lvlJc w:val="left"/>
    </w:lvl>
  </w:abstractNum>
  <w:abstractNum w:abstractNumId="1" w15:restartNumberingAfterBreak="0">
    <w:nsid w:val="3E503D10"/>
    <w:multiLevelType w:val="hybridMultilevel"/>
    <w:tmpl w:val="C952C462"/>
    <w:lvl w:ilvl="0" w:tplc="92F42E70">
      <w:start w:val="1"/>
      <w:numFmt w:val="bullet"/>
      <w:lvlText w:val="●"/>
      <w:lvlJc w:val="left"/>
      <w:pPr>
        <w:ind w:left="720" w:hanging="360"/>
      </w:pPr>
    </w:lvl>
    <w:lvl w:ilvl="1" w:tplc="C2CE1042">
      <w:start w:val="1"/>
      <w:numFmt w:val="bullet"/>
      <w:lvlText w:val="○"/>
      <w:lvlJc w:val="left"/>
      <w:pPr>
        <w:ind w:left="1440" w:hanging="360"/>
      </w:pPr>
    </w:lvl>
    <w:lvl w:ilvl="2" w:tplc="F50E9A3E">
      <w:start w:val="1"/>
      <w:numFmt w:val="bullet"/>
      <w:lvlText w:val="■"/>
      <w:lvlJc w:val="left"/>
      <w:pPr>
        <w:ind w:left="2160" w:hanging="360"/>
      </w:pPr>
    </w:lvl>
    <w:lvl w:ilvl="3" w:tplc="E96A08E4">
      <w:start w:val="1"/>
      <w:numFmt w:val="bullet"/>
      <w:lvlText w:val="●"/>
      <w:lvlJc w:val="left"/>
      <w:pPr>
        <w:ind w:left="2880" w:hanging="360"/>
      </w:pPr>
    </w:lvl>
    <w:lvl w:ilvl="4" w:tplc="686C80D6">
      <w:start w:val="1"/>
      <w:numFmt w:val="bullet"/>
      <w:lvlText w:val="○"/>
      <w:lvlJc w:val="left"/>
      <w:pPr>
        <w:ind w:left="3600" w:hanging="360"/>
      </w:pPr>
    </w:lvl>
    <w:lvl w:ilvl="5" w:tplc="2788F42A">
      <w:start w:val="1"/>
      <w:numFmt w:val="bullet"/>
      <w:lvlText w:val="■"/>
      <w:lvlJc w:val="left"/>
      <w:pPr>
        <w:ind w:left="4320" w:hanging="360"/>
      </w:pPr>
    </w:lvl>
    <w:lvl w:ilvl="6" w:tplc="85A485C0">
      <w:start w:val="1"/>
      <w:numFmt w:val="bullet"/>
      <w:lvlText w:val="●"/>
      <w:lvlJc w:val="left"/>
      <w:pPr>
        <w:ind w:left="5040" w:hanging="360"/>
      </w:pPr>
    </w:lvl>
    <w:lvl w:ilvl="7" w:tplc="7624BF9E">
      <w:start w:val="1"/>
      <w:numFmt w:val="bullet"/>
      <w:lvlText w:val="●"/>
      <w:lvlJc w:val="left"/>
      <w:pPr>
        <w:ind w:left="5760" w:hanging="360"/>
      </w:pPr>
    </w:lvl>
    <w:lvl w:ilvl="8" w:tplc="816A65E6">
      <w:start w:val="1"/>
      <w:numFmt w:val="bullet"/>
      <w:lvlText w:val="●"/>
      <w:lvlJc w:val="left"/>
      <w:pPr>
        <w:ind w:left="6480" w:hanging="360"/>
      </w:pPr>
    </w:lvl>
  </w:abstractNum>
  <w:num w:numId="1" w16cid:durableId="9679316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4A8"/>
    <w:rsid w:val="000D44A8"/>
    <w:rsid w:val="0021533B"/>
    <w:rsid w:val="00CD1D51"/>
    <w:rsid w:val="00F75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F2E701"/>
  <w15:docId w15:val="{13020E54-E01E-499C-A8EF-2ECA9ADAD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43F48"/>
        <w:sz w:val="22"/>
        <w:szCs w:val="22"/>
        <w:lang w:val="en-US" w:eastAsia="en-US" w:bidi="ar-SA"/>
      </w:rPr>
    </w:rPrDefault>
    <w:pPrDefault>
      <w:pPr>
        <w:spacing w:after="15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30"/>
      <w:outlineLvl w:val="0"/>
    </w:pPr>
    <w:rPr>
      <w:b/>
      <w:bCs/>
      <w:color w:val="173B4C"/>
      <w:sz w:val="32"/>
      <w:szCs w:val="32"/>
    </w:rPr>
  </w:style>
  <w:style w:type="paragraph" w:styleId="Heading2">
    <w:name w:val="heading 2"/>
    <w:uiPriority w:val="9"/>
    <w:semiHidden/>
    <w:unhideWhenUsed/>
    <w:qFormat/>
    <w:pPr>
      <w:keepNext/>
      <w:spacing w:before="240" w:after="120"/>
      <w:outlineLvl w:val="1"/>
    </w:pPr>
    <w:rPr>
      <w:b/>
      <w:bCs/>
      <w:color w:val="087B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uiPriority w:val="10"/>
    <w:qFormat/>
    <w:pPr>
      <w:spacing w:after="240"/>
    </w:pPr>
    <w:rPr>
      <w:b/>
      <w:bCs/>
      <w:color w:val="173B4C"/>
      <w:sz w:val="54"/>
      <w:szCs w:val="5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80"/>
    </w:pPr>
    <w:rPr>
      <w:color w:val="527077"/>
      <w:sz w:val="25"/>
      <w:szCs w:val="25"/>
    </w:rPr>
  </w:style>
  <w:style w:type="paragraph" w:styleId="TOC1">
    <w:name w:val="toc 1"/>
    <w:basedOn w:val="Normal"/>
    <w:next w:val="Normal"/>
    <w:autoRedefine/>
    <w:uiPriority w:val="39"/>
    <w:unhideWhenUsed/>
    <w:rsid w:val="00CD1D5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83/jcb.201601004" TargetMode="External"/><Relationship Id="rId21" Type="http://schemas.openxmlformats.org/officeDocument/2006/relationships/hyperlink" Target="https://doi.org/10.1038/nature21382" TargetMode="External"/><Relationship Id="rId42" Type="http://schemas.openxmlformats.org/officeDocument/2006/relationships/hyperlink" Target="https://doi.org/10.1083/jcb.200509124" TargetMode="External"/><Relationship Id="rId47" Type="http://schemas.openxmlformats.org/officeDocument/2006/relationships/hyperlink" Target="https://doi.org/10.1091/mbc.E16-09-0653" TargetMode="External"/><Relationship Id="rId63" Type="http://schemas.openxmlformats.org/officeDocument/2006/relationships/hyperlink" Target="https://doi.org/10.1126/science.aad7297" TargetMode="External"/><Relationship Id="rId68" Type="http://schemas.openxmlformats.org/officeDocument/2006/relationships/hyperlink" Target="https://doi.org/10.1093/emboj/16.21.6535" TargetMode="External"/><Relationship Id="rId84" Type="http://schemas.openxmlformats.org/officeDocument/2006/relationships/hyperlink" Target="https://doi.org/10.1126/science.aad7297" TargetMode="External"/><Relationship Id="rId89" Type="http://schemas.openxmlformats.org/officeDocument/2006/relationships/hyperlink" Target="https://doi.org/10.1093/emboj/16.21.6535" TargetMode="External"/><Relationship Id="rId112" Type="http://schemas.openxmlformats.org/officeDocument/2006/relationships/fontTable" Target="fontTable.xml"/><Relationship Id="rId16" Type="http://schemas.openxmlformats.org/officeDocument/2006/relationships/hyperlink" Target="https://doi.org/10.1038/s41556-025-01822-7" TargetMode="External"/><Relationship Id="rId107" Type="http://schemas.openxmlformats.org/officeDocument/2006/relationships/hyperlink" Target="https://doi.org/10.1172/JCI19670" TargetMode="External"/><Relationship Id="rId11" Type="http://schemas.openxmlformats.org/officeDocument/2006/relationships/hyperlink" Target="https://doi.org/10.1038/nature14503" TargetMode="External"/><Relationship Id="rId32" Type="http://schemas.openxmlformats.org/officeDocument/2006/relationships/hyperlink" Target="https://doi.org/10.1126/science.abm9798" TargetMode="External"/><Relationship Id="rId37" Type="http://schemas.openxmlformats.org/officeDocument/2006/relationships/hyperlink" Target="https://doi.org/10.1038/s41586-020-2232-x" TargetMode="External"/><Relationship Id="rId53" Type="http://schemas.openxmlformats.org/officeDocument/2006/relationships/hyperlink" Target="https://doi.org/10.1016/j.molcel.2024.11.038" TargetMode="External"/><Relationship Id="rId58" Type="http://schemas.openxmlformats.org/officeDocument/2006/relationships/hyperlink" Target="https://doi.org/10.1172/JCI19670" TargetMode="External"/><Relationship Id="rId74" Type="http://schemas.openxmlformats.org/officeDocument/2006/relationships/hyperlink" Target="https://doi.org/10.1093/nar/gkaf763" TargetMode="External"/><Relationship Id="rId79" Type="http://schemas.openxmlformats.org/officeDocument/2006/relationships/hyperlink" Target="https://doi.org/10.1126/science.aad7297" TargetMode="External"/><Relationship Id="rId102" Type="http://schemas.openxmlformats.org/officeDocument/2006/relationships/hyperlink" Target="https://doi.org/10.1101/gad.2040611" TargetMode="External"/><Relationship Id="rId5" Type="http://schemas.openxmlformats.org/officeDocument/2006/relationships/footnotes" Target="footnotes.xml"/><Relationship Id="rId90" Type="http://schemas.openxmlformats.org/officeDocument/2006/relationships/hyperlink" Target="https://doi.org/10.7554/eLife.19071" TargetMode="External"/><Relationship Id="rId95" Type="http://schemas.openxmlformats.org/officeDocument/2006/relationships/hyperlink" Target="https://doi.org/10.1016/j.molcel.2024.11.038" TargetMode="External"/><Relationship Id="rId22" Type="http://schemas.openxmlformats.org/officeDocument/2006/relationships/hyperlink" Target="https://doi.org/10.1038/nature21382" TargetMode="External"/><Relationship Id="rId27" Type="http://schemas.openxmlformats.org/officeDocument/2006/relationships/hyperlink" Target="https://doi.org/10.1038/emboj.2009.200" TargetMode="External"/><Relationship Id="rId43" Type="http://schemas.openxmlformats.org/officeDocument/2006/relationships/hyperlink" Target="https://doi.org/10.1172/JCI19670" TargetMode="External"/><Relationship Id="rId48" Type="http://schemas.openxmlformats.org/officeDocument/2006/relationships/hyperlink" Target="https://doi.org/10.1083/jcb.202409120" TargetMode="External"/><Relationship Id="rId64" Type="http://schemas.openxmlformats.org/officeDocument/2006/relationships/hyperlink" Target="https://doi.org/10.1038/s41556-025-01822-7" TargetMode="External"/><Relationship Id="rId69" Type="http://schemas.openxmlformats.org/officeDocument/2006/relationships/hyperlink" Target="https://doi.org/10.1101/gad.2040611" TargetMode="External"/><Relationship Id="rId113" Type="http://schemas.openxmlformats.org/officeDocument/2006/relationships/theme" Target="theme/theme1.xml"/><Relationship Id="rId80" Type="http://schemas.openxmlformats.org/officeDocument/2006/relationships/hyperlink" Target="https://doi.org/10.1091/mbc.E16-09-0653" TargetMode="External"/><Relationship Id="rId85" Type="http://schemas.openxmlformats.org/officeDocument/2006/relationships/hyperlink" Target="https://doi.org/10.1038/nature14503" TargetMode="External"/><Relationship Id="rId12" Type="http://schemas.openxmlformats.org/officeDocument/2006/relationships/hyperlink" Target="https://doi.org/10.1126/science.aad7297" TargetMode="External"/><Relationship Id="rId17" Type="http://schemas.openxmlformats.org/officeDocument/2006/relationships/hyperlink" Target="https://doi.org/10.1093/nar/gkaf763" TargetMode="External"/><Relationship Id="rId33" Type="http://schemas.openxmlformats.org/officeDocument/2006/relationships/hyperlink" Target="https://doi.org/10.1126/science.abm9129" TargetMode="External"/><Relationship Id="rId38" Type="http://schemas.openxmlformats.org/officeDocument/2006/relationships/hyperlink" Target="https://doi.org/10.1038/nature14503" TargetMode="External"/><Relationship Id="rId59" Type="http://schemas.openxmlformats.org/officeDocument/2006/relationships/hyperlink" Target="https://doi.org/10.1091/mbc.E16-09-0653" TargetMode="External"/><Relationship Id="rId103" Type="http://schemas.openxmlformats.org/officeDocument/2006/relationships/hyperlink" Target="https://doi.org/10.1126/science.abm9129" TargetMode="External"/><Relationship Id="rId108" Type="http://schemas.openxmlformats.org/officeDocument/2006/relationships/hyperlink" Target="https://doi.org/10.1091/mbc.E16-09-0653" TargetMode="External"/><Relationship Id="rId54" Type="http://schemas.openxmlformats.org/officeDocument/2006/relationships/hyperlink" Target="https://doi.org/10.1038/s41556-025-01822-7" TargetMode="External"/><Relationship Id="rId70" Type="http://schemas.openxmlformats.org/officeDocument/2006/relationships/hyperlink" Target="https://doi.org/10.1038/nature14503" TargetMode="External"/><Relationship Id="rId75" Type="http://schemas.openxmlformats.org/officeDocument/2006/relationships/hyperlink" Target="https://doi.org/10.1126/science.aad7297" TargetMode="External"/><Relationship Id="rId91" Type="http://schemas.openxmlformats.org/officeDocument/2006/relationships/hyperlink" Target="https://doi.org/10.1038/nature14503" TargetMode="External"/><Relationship Id="rId96" Type="http://schemas.openxmlformats.org/officeDocument/2006/relationships/hyperlink" Target="https://doi.org/10.1093/nar/gkaf763"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16/j.molcel.2024.11.038" TargetMode="External"/><Relationship Id="rId23" Type="http://schemas.openxmlformats.org/officeDocument/2006/relationships/hyperlink" Target="https://doi.org/10.1038/ncomms8532" TargetMode="External"/><Relationship Id="rId28" Type="http://schemas.openxmlformats.org/officeDocument/2006/relationships/hyperlink" Target="https://doi.org/10.1093/emboj/16.21.6535" TargetMode="External"/><Relationship Id="rId36" Type="http://schemas.openxmlformats.org/officeDocument/2006/relationships/hyperlink" Target="https://doi.org/10.1038/nature14503" TargetMode="External"/><Relationship Id="rId49" Type="http://schemas.openxmlformats.org/officeDocument/2006/relationships/hyperlink" Target="https://doi.org/10.1016/j.molcel.2024.11.038" TargetMode="External"/><Relationship Id="rId57" Type="http://schemas.openxmlformats.org/officeDocument/2006/relationships/hyperlink" Target="https://doi.org/10.1083/jcb.200509124" TargetMode="External"/><Relationship Id="rId106" Type="http://schemas.openxmlformats.org/officeDocument/2006/relationships/hyperlink" Target="https://doi.org/10.1038/nature12316" TargetMode="External"/><Relationship Id="rId10" Type="http://schemas.openxmlformats.org/officeDocument/2006/relationships/hyperlink" Target="https://doi.org/10.7554/eLife.19071" TargetMode="External"/><Relationship Id="rId31" Type="http://schemas.openxmlformats.org/officeDocument/2006/relationships/hyperlink" Target="https://doi.org/10.7554/eLife.19071" TargetMode="External"/><Relationship Id="rId44" Type="http://schemas.openxmlformats.org/officeDocument/2006/relationships/hyperlink" Target="https://doi.org/10.1091/mbc.E16-09-0653" TargetMode="External"/><Relationship Id="rId52" Type="http://schemas.openxmlformats.org/officeDocument/2006/relationships/hyperlink" Target="https://doi.org/10.1038/s41467-025-62605-0" TargetMode="External"/><Relationship Id="rId60" Type="http://schemas.openxmlformats.org/officeDocument/2006/relationships/hyperlink" Target="https://doi.org/10.1093/nar/gkaf763" TargetMode="External"/><Relationship Id="rId65" Type="http://schemas.openxmlformats.org/officeDocument/2006/relationships/hyperlink" Target="https://doi.org/10.1038/nature21382" TargetMode="External"/><Relationship Id="rId73" Type="http://schemas.openxmlformats.org/officeDocument/2006/relationships/hyperlink" Target="https://doi.org/10.1091/mbc.E16-09-0653" TargetMode="External"/><Relationship Id="rId78" Type="http://schemas.openxmlformats.org/officeDocument/2006/relationships/hyperlink" Target="https://doi.org/10.1093/emboj/16.21.6535" TargetMode="External"/><Relationship Id="rId81" Type="http://schemas.openxmlformats.org/officeDocument/2006/relationships/hyperlink" Target="https://doi.org/10.1038/s41556-025-01822-7" TargetMode="External"/><Relationship Id="rId86" Type="http://schemas.openxmlformats.org/officeDocument/2006/relationships/hyperlink" Target="https://doi.org/10.1038/s41467-025-62605-0" TargetMode="External"/><Relationship Id="rId94" Type="http://schemas.openxmlformats.org/officeDocument/2006/relationships/hyperlink" Target="https://doi.org/10.1083/jcb.202409120" TargetMode="External"/><Relationship Id="rId99" Type="http://schemas.openxmlformats.org/officeDocument/2006/relationships/hyperlink" Target="https://doi.org/10.1126/science.abm9798" TargetMode="External"/><Relationship Id="rId101" Type="http://schemas.openxmlformats.org/officeDocument/2006/relationships/hyperlink" Target="https://doi.org/10.1038/emboj.2009.200" TargetMode="External"/><Relationship Id="rId4" Type="http://schemas.openxmlformats.org/officeDocument/2006/relationships/webSettings" Target="webSettings.xml"/><Relationship Id="rId9" Type="http://schemas.openxmlformats.org/officeDocument/2006/relationships/hyperlink" Target="https://doi.org/10.1093/emboj/16.21.6535" TargetMode="External"/><Relationship Id="rId13" Type="http://schemas.openxmlformats.org/officeDocument/2006/relationships/hyperlink" Target="https://doi.org/10.1038/s41556-025-01822-7" TargetMode="External"/><Relationship Id="rId18" Type="http://schemas.openxmlformats.org/officeDocument/2006/relationships/hyperlink" Target="https://doi.org/10.1038/s41467-025-62605-0" TargetMode="External"/><Relationship Id="rId39" Type="http://schemas.openxmlformats.org/officeDocument/2006/relationships/hyperlink" Target="https://doi.org/10.1038/nature06947" TargetMode="External"/><Relationship Id="rId109" Type="http://schemas.openxmlformats.org/officeDocument/2006/relationships/hyperlink" Target="https://doi.org/10.1016/j.cell.2008.11.037" TargetMode="External"/><Relationship Id="rId34" Type="http://schemas.openxmlformats.org/officeDocument/2006/relationships/hyperlink" Target="https://doi.org/10.7554/eLife.19071" TargetMode="External"/><Relationship Id="rId50" Type="http://schemas.openxmlformats.org/officeDocument/2006/relationships/hyperlink" Target="https://doi.org/10.1038/s41467-025-62605-0" TargetMode="External"/><Relationship Id="rId55" Type="http://schemas.openxmlformats.org/officeDocument/2006/relationships/hyperlink" Target="https://doi.org/10.1038/nature14503" TargetMode="External"/><Relationship Id="rId76" Type="http://schemas.openxmlformats.org/officeDocument/2006/relationships/hyperlink" Target="https://doi.org/10.1038/s41556-025-01822-7" TargetMode="External"/><Relationship Id="rId97" Type="http://schemas.openxmlformats.org/officeDocument/2006/relationships/hyperlink" Target="https://doi.org/10.1038/s41467-025-62605-0" TargetMode="External"/><Relationship Id="rId104" Type="http://schemas.openxmlformats.org/officeDocument/2006/relationships/hyperlink" Target="https://doi.org/10.1038/s41586-020-2232-x" TargetMode="External"/><Relationship Id="rId7" Type="http://schemas.openxmlformats.org/officeDocument/2006/relationships/hyperlink" Target="https://doi.org/10.1083/jcb.200509124" TargetMode="External"/><Relationship Id="rId71" Type="http://schemas.openxmlformats.org/officeDocument/2006/relationships/hyperlink" Target="https://doi.org/10.1038/s41586-020-2232-x" TargetMode="External"/><Relationship Id="rId92" Type="http://schemas.openxmlformats.org/officeDocument/2006/relationships/hyperlink" Target="https://doi.org/10.1126/science.aad7297" TargetMode="External"/><Relationship Id="rId2" Type="http://schemas.openxmlformats.org/officeDocument/2006/relationships/styles" Target="styles.xml"/><Relationship Id="rId29" Type="http://schemas.openxmlformats.org/officeDocument/2006/relationships/hyperlink" Target="https://doi.org/10.1093/emboj/16.21.6535" TargetMode="External"/><Relationship Id="rId24" Type="http://schemas.openxmlformats.org/officeDocument/2006/relationships/hyperlink" Target="https://doi.org/10.1126/science.abm9798" TargetMode="External"/><Relationship Id="rId40" Type="http://schemas.openxmlformats.org/officeDocument/2006/relationships/hyperlink" Target="https://doi.org/10.1038/nature12316" TargetMode="External"/><Relationship Id="rId45" Type="http://schemas.openxmlformats.org/officeDocument/2006/relationships/hyperlink" Target="https://doi.org/10.1093/nar/gkaf763" TargetMode="External"/><Relationship Id="rId66" Type="http://schemas.openxmlformats.org/officeDocument/2006/relationships/hyperlink" Target="https://doi.org/10.1038/ncomms8532" TargetMode="External"/><Relationship Id="rId87" Type="http://schemas.openxmlformats.org/officeDocument/2006/relationships/hyperlink" Target="https://doi.org/10.1083/jcb.200509124" TargetMode="External"/><Relationship Id="rId110" Type="http://schemas.openxmlformats.org/officeDocument/2006/relationships/header" Target="header1.xml"/><Relationship Id="rId61" Type="http://schemas.openxmlformats.org/officeDocument/2006/relationships/hyperlink" Target="https://doi.org/10.1126/science.aad7297" TargetMode="External"/><Relationship Id="rId82" Type="http://schemas.openxmlformats.org/officeDocument/2006/relationships/hyperlink" Target="https://doi.org/10.1016/j.molcel.2024.11.038" TargetMode="External"/><Relationship Id="rId19" Type="http://schemas.openxmlformats.org/officeDocument/2006/relationships/hyperlink" Target="https://doi.org/10.1083/jcb.200509124" TargetMode="External"/><Relationship Id="rId14" Type="http://schemas.openxmlformats.org/officeDocument/2006/relationships/hyperlink" Target="https://doi.org/10.1083/jcb.202409120" TargetMode="External"/><Relationship Id="rId30" Type="http://schemas.openxmlformats.org/officeDocument/2006/relationships/hyperlink" Target="https://doi.org/10.1101/gad.2040611" TargetMode="External"/><Relationship Id="rId35" Type="http://schemas.openxmlformats.org/officeDocument/2006/relationships/hyperlink" Target="https://doi.org/10.1083/jcb.201601004" TargetMode="External"/><Relationship Id="rId56" Type="http://schemas.openxmlformats.org/officeDocument/2006/relationships/hyperlink" Target="https://doi.org/10.1083/jcb.201601004" TargetMode="External"/><Relationship Id="rId77" Type="http://schemas.openxmlformats.org/officeDocument/2006/relationships/hyperlink" Target="https://doi.org/10.1083/jcb.201601004" TargetMode="External"/><Relationship Id="rId100" Type="http://schemas.openxmlformats.org/officeDocument/2006/relationships/hyperlink" Target="https://doi.org/10.1083/jcb.201601004" TargetMode="External"/><Relationship Id="rId105" Type="http://schemas.openxmlformats.org/officeDocument/2006/relationships/hyperlink" Target="https://doi.org/10.1038/nature06947" TargetMode="External"/><Relationship Id="rId8" Type="http://schemas.openxmlformats.org/officeDocument/2006/relationships/hyperlink" Target="https://doi.org/10.1038/ncomms8532" TargetMode="External"/><Relationship Id="rId51" Type="http://schemas.openxmlformats.org/officeDocument/2006/relationships/hyperlink" Target="https://doi.org/10.1083/jcb.201601004" TargetMode="External"/><Relationship Id="rId72" Type="http://schemas.openxmlformats.org/officeDocument/2006/relationships/hyperlink" Target="https://doi.org/10.1038/s41556-025-01822-7" TargetMode="External"/><Relationship Id="rId93" Type="http://schemas.openxmlformats.org/officeDocument/2006/relationships/hyperlink" Target="https://doi.org/10.1038/s41556-025-01822-7" TargetMode="External"/><Relationship Id="rId98" Type="http://schemas.openxmlformats.org/officeDocument/2006/relationships/hyperlink" Target="https://doi.org/10.1038/nature21382" TargetMode="External"/><Relationship Id="rId3" Type="http://schemas.openxmlformats.org/officeDocument/2006/relationships/settings" Target="settings.xml"/><Relationship Id="rId25" Type="http://schemas.openxmlformats.org/officeDocument/2006/relationships/hyperlink" Target="https://doi.org/10.1083/jcb.202409120" TargetMode="External"/><Relationship Id="rId46" Type="http://schemas.openxmlformats.org/officeDocument/2006/relationships/hyperlink" Target="https://doi.org/10.1038/s41556-025-01822-7" TargetMode="External"/><Relationship Id="rId67" Type="http://schemas.openxmlformats.org/officeDocument/2006/relationships/hyperlink" Target="https://doi.org/10.1083/jcb.201601004" TargetMode="External"/><Relationship Id="rId20" Type="http://schemas.openxmlformats.org/officeDocument/2006/relationships/hyperlink" Target="https://doi.org/10.1038/ncomms8532" TargetMode="External"/><Relationship Id="rId41" Type="http://schemas.openxmlformats.org/officeDocument/2006/relationships/hyperlink" Target="https://doi.org/10.1038/s41556-025-01822-7" TargetMode="External"/><Relationship Id="rId62" Type="http://schemas.openxmlformats.org/officeDocument/2006/relationships/hyperlink" Target="https://doi.org/10.1016/j.cell.2008.11.037" TargetMode="External"/><Relationship Id="rId83" Type="http://schemas.openxmlformats.org/officeDocument/2006/relationships/hyperlink" Target="https://doi.org/10.1083/jcb.202409120" TargetMode="External"/><Relationship Id="rId88" Type="http://schemas.openxmlformats.org/officeDocument/2006/relationships/hyperlink" Target="https://doi.org/10.1038/ncomms8532" TargetMode="External"/><Relationship Id="rId1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2964</Words>
  <Characters>19236</Characters>
  <Application>Microsoft Office Word</Application>
  <DocSecurity>0</DocSecurity>
  <Lines>304</Lines>
  <Paragraphs>98</Paragraphs>
  <ScaleCrop>false</ScaleCrop>
  <Company/>
  <LinksUpToDate>false</LinksUpToDate>
  <CharactersWithSpaces>22102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Nuclear Envelope: Membranes, Genome Coupling and Regulated Remodeling</dc:title>
  <dc:subject>A complete current synthesis of boundary structure and function</dc:subject>
  <dc:creator>CellNucleus</dc:creator>
  <dc:description>Current source-based review with a matching webpage edition.</dc:description>
  <cp:lastModifiedBy>Michael Hendzel</cp:lastModifiedBy>
  <cp:revision>2</cp:revision>
  <dcterms:created xsi:type="dcterms:W3CDTF">2026-10-12T09:31:00Z</dcterms:created>
  <dcterms:modified xsi:type="dcterms:W3CDTF">2026-10-12T09:32:00Z</dcterms:modified>
</cp:coreProperties>
</file>