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2B1A" w14:textId="77777777" w:rsidR="00A83A41" w:rsidRDefault="004F34A0">
      <w:pPr>
        <w:pStyle w:val="Title"/>
      </w:pPr>
      <w:r>
        <w:t>The Nuclear Lamina: Filament Architecture, Genome Attachment and Cell Function</w:t>
      </w:r>
    </w:p>
    <w:p w14:paraId="631F6F5E" w14:textId="77777777" w:rsidR="00A83A41" w:rsidRDefault="004F34A0">
      <w:pPr>
        <w:pStyle w:val="Subtitle"/>
      </w:pPr>
      <w:r>
        <w:t>A current synthesis of structural, mechanical and genetic evidence</w:t>
      </w:r>
    </w:p>
    <w:p w14:paraId="48004AB4" w14:textId="77777777" w:rsidR="00A83A41" w:rsidRDefault="004F34A0">
      <w:pPr>
        <w:spacing w:before="200" w:after="320"/>
      </w:pPr>
      <w:r>
        <w:rPr>
          <w:color w:val="087B78"/>
          <w:sz w:val="20"/>
          <w:szCs w:val="20"/>
        </w:rPr>
        <w:t>CellNucleus · Current research review · 12 October 2026</w:t>
      </w:r>
    </w:p>
    <w:p w14:paraId="4E3EC843" w14:textId="77777777" w:rsidR="00A83A41" w:rsidRDefault="004F34A0">
      <w:pPr>
        <w:pStyle w:val="Heading1"/>
      </w:pPr>
      <w:bookmarkStart w:id="0" w:name="_Toc242668369"/>
      <w:r>
        <w:t>Abstract</w:t>
      </w:r>
      <w:bookmarkEnd w:id="0"/>
    </w:p>
    <w:p w14:paraId="59958941" w14:textId="40C1EB1B" w:rsidR="00A83A41" w:rsidRDefault="004F34A0">
      <w:r>
        <w:t>The nuclear lamina combines lamin filaments with envelope-associated connections that organize the nuclear boundary and contribute to genome positioning and mechanical response. Primary studies distinguish filament architecture, lamina-associated genomic domains, deformation phenotypes and human disease genetics. Those observations are related but do not constitute one universal mechanism. Recent work identifies redundant membrane-protein tethers and models how peripheral chromatin coupling permits internal</w:t>
      </w:r>
      <w:r>
        <w:t xml:space="preserve"> structures to bear nuclear force, refining earlier descriptions centered on lamin abundance alone.</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hyperlink r:id="rId13" w:history="1">
        <w:r>
          <w:rPr>
            <w:color w:val="087B78"/>
            <w:sz w:val="18"/>
            <w:szCs w:val="18"/>
          </w:rPr>
          <w:t xml:space="preserve"> [7]</w:t>
        </w:r>
      </w:hyperlink>
    </w:p>
    <w:p w14:paraId="58BF776D" w14:textId="26198A44" w:rsidR="00A83A41" w:rsidRDefault="004F34A0">
      <w:r>
        <w:t>This review integrates the lamina’s structural, genomic and mechanical roles, with attention to biological context and timescale. It separates peripheral chromatin association from repression, disease causation from a particular cellular phenotype, and senescence-associated lamin changes from ordinary organismal aging. Current evidence supports a regulated interface with multiple functions whose consequences depend on the lamin species, associated proteins and cell state.</w:t>
      </w:r>
      <w:hyperlink r:id="rId14" w:history="1">
        <w:r>
          <w:rPr>
            <w:color w:val="087B78"/>
            <w:sz w:val="18"/>
            <w:szCs w:val="18"/>
          </w:rPr>
          <w:t xml:space="preserve"> [6]</w:t>
        </w:r>
      </w:hyperlink>
      <w:hyperlink r:id="rId15" w:history="1">
        <w:r>
          <w:rPr>
            <w:color w:val="087B78"/>
            <w:sz w:val="18"/>
            <w:szCs w:val="18"/>
          </w:rPr>
          <w:t xml:space="preserve"> [8]</w:t>
        </w:r>
      </w:hyperlink>
      <w:hyperlink r:id="rId16" w:history="1">
        <w:r>
          <w:rPr>
            <w:color w:val="087B78"/>
            <w:sz w:val="18"/>
            <w:szCs w:val="18"/>
          </w:rPr>
          <w:t xml:space="preserve"> [9]</w:t>
        </w:r>
      </w:hyperlink>
      <w:hyperlink r:id="rId17" w:history="1">
        <w:r>
          <w:rPr>
            <w:color w:val="087B78"/>
            <w:sz w:val="18"/>
            <w:szCs w:val="18"/>
          </w:rPr>
          <w:t xml:space="preserve"> [4]</w:t>
        </w:r>
      </w:hyperlink>
      <w:hyperlink r:id="rId18" w:history="1">
        <w:r>
          <w:rPr>
            <w:color w:val="087B78"/>
            <w:sz w:val="18"/>
            <w:szCs w:val="18"/>
          </w:rPr>
          <w:t xml:space="preserve"> [5]</w:t>
        </w:r>
      </w:hyperlink>
    </w:p>
    <w:p w14:paraId="44557141" w14:textId="77777777" w:rsidR="00A83A41" w:rsidRDefault="004F34A0">
      <w:pPr>
        <w:pageBreakBefore/>
        <w:spacing w:before="330"/>
      </w:pPr>
      <w:r>
        <w:rPr>
          <w:b/>
          <w:bCs/>
          <w:color w:val="173B4C"/>
          <w:sz w:val="32"/>
          <w:szCs w:val="32"/>
        </w:rPr>
        <w:lastRenderedPageBreak/>
        <w:t>Contents</w:t>
      </w:r>
    </w:p>
    <w:sdt>
      <w:sdtPr>
        <w:alias w:val="Contents"/>
        <w:id w:val="1052498310"/>
      </w:sdtPr>
      <w:sdtEndPr/>
      <w:sdtContent>
        <w:p w14:paraId="64427A98" w14:textId="40696516" w:rsidR="004F4686" w:rsidRDefault="004F34A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69" w:history="1">
            <w:r w:rsidR="004F4686" w:rsidRPr="009D3B3F">
              <w:rPr>
                <w:rStyle w:val="Hyperlink"/>
                <w:noProof/>
              </w:rPr>
              <w:t>Abstract</w:t>
            </w:r>
            <w:r w:rsidR="004F4686">
              <w:rPr>
                <w:noProof/>
              </w:rPr>
              <w:tab/>
            </w:r>
            <w:r w:rsidR="004F4686">
              <w:rPr>
                <w:noProof/>
              </w:rPr>
              <w:fldChar w:fldCharType="begin"/>
            </w:r>
            <w:r w:rsidR="004F4686">
              <w:rPr>
                <w:noProof/>
              </w:rPr>
              <w:instrText xml:space="preserve"> PAGEREF _Toc242668369 \h </w:instrText>
            </w:r>
            <w:r w:rsidR="004F4686">
              <w:rPr>
                <w:noProof/>
              </w:rPr>
            </w:r>
            <w:r w:rsidR="004F4686">
              <w:rPr>
                <w:noProof/>
              </w:rPr>
              <w:fldChar w:fldCharType="separate"/>
            </w:r>
            <w:r w:rsidR="004F4686">
              <w:rPr>
                <w:noProof/>
              </w:rPr>
              <w:t>1</w:t>
            </w:r>
            <w:r w:rsidR="004F4686">
              <w:rPr>
                <w:noProof/>
              </w:rPr>
              <w:fldChar w:fldCharType="end"/>
            </w:r>
          </w:hyperlink>
        </w:p>
        <w:p w14:paraId="65660F74" w14:textId="13C53073"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0" w:history="1">
            <w:r w:rsidRPr="009D3B3F">
              <w:rPr>
                <w:rStyle w:val="Hyperlink"/>
                <w:noProof/>
              </w:rPr>
              <w:t>1. Filaments and the surrounding interface</w:t>
            </w:r>
            <w:r>
              <w:rPr>
                <w:noProof/>
              </w:rPr>
              <w:tab/>
            </w:r>
            <w:r>
              <w:rPr>
                <w:noProof/>
              </w:rPr>
              <w:fldChar w:fldCharType="begin"/>
            </w:r>
            <w:r>
              <w:rPr>
                <w:noProof/>
              </w:rPr>
              <w:instrText xml:space="preserve"> PAGEREF _Toc242668370 \h </w:instrText>
            </w:r>
            <w:r>
              <w:rPr>
                <w:noProof/>
              </w:rPr>
            </w:r>
            <w:r>
              <w:rPr>
                <w:noProof/>
              </w:rPr>
              <w:fldChar w:fldCharType="separate"/>
            </w:r>
            <w:r>
              <w:rPr>
                <w:noProof/>
              </w:rPr>
              <w:t>2</w:t>
            </w:r>
            <w:r>
              <w:rPr>
                <w:noProof/>
              </w:rPr>
              <w:fldChar w:fldCharType="end"/>
            </w:r>
          </w:hyperlink>
        </w:p>
        <w:p w14:paraId="176BC71C" w14:textId="51BB8663"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1" w:history="1">
            <w:r w:rsidRPr="009D3B3F">
              <w:rPr>
                <w:rStyle w:val="Hyperlink"/>
                <w:noProof/>
              </w:rPr>
              <w:t>2. Lamina-associated domains are a genomic association map</w:t>
            </w:r>
            <w:r>
              <w:rPr>
                <w:noProof/>
              </w:rPr>
              <w:tab/>
            </w:r>
            <w:r>
              <w:rPr>
                <w:noProof/>
              </w:rPr>
              <w:fldChar w:fldCharType="begin"/>
            </w:r>
            <w:r>
              <w:rPr>
                <w:noProof/>
              </w:rPr>
              <w:instrText xml:space="preserve"> PAGEREF _Toc242668371 \h </w:instrText>
            </w:r>
            <w:r>
              <w:rPr>
                <w:noProof/>
              </w:rPr>
            </w:r>
            <w:r>
              <w:rPr>
                <w:noProof/>
              </w:rPr>
              <w:fldChar w:fldCharType="separate"/>
            </w:r>
            <w:r>
              <w:rPr>
                <w:noProof/>
              </w:rPr>
              <w:t>3</w:t>
            </w:r>
            <w:r>
              <w:rPr>
                <w:noProof/>
              </w:rPr>
              <w:fldChar w:fldCharType="end"/>
            </w:r>
          </w:hyperlink>
        </w:p>
        <w:p w14:paraId="1CC23B37" w14:textId="28F9B287"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2" w:history="1">
            <w:r w:rsidRPr="009D3B3F">
              <w:rPr>
                <w:rStyle w:val="Hyperlink"/>
                <w:noProof/>
              </w:rPr>
              <w:t>3. Current tethering evidence moves beyond lamin-centric models</w:t>
            </w:r>
            <w:r>
              <w:rPr>
                <w:noProof/>
              </w:rPr>
              <w:tab/>
            </w:r>
            <w:r>
              <w:rPr>
                <w:noProof/>
              </w:rPr>
              <w:fldChar w:fldCharType="begin"/>
            </w:r>
            <w:r>
              <w:rPr>
                <w:noProof/>
              </w:rPr>
              <w:instrText xml:space="preserve"> PAGEREF _Toc242668372 \h </w:instrText>
            </w:r>
            <w:r>
              <w:rPr>
                <w:noProof/>
              </w:rPr>
            </w:r>
            <w:r>
              <w:rPr>
                <w:noProof/>
              </w:rPr>
              <w:fldChar w:fldCharType="separate"/>
            </w:r>
            <w:r>
              <w:rPr>
                <w:noProof/>
              </w:rPr>
              <w:t>3</w:t>
            </w:r>
            <w:r>
              <w:rPr>
                <w:noProof/>
              </w:rPr>
              <w:fldChar w:fldCharType="end"/>
            </w:r>
          </w:hyperlink>
        </w:p>
        <w:p w14:paraId="62666FBD" w14:textId="2CF5EB93"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3" w:history="1">
            <w:r w:rsidRPr="009D3B3F">
              <w:rPr>
                <w:rStyle w:val="Hyperlink"/>
                <w:noProof/>
              </w:rPr>
              <w:t>4. Lamins contribute to deformation-dependent mechanics</w:t>
            </w:r>
            <w:r>
              <w:rPr>
                <w:noProof/>
              </w:rPr>
              <w:tab/>
            </w:r>
            <w:r>
              <w:rPr>
                <w:noProof/>
              </w:rPr>
              <w:fldChar w:fldCharType="begin"/>
            </w:r>
            <w:r>
              <w:rPr>
                <w:noProof/>
              </w:rPr>
              <w:instrText xml:space="preserve"> PAGEREF _Toc242668373 \h </w:instrText>
            </w:r>
            <w:r>
              <w:rPr>
                <w:noProof/>
              </w:rPr>
            </w:r>
            <w:r>
              <w:rPr>
                <w:noProof/>
              </w:rPr>
              <w:fldChar w:fldCharType="separate"/>
            </w:r>
            <w:r>
              <w:rPr>
                <w:noProof/>
              </w:rPr>
              <w:t>4</w:t>
            </w:r>
            <w:r>
              <w:rPr>
                <w:noProof/>
              </w:rPr>
              <w:fldChar w:fldCharType="end"/>
            </w:r>
          </w:hyperlink>
        </w:p>
        <w:p w14:paraId="0ED99FCC" w14:textId="52DF31AA"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4" w:history="1">
            <w:r w:rsidRPr="009D3B3F">
              <w:rPr>
                <w:rStyle w:val="Hyperlink"/>
                <w:noProof/>
              </w:rPr>
              <w:t>5. Chromatin attachments help transmit mechanical stress</w:t>
            </w:r>
            <w:r>
              <w:rPr>
                <w:noProof/>
              </w:rPr>
              <w:tab/>
            </w:r>
            <w:r>
              <w:rPr>
                <w:noProof/>
              </w:rPr>
              <w:fldChar w:fldCharType="begin"/>
            </w:r>
            <w:r>
              <w:rPr>
                <w:noProof/>
              </w:rPr>
              <w:instrText xml:space="preserve"> PAGEREF _Toc242668374 \h </w:instrText>
            </w:r>
            <w:r>
              <w:rPr>
                <w:noProof/>
              </w:rPr>
            </w:r>
            <w:r>
              <w:rPr>
                <w:noProof/>
              </w:rPr>
              <w:fldChar w:fldCharType="separate"/>
            </w:r>
            <w:r>
              <w:rPr>
                <w:noProof/>
              </w:rPr>
              <w:t>4</w:t>
            </w:r>
            <w:r>
              <w:rPr>
                <w:noProof/>
              </w:rPr>
              <w:fldChar w:fldCharType="end"/>
            </w:r>
          </w:hyperlink>
        </w:p>
        <w:p w14:paraId="4DD40B6F" w14:textId="0EC3EB28"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5" w:history="1">
            <w:r w:rsidRPr="009D3B3F">
              <w:rPr>
                <w:rStyle w:val="Hyperlink"/>
                <w:noProof/>
              </w:rPr>
              <w:t>6. Mechanical behavior also depends on nuclear activity</w:t>
            </w:r>
            <w:r>
              <w:rPr>
                <w:noProof/>
              </w:rPr>
              <w:tab/>
            </w:r>
            <w:r>
              <w:rPr>
                <w:noProof/>
              </w:rPr>
              <w:fldChar w:fldCharType="begin"/>
            </w:r>
            <w:r>
              <w:rPr>
                <w:noProof/>
              </w:rPr>
              <w:instrText xml:space="preserve"> PAGEREF _Toc242668375 \h </w:instrText>
            </w:r>
            <w:r>
              <w:rPr>
                <w:noProof/>
              </w:rPr>
            </w:r>
            <w:r>
              <w:rPr>
                <w:noProof/>
              </w:rPr>
              <w:fldChar w:fldCharType="separate"/>
            </w:r>
            <w:r>
              <w:rPr>
                <w:noProof/>
              </w:rPr>
              <w:t>4</w:t>
            </w:r>
            <w:r>
              <w:rPr>
                <w:noProof/>
              </w:rPr>
              <w:fldChar w:fldCharType="end"/>
            </w:r>
          </w:hyperlink>
        </w:p>
        <w:p w14:paraId="5AC76F40" w14:textId="47D893EF"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6" w:history="1">
            <w:r w:rsidRPr="009D3B3F">
              <w:rPr>
                <w:rStyle w:val="Hyperlink"/>
                <w:noProof/>
              </w:rPr>
              <w:t>7. Human genetics establishes disease links, not one cellular explanation</w:t>
            </w:r>
            <w:r>
              <w:rPr>
                <w:noProof/>
              </w:rPr>
              <w:tab/>
            </w:r>
            <w:r>
              <w:rPr>
                <w:noProof/>
              </w:rPr>
              <w:fldChar w:fldCharType="begin"/>
            </w:r>
            <w:r>
              <w:rPr>
                <w:noProof/>
              </w:rPr>
              <w:instrText xml:space="preserve"> PAGEREF _Toc242668376 \h </w:instrText>
            </w:r>
            <w:r>
              <w:rPr>
                <w:noProof/>
              </w:rPr>
            </w:r>
            <w:r>
              <w:rPr>
                <w:noProof/>
              </w:rPr>
              <w:fldChar w:fldCharType="separate"/>
            </w:r>
            <w:r>
              <w:rPr>
                <w:noProof/>
              </w:rPr>
              <w:t>5</w:t>
            </w:r>
            <w:r>
              <w:rPr>
                <w:noProof/>
              </w:rPr>
              <w:fldChar w:fldCharType="end"/>
            </w:r>
          </w:hyperlink>
        </w:p>
        <w:p w14:paraId="3003C07E" w14:textId="30157342"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7" w:history="1">
            <w:r w:rsidRPr="009D3B3F">
              <w:rPr>
                <w:rStyle w:val="Hyperlink"/>
                <w:noProof/>
              </w:rPr>
              <w:t>8. Senescence, maintenance and acute failure are distinct</w:t>
            </w:r>
            <w:r>
              <w:rPr>
                <w:noProof/>
              </w:rPr>
              <w:tab/>
            </w:r>
            <w:r>
              <w:rPr>
                <w:noProof/>
              </w:rPr>
              <w:fldChar w:fldCharType="begin"/>
            </w:r>
            <w:r>
              <w:rPr>
                <w:noProof/>
              </w:rPr>
              <w:instrText xml:space="preserve"> PAGEREF _Toc242668377 \h </w:instrText>
            </w:r>
            <w:r>
              <w:rPr>
                <w:noProof/>
              </w:rPr>
            </w:r>
            <w:r>
              <w:rPr>
                <w:noProof/>
              </w:rPr>
              <w:fldChar w:fldCharType="separate"/>
            </w:r>
            <w:r>
              <w:rPr>
                <w:noProof/>
              </w:rPr>
              <w:t>6</w:t>
            </w:r>
            <w:r>
              <w:rPr>
                <w:noProof/>
              </w:rPr>
              <w:fldChar w:fldCharType="end"/>
            </w:r>
          </w:hyperlink>
        </w:p>
        <w:p w14:paraId="1AFC7E3D" w14:textId="3474EC08"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8" w:history="1">
            <w:r w:rsidRPr="009D3B3F">
              <w:rPr>
                <w:rStyle w:val="Hyperlink"/>
                <w:noProof/>
              </w:rPr>
              <w:t>9. Matching lamina evidence to the claim</w:t>
            </w:r>
            <w:r>
              <w:rPr>
                <w:noProof/>
              </w:rPr>
              <w:tab/>
            </w:r>
            <w:r>
              <w:rPr>
                <w:noProof/>
              </w:rPr>
              <w:fldChar w:fldCharType="begin"/>
            </w:r>
            <w:r>
              <w:rPr>
                <w:noProof/>
              </w:rPr>
              <w:instrText xml:space="preserve"> PAGEREF _Toc242668378 \h </w:instrText>
            </w:r>
            <w:r>
              <w:rPr>
                <w:noProof/>
              </w:rPr>
            </w:r>
            <w:r>
              <w:rPr>
                <w:noProof/>
              </w:rPr>
              <w:fldChar w:fldCharType="separate"/>
            </w:r>
            <w:r>
              <w:rPr>
                <w:noProof/>
              </w:rPr>
              <w:t>6</w:t>
            </w:r>
            <w:r>
              <w:rPr>
                <w:noProof/>
              </w:rPr>
              <w:fldChar w:fldCharType="end"/>
            </w:r>
          </w:hyperlink>
        </w:p>
        <w:p w14:paraId="6383A32E" w14:textId="1ADB9BA6"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9" w:history="1">
            <w:r w:rsidRPr="009D3B3F">
              <w:rPr>
                <w:rStyle w:val="Hyperlink"/>
                <w:noProof/>
              </w:rPr>
              <w:t>10. A current account of lamina function</w:t>
            </w:r>
            <w:r>
              <w:rPr>
                <w:noProof/>
              </w:rPr>
              <w:tab/>
            </w:r>
            <w:r>
              <w:rPr>
                <w:noProof/>
              </w:rPr>
              <w:fldChar w:fldCharType="begin"/>
            </w:r>
            <w:r>
              <w:rPr>
                <w:noProof/>
              </w:rPr>
              <w:instrText xml:space="preserve"> PAGEREF _Toc242668379 \h </w:instrText>
            </w:r>
            <w:r>
              <w:rPr>
                <w:noProof/>
              </w:rPr>
            </w:r>
            <w:r>
              <w:rPr>
                <w:noProof/>
              </w:rPr>
              <w:fldChar w:fldCharType="separate"/>
            </w:r>
            <w:r>
              <w:rPr>
                <w:noProof/>
              </w:rPr>
              <w:t>7</w:t>
            </w:r>
            <w:r>
              <w:rPr>
                <w:noProof/>
              </w:rPr>
              <w:fldChar w:fldCharType="end"/>
            </w:r>
          </w:hyperlink>
        </w:p>
        <w:p w14:paraId="4C17FE51" w14:textId="69481B46"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0" w:history="1">
            <w:r w:rsidRPr="009D3B3F">
              <w:rPr>
                <w:rStyle w:val="Hyperlink"/>
                <w:noProof/>
              </w:rPr>
              <w:t>References</w:t>
            </w:r>
            <w:r>
              <w:rPr>
                <w:noProof/>
              </w:rPr>
              <w:tab/>
            </w:r>
            <w:r>
              <w:rPr>
                <w:noProof/>
              </w:rPr>
              <w:fldChar w:fldCharType="begin"/>
            </w:r>
            <w:r>
              <w:rPr>
                <w:noProof/>
              </w:rPr>
              <w:instrText xml:space="preserve"> PAGEREF _Toc242668380 \h </w:instrText>
            </w:r>
            <w:r>
              <w:rPr>
                <w:noProof/>
              </w:rPr>
            </w:r>
            <w:r>
              <w:rPr>
                <w:noProof/>
              </w:rPr>
              <w:fldChar w:fldCharType="separate"/>
            </w:r>
            <w:r>
              <w:rPr>
                <w:noProof/>
              </w:rPr>
              <w:t>7</w:t>
            </w:r>
            <w:r>
              <w:rPr>
                <w:noProof/>
              </w:rPr>
              <w:fldChar w:fldCharType="end"/>
            </w:r>
          </w:hyperlink>
        </w:p>
        <w:p w14:paraId="4F8444C3" w14:textId="76B9D7B2" w:rsidR="004F4686" w:rsidRDefault="004F468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1" w:history="1">
            <w:r w:rsidRPr="009D3B3F">
              <w:rPr>
                <w:rStyle w:val="Hyperlink"/>
                <w:noProof/>
              </w:rPr>
              <w:t>Evidence scope</w:t>
            </w:r>
            <w:r>
              <w:rPr>
                <w:noProof/>
              </w:rPr>
              <w:tab/>
            </w:r>
            <w:r>
              <w:rPr>
                <w:noProof/>
              </w:rPr>
              <w:fldChar w:fldCharType="begin"/>
            </w:r>
            <w:r>
              <w:rPr>
                <w:noProof/>
              </w:rPr>
              <w:instrText xml:space="preserve"> PAGEREF _Toc242668381 \h </w:instrText>
            </w:r>
            <w:r>
              <w:rPr>
                <w:noProof/>
              </w:rPr>
            </w:r>
            <w:r>
              <w:rPr>
                <w:noProof/>
              </w:rPr>
              <w:fldChar w:fldCharType="separate"/>
            </w:r>
            <w:r>
              <w:rPr>
                <w:noProof/>
              </w:rPr>
              <w:t>8</w:t>
            </w:r>
            <w:r>
              <w:rPr>
                <w:noProof/>
              </w:rPr>
              <w:fldChar w:fldCharType="end"/>
            </w:r>
          </w:hyperlink>
        </w:p>
        <w:p w14:paraId="591172DC" w14:textId="204ED6CA" w:rsidR="00A83A41" w:rsidRDefault="004F34A0">
          <w:r>
            <w:fldChar w:fldCharType="end"/>
          </w:r>
        </w:p>
      </w:sdtContent>
    </w:sdt>
    <w:p w14:paraId="0D70523E" w14:textId="77777777" w:rsidR="00A83A41" w:rsidRDefault="004F34A0">
      <w:pPr>
        <w:pStyle w:val="Heading1"/>
      </w:pPr>
      <w:bookmarkStart w:id="1" w:name="_Toc242668370"/>
      <w:r>
        <w:t>1. Filaments and the surrounding interface</w:t>
      </w:r>
      <w:bookmarkEnd w:id="1"/>
    </w:p>
    <w:p w14:paraId="290FD2B7" w14:textId="40407C71" w:rsidR="00A83A41" w:rsidRDefault="004F34A0">
      <w:r>
        <w:t>The lamina should be understood as part of an envelope-associated interface rather than an isolated uniform sheet. Turgay and colleagues resolved the molecular architecture of lamin filaments in a defined prepared somatic-cell system. Their findings identify thin filaments and their arrangement at the boundary, providing structural constraints for mechanical models. The filament dimensions in that specimen are not equivalent to the thickness of the entire live-cell lamina or a universal measure of nuclear s</w:t>
      </w:r>
      <w:r>
        <w:t>tiffness. Membrane proteins, chromatin attachments and connections to other structures also contribute to how the boundary functions.</w:t>
      </w:r>
      <w:hyperlink r:id="rId19" w:history="1">
        <w:r>
          <w:rPr>
            <w:color w:val="087B78"/>
            <w:sz w:val="18"/>
            <w:szCs w:val="18"/>
          </w:rPr>
          <w:t xml:space="preserve"> [1]</w:t>
        </w:r>
      </w:hyperlink>
      <w:hyperlink r:id="rId20" w:history="1">
        <w:r>
          <w:rPr>
            <w:color w:val="087B78"/>
            <w:sz w:val="18"/>
            <w:szCs w:val="18"/>
          </w:rPr>
          <w:t xml:space="preserve"> [6]</w:t>
        </w:r>
      </w:hyperlink>
      <w:hyperlink r:id="rId21" w:history="1">
        <w:r>
          <w:rPr>
            <w:color w:val="087B78"/>
            <w:sz w:val="18"/>
            <w:szCs w:val="18"/>
          </w:rPr>
          <w:t xml:space="preserve"> [10]</w:t>
        </w:r>
      </w:hyperlink>
    </w:p>
    <w:p w14:paraId="5F13872D" w14:textId="2D702092" w:rsidR="00A83A41" w:rsidRDefault="004F34A0">
      <w:r>
        <w:t>A- and B-type lamin components must be distinguished from membrane proteins that connect them to chromatin or to the cytoskeleton. Molecular association gives candidate routes for coupling, while depletion and rescue experiments test functional contributions. The LINC-complex experiments of Crisp and colleagues showed SUN-dependent localization of nesprin 2 and a bridge across the perinuclear space. Lewis and colleagues examined different inner-membrane proteins as chromatin tethers. These interfaces can in</w:t>
      </w:r>
      <w:r>
        <w:t>teract mechanically, but they address different connections: external force delivery and peripheral genome attachment are separate aspects of lamina-associated organization.</w:t>
      </w:r>
      <w:hyperlink r:id="rId22" w:history="1">
        <w:r>
          <w:rPr>
            <w:color w:val="087B78"/>
            <w:sz w:val="18"/>
            <w:szCs w:val="18"/>
          </w:rPr>
          <w:t xml:space="preserve"> [10]</w:t>
        </w:r>
      </w:hyperlink>
      <w:hyperlink r:id="rId23" w:history="1">
        <w:r>
          <w:rPr>
            <w:color w:val="087B78"/>
            <w:sz w:val="18"/>
            <w:szCs w:val="18"/>
          </w:rPr>
          <w:t xml:space="preserve"> [6]</w:t>
        </w:r>
      </w:hyperlink>
      <w:hyperlink r:id="rId24" w:history="1">
        <w:r>
          <w:rPr>
            <w:color w:val="087B78"/>
            <w:sz w:val="18"/>
            <w:szCs w:val="18"/>
          </w:rPr>
          <w:t xml:space="preserve"> [1]</w:t>
        </w:r>
      </w:hyperlink>
    </w:p>
    <w:p w14:paraId="0B35BB3E" w14:textId="77777777" w:rsidR="00A83A41" w:rsidRDefault="004F34A0">
      <w:pPr>
        <w:pStyle w:val="Heading1"/>
      </w:pPr>
      <w:bookmarkStart w:id="2" w:name="_Toc242668371"/>
      <w:r>
        <w:lastRenderedPageBreak/>
        <w:t>2. Lamina-associated domains are a genomic association map</w:t>
      </w:r>
      <w:bookmarkEnd w:id="2"/>
    </w:p>
    <w:p w14:paraId="275CF099" w14:textId="70A17779" w:rsidR="00A83A41" w:rsidRDefault="004F34A0">
      <w:r>
        <w:t>Guelen and colleagues mapped broad domains of lamina interaction in human fibroblasts, linking peripheral association to characteristic genomic and expression organization. The map changed the scale of the question from a few visible loci to genome-wide domain patterns. It nevertheless remains an association measurement in a specified cell population. A genomic interval assigned to a LAD is not thereby shown to remain attached at every instant in every cell, and a low-expression association does not establi</w:t>
      </w:r>
      <w:r>
        <w:t>sh that peripheral localization is the sole cause of its transcriptional state.</w:t>
      </w:r>
      <w:hyperlink r:id="rId25" w:history="1">
        <w:r>
          <w:rPr>
            <w:color w:val="087B78"/>
            <w:sz w:val="18"/>
            <w:szCs w:val="18"/>
          </w:rPr>
          <w:t xml:space="preserve"> [2]</w:t>
        </w:r>
      </w:hyperlink>
    </w:p>
    <w:p w14:paraId="3386E477" w14:textId="6EF57C8D" w:rsidR="00A83A41" w:rsidRDefault="004F34A0">
      <w:r>
        <w:t>The original study has a corrigendum correcting the identity of a chromatin-mark dataset and the provenance of Methods data. The corrected H3K9me3 information should accompany use of the paper. This editorial point matters because a genomic association can be interpreted differently if the underlying chromatin mark is mislabeled. The correction does not supply a new experiment on mechanical tethering, and its presence should not be used to infer changes beyond its stated scope. A lamina review should distin</w:t>
      </w:r>
      <w:r>
        <w:t>guish the primary mapping result, its corrected annotation and later mechanistic tests.</w:t>
      </w:r>
      <w:hyperlink r:id="rId26" w:history="1">
        <w:r>
          <w:rPr>
            <w:color w:val="087B78"/>
            <w:sz w:val="18"/>
            <w:szCs w:val="18"/>
          </w:rPr>
          <w:t xml:space="preserve"> [2]</w:t>
        </w:r>
      </w:hyperlink>
      <w:hyperlink r:id="rId27" w:history="1">
        <w:r>
          <w:rPr>
            <w:color w:val="087B78"/>
            <w:sz w:val="18"/>
            <w:szCs w:val="18"/>
          </w:rPr>
          <w:t xml:space="preserve"> [11]</w:t>
        </w:r>
      </w:hyperlink>
    </w:p>
    <w:p w14:paraId="58F77CA0" w14:textId="77777777" w:rsidR="00A83A41" w:rsidRDefault="004F34A0">
      <w:pPr>
        <w:pStyle w:val="Heading1"/>
      </w:pPr>
      <w:bookmarkStart w:id="3" w:name="_Toc242668372"/>
      <w:r>
        <w:t>3. Current tethering evidence moves beyond lamin-centric models</w:t>
      </w:r>
      <w:bookmarkEnd w:id="3"/>
    </w:p>
    <w:p w14:paraId="2974E656" w14:textId="64C236CA" w:rsidR="00A83A41" w:rsidRDefault="004F34A0">
      <w:r>
        <w:t>Lewis and colleagues used combined depletion and genetic approaches to identify factors maintaining peripheral heterochromatin in mammalian cells. Their 2026 study implicated LBR and membrane-bound LAP2 isoforms as major redundant contributors, with rescue evidence supporting a functional tethering role. The response depended on the combination of envelope proteins perturbed. This is more precise than assuming that lamin A/C alone provides every heterochromatin attachment or that removing one candidate nece</w:t>
      </w:r>
      <w:r>
        <w:t>ssarily releases all peripheral chromatin. Redundancy is a biological mechanism that must be considered when interpreting a mild single-depletion phenotype.</w:t>
      </w:r>
      <w:hyperlink r:id="rId28" w:history="1">
        <w:r>
          <w:rPr>
            <w:color w:val="087B78"/>
            <w:sz w:val="18"/>
            <w:szCs w:val="18"/>
          </w:rPr>
          <w:t xml:space="preserve"> [6]</w:t>
        </w:r>
      </w:hyperlink>
    </w:p>
    <w:p w14:paraId="04B52D6A" w14:textId="487686D7" w:rsidR="00A83A41" w:rsidRDefault="004F34A0">
      <w:r>
        <w:t>The same study separated immediate structural change from longer-term regulatory consequences. Short-term release of peripheral heterochromatin produced limited initial expression changes, whereas persistent loss was associated with broader chromatin and transcriptional effects. This temporal distinction prevents peripheral position from being equated with instantaneous, universal gene repression. It instead suggests that attachment helps maintain a nuclear organizational state whose consequences accumulate</w:t>
      </w:r>
      <w:r>
        <w:t xml:space="preserve"> through chromatin and regulatory changes. Tests of causality should therefore follow the order of positioning, epigenetic and expression responses, rather than infer all of them from one endpoint image.</w:t>
      </w:r>
      <w:hyperlink r:id="rId29" w:history="1">
        <w:r>
          <w:rPr>
            <w:color w:val="087B78"/>
            <w:sz w:val="18"/>
            <w:szCs w:val="18"/>
          </w:rPr>
          <w:t xml:space="preserve"> [6]</w:t>
        </w:r>
      </w:hyperlink>
      <w:hyperlink r:id="rId30" w:history="1">
        <w:r>
          <w:rPr>
            <w:color w:val="087B78"/>
            <w:sz w:val="18"/>
            <w:szCs w:val="18"/>
          </w:rPr>
          <w:t xml:space="preserve"> [2]</w:t>
        </w:r>
      </w:hyperlink>
    </w:p>
    <w:p w14:paraId="359BE984" w14:textId="77777777" w:rsidR="00A83A41" w:rsidRDefault="004F34A0">
      <w:pPr>
        <w:pStyle w:val="Heading1"/>
      </w:pPr>
      <w:bookmarkStart w:id="4" w:name="_Toc242668373"/>
      <w:r>
        <w:lastRenderedPageBreak/>
        <w:t>4. Lamins contribute to deformation-dependent mechanics</w:t>
      </w:r>
      <w:bookmarkEnd w:id="4"/>
    </w:p>
    <w:p w14:paraId="395A34A9" w14:textId="09250ED5" w:rsidR="00A83A41" w:rsidRDefault="004F34A0">
      <w:r>
        <w:t xml:space="preserve">Lammerding and colleagues showed altered nuclear deformation and selected mechanotransduction responses in lamin-A/C-deficient mouse-cell models. Their work connects the genetic perturbation to a cellular mechanical phenotype under defined loading conditions. It does not demonstrate that every human LMNA variant produces the same phenotype or that surface-bead measurements constitute intranuclear particle rheology. Force transmission through the surrounding cell and mechanical resistance of the nucleus are </w:t>
      </w:r>
      <w:r>
        <w:t>related variables, and controls distinguishing them are essential to assign a nuclear contribution.</w:t>
      </w:r>
      <w:hyperlink r:id="rId31" w:history="1">
        <w:r>
          <w:rPr>
            <w:color w:val="087B78"/>
            <w:sz w:val="18"/>
            <w:szCs w:val="18"/>
          </w:rPr>
          <w:t xml:space="preserve"> [8]</w:t>
        </w:r>
      </w:hyperlink>
    </w:p>
    <w:p w14:paraId="54A30AB7" w14:textId="1D7D6C23" w:rsidR="00A83A41" w:rsidRDefault="004F34A0">
      <w:r>
        <w:t xml:space="preserve">Stephens and colleagues examined isolated nuclei and distinguished two response regimes: chromatin had a major contribution at smaller extensions, while lamin A supported strain stiffening at larger deformations. This result locates lamina function within a composite rather than making it the sole nuclear load-bearing material. An isolated-nucleus force–extension slope is geometry dependent and should not be presented as a universal elastic modulus. The biological interpretation is that lamin contributions </w:t>
      </w:r>
      <w:r>
        <w:t>become especially important when the nuclear boundary is extended sufficiently to recruit that response.</w:t>
      </w:r>
      <w:hyperlink r:id="rId32" w:history="1">
        <w:r>
          <w:rPr>
            <w:color w:val="087B78"/>
            <w:sz w:val="18"/>
            <w:szCs w:val="18"/>
          </w:rPr>
          <w:t xml:space="preserve"> [3]</w:t>
        </w:r>
      </w:hyperlink>
      <w:hyperlink r:id="rId33" w:history="1">
        <w:r>
          <w:rPr>
            <w:color w:val="087B78"/>
            <w:sz w:val="18"/>
            <w:szCs w:val="18"/>
          </w:rPr>
          <w:t xml:space="preserve"> [1]</w:t>
        </w:r>
      </w:hyperlink>
    </w:p>
    <w:p w14:paraId="0DDEE7B9" w14:textId="77777777" w:rsidR="00A83A41" w:rsidRDefault="004F34A0">
      <w:pPr>
        <w:pStyle w:val="Heading1"/>
      </w:pPr>
      <w:bookmarkStart w:id="5" w:name="_Toc242668374"/>
      <w:r>
        <w:t>5. Chromatin attachments help transmit mechanical stress</w:t>
      </w:r>
      <w:bookmarkEnd w:id="5"/>
    </w:p>
    <w:p w14:paraId="3B6C647F" w14:textId="733E6B7B" w:rsidR="00A83A41" w:rsidRDefault="004F34A0">
      <w:r>
        <w:t>Attar and colleagues used polymer modeling constrained by nuclear measurements to examine the relation between peripheral heterochromatin tethering and nuclear mechanical response. In their model, peripheral links allowed externally imposed forces to engage chromatin resistance. Internal chromatin interactions alone were insufficient when the network was not adequately coupled to the boundary. This is a mechanistic interpretation within the specified model, not a direct measurement of the strength or lifeti</w:t>
      </w:r>
      <w:r>
        <w:t>me of every molecular tether. It nevertheless supplies a testable connection between lamina-associated organization and global force response.</w:t>
      </w:r>
      <w:hyperlink r:id="rId34" w:history="1">
        <w:r>
          <w:rPr>
            <w:color w:val="087B78"/>
            <w:sz w:val="18"/>
            <w:szCs w:val="18"/>
          </w:rPr>
          <w:t xml:space="preserve"> [7]</w:t>
        </w:r>
      </w:hyperlink>
    </w:p>
    <w:p w14:paraId="48583022" w14:textId="5DE578E1" w:rsidR="00A83A41" w:rsidRDefault="004F34A0">
      <w:r>
        <w:t>The implications can be tested by combining tether perturbation with mechanical measurements and chromatin-position mapping. A cell may retain lamin filaments yet lose an important chromatin connection, or retain a LAD association while altering the way forces are transmitted. Such conditions would distinguish the lamina’s filament properties from the contribution of its attachments. The optical-tweezer and imaging work of Bergamaschi and colleagues adds a route to observe internal organization while the nu</w:t>
      </w:r>
      <w:r>
        <w:t>cleus is loaded. Joint assays are therefore needed to connect a specific attachment mechanism with a composite mechanical phenotype.</w:t>
      </w:r>
      <w:hyperlink r:id="rId35" w:history="1">
        <w:r>
          <w:rPr>
            <w:color w:val="087B78"/>
            <w:sz w:val="18"/>
            <w:szCs w:val="18"/>
          </w:rPr>
          <w:t xml:space="preserve"> [6]</w:t>
        </w:r>
      </w:hyperlink>
      <w:hyperlink r:id="rId36" w:history="1">
        <w:r>
          <w:rPr>
            <w:color w:val="087B78"/>
            <w:sz w:val="18"/>
            <w:szCs w:val="18"/>
          </w:rPr>
          <w:t xml:space="preserve"> [7]</w:t>
        </w:r>
      </w:hyperlink>
      <w:hyperlink r:id="rId37" w:history="1">
        <w:r>
          <w:rPr>
            <w:color w:val="087B78"/>
            <w:sz w:val="18"/>
            <w:szCs w:val="18"/>
          </w:rPr>
          <w:t xml:space="preserve"> [12]</w:t>
        </w:r>
      </w:hyperlink>
    </w:p>
    <w:p w14:paraId="7A3B5394" w14:textId="77777777" w:rsidR="00A83A41" w:rsidRDefault="004F34A0">
      <w:pPr>
        <w:pStyle w:val="Heading1"/>
      </w:pPr>
      <w:bookmarkStart w:id="6" w:name="_Toc242668375"/>
      <w:r>
        <w:t>6. Mechanical behavior also depends on nuclear activity</w:t>
      </w:r>
      <w:bookmarkEnd w:id="6"/>
    </w:p>
    <w:p w14:paraId="51023CB1" w14:textId="31FB2AC6" w:rsidR="00A83A41" w:rsidRDefault="004F34A0">
      <w:r>
        <w:t xml:space="preserve">Metabolically active karyoplast experiments by Byfield and colleagues showed that energy dissipation and deformation could depend on ATP-related and BRM/BRG1-remodeling activity. This broadens lamina mechanics beyond a static filament shell by identifying internal active contributions. BRM-014 treatment has a dual target scope, which should remain explicit when interpreting the pharmacological result. The findings do not remove the role of lamins; they show </w:t>
      </w:r>
      <w:r>
        <w:lastRenderedPageBreak/>
        <w:t>that mechanical resistance and dissipation can change through the nuclear interior even when the experimental question is framed around whole-nucleus shape.</w:t>
      </w:r>
      <w:hyperlink r:id="rId38" w:history="1">
        <w:r>
          <w:rPr>
            <w:color w:val="087B78"/>
            <w:sz w:val="18"/>
            <w:szCs w:val="18"/>
          </w:rPr>
          <w:t xml:space="preserve"> [13]</w:t>
        </w:r>
      </w:hyperlink>
      <w:hyperlink r:id="rId39" w:history="1">
        <w:r>
          <w:rPr>
            <w:color w:val="087B78"/>
            <w:sz w:val="18"/>
            <w:szCs w:val="18"/>
          </w:rPr>
          <w:t xml:space="preserve"> [3]</w:t>
        </w:r>
      </w:hyperlink>
    </w:p>
    <w:p w14:paraId="5DDF29BE" w14:textId="19B0BE06" w:rsidR="00A83A41" w:rsidRDefault="004F34A0">
      <w:r>
        <w:t>Frequency-dependent AFM comparisons by Pørtner and colleagues further distinguish nuclear preparation and loading rate. Live and isolated MCF7 nuclei showed related modulus spectra but differences in scale and loss tangent. Consequently, lamin-associated mechanical phenotypes should be tested under matched preparation and frequency conditions. A change observed in an isolated system may reveal an intrinsic nuclear contribution, whereas the same perturbation in a living cell additionally includes boundary su</w:t>
      </w:r>
      <w:r>
        <w:t>pport and cytoskeletal coupling. Neither setting should be treated as a universal replacement for the other.</w:t>
      </w:r>
      <w:hyperlink r:id="rId40" w:history="1">
        <w:r>
          <w:rPr>
            <w:color w:val="087B78"/>
            <w:sz w:val="18"/>
            <w:szCs w:val="18"/>
          </w:rPr>
          <w:t xml:space="preserve"> [14]</w:t>
        </w:r>
      </w:hyperlink>
      <w:hyperlink r:id="rId41" w:history="1">
        <w:r>
          <w:rPr>
            <w:color w:val="087B78"/>
            <w:sz w:val="18"/>
            <w:szCs w:val="18"/>
          </w:rPr>
          <w:t xml:space="preserve"> [8]</w:t>
        </w:r>
      </w:hyperlink>
      <w:hyperlink r:id="rId42" w:history="1">
        <w:r>
          <w:rPr>
            <w:color w:val="087B78"/>
            <w:sz w:val="18"/>
            <w:szCs w:val="18"/>
          </w:rPr>
          <w:t xml:space="preserve"> [10]</w:t>
        </w:r>
      </w:hyperlink>
    </w:p>
    <w:p w14:paraId="555136E3" w14:textId="77777777" w:rsidR="00A83A41" w:rsidRDefault="004F34A0">
      <w:pPr>
        <w:pStyle w:val="Heading1"/>
      </w:pPr>
      <w:bookmarkStart w:id="7" w:name="_Toc242668376"/>
      <w:r>
        <w:t>7. Human genetics establishes disease links, not one cellular explanation</w:t>
      </w:r>
      <w:bookmarkEnd w:id="7"/>
    </w:p>
    <w:p w14:paraId="27B38CA4" w14:textId="37600687" w:rsidR="00A83A41" w:rsidRDefault="004F34A0">
      <w:r>
        <w:t>Bonne and colleagues identified LMNA mutations associated with autosomal dominant Emery–Dreifuss muscular dystrophy in families. Eriksson and colleagues identified recurrent de-novo lamin-A mutations in classical Hutchinson–Gilford progeria, linking the common variant to altered splicing and a shortened protein product. These are primary genetic findings that establish disease associations and molecular consequences in their respective contexts. The observations do not alone decide whether a particular tiss</w:t>
      </w:r>
      <w:r>
        <w:t>ue phenotype is driven primarily by altered mechanics, gene regulation, protein processing or interactions among those routes.</w:t>
      </w:r>
      <w:hyperlink r:id="rId43" w:history="1">
        <w:r>
          <w:rPr>
            <w:color w:val="087B78"/>
            <w:sz w:val="18"/>
            <w:szCs w:val="18"/>
          </w:rPr>
          <w:t xml:space="preserve"> [4]</w:t>
        </w:r>
      </w:hyperlink>
      <w:hyperlink r:id="rId44" w:history="1">
        <w:r>
          <w:rPr>
            <w:color w:val="087B78"/>
            <w:sz w:val="18"/>
            <w:szCs w:val="18"/>
          </w:rPr>
          <w:t xml:space="preserve"> [5]</w:t>
        </w:r>
      </w:hyperlink>
    </w:p>
    <w:p w14:paraId="2E2731D1" w14:textId="479FB527" w:rsidR="00A83A41" w:rsidRDefault="004F34A0">
      <w:r>
        <w:t>A mechanistic account of laminopathy therefore needs to connect the specific variant with appropriate cell and tissue phenotypes. Null-cell experiments are informative but are not equivalent to every dominant missense or splice-altering mutation. Likewise, progeria-related defects should not be equated automatically with ordinary human aging. Similar nuclear shapes can arise through different molecular changes, and distinct tissues can expose different consequences of the same broadly expressed protein. The</w:t>
      </w:r>
      <w:r>
        <w:t xml:space="preserve"> genetic result identifies the causal locus; it does not confer a single universal nuclear-mechanics signature or validate a treatment by itself.</w:t>
      </w:r>
      <w:hyperlink r:id="rId45" w:history="1">
        <w:r>
          <w:rPr>
            <w:color w:val="087B78"/>
            <w:sz w:val="18"/>
            <w:szCs w:val="18"/>
          </w:rPr>
          <w:t xml:space="preserve"> [4]</w:t>
        </w:r>
      </w:hyperlink>
      <w:hyperlink r:id="rId46" w:history="1">
        <w:r>
          <w:rPr>
            <w:color w:val="087B78"/>
            <w:sz w:val="18"/>
            <w:szCs w:val="18"/>
          </w:rPr>
          <w:t xml:space="preserve"> [5]</w:t>
        </w:r>
      </w:hyperlink>
      <w:hyperlink r:id="rId47" w:history="1">
        <w:r>
          <w:rPr>
            <w:color w:val="087B78"/>
            <w:sz w:val="18"/>
            <w:szCs w:val="18"/>
          </w:rPr>
          <w:t xml:space="preserve"> [8]</w:t>
        </w:r>
      </w:hyperlink>
    </w:p>
    <w:p w14:paraId="30AEE848" w14:textId="2C7EDFC5" w:rsidR="00A83A41" w:rsidRDefault="004F34A0">
      <w:r>
        <w:t>The genetic and mechanical evidence can be integrated through a sequence of experimentally distinct steps. First, the variant identifies the altered protein and its molecular consequence. Second, structural or localization assays determine whether filament organization or an associated interface changes. Third, force experiments quantify resistance under a relevant geometry. Finally, genome and expression measurements test regulatory consequences. This sequence does not require every laminopathy to traverse</w:t>
      </w:r>
      <w:r>
        <w:t xml:space="preserve"> the same route, and it leaves room for interaction among mechanisms. Its advantage is to locate the observed defect before assigning it a tissue-level explanation.</w:t>
      </w:r>
      <w:hyperlink r:id="rId48" w:history="1">
        <w:r>
          <w:rPr>
            <w:color w:val="087B78"/>
            <w:sz w:val="18"/>
            <w:szCs w:val="18"/>
          </w:rPr>
          <w:t xml:space="preserve"> [4]</w:t>
        </w:r>
      </w:hyperlink>
      <w:hyperlink r:id="rId49" w:history="1">
        <w:r>
          <w:rPr>
            <w:color w:val="087B78"/>
            <w:sz w:val="18"/>
            <w:szCs w:val="18"/>
          </w:rPr>
          <w:t xml:space="preserve"> [5]</w:t>
        </w:r>
      </w:hyperlink>
      <w:hyperlink r:id="rId50" w:history="1">
        <w:r>
          <w:rPr>
            <w:color w:val="087B78"/>
            <w:sz w:val="18"/>
            <w:szCs w:val="18"/>
          </w:rPr>
          <w:t xml:space="preserve"> [1]</w:t>
        </w:r>
      </w:hyperlink>
      <w:hyperlink r:id="rId51" w:history="1">
        <w:r>
          <w:rPr>
            <w:color w:val="087B78"/>
            <w:sz w:val="18"/>
            <w:szCs w:val="18"/>
          </w:rPr>
          <w:t xml:space="preserve"> [8]</w:t>
        </w:r>
      </w:hyperlink>
      <w:hyperlink r:id="rId52" w:history="1">
        <w:r>
          <w:rPr>
            <w:color w:val="087B78"/>
            <w:sz w:val="18"/>
            <w:szCs w:val="18"/>
          </w:rPr>
          <w:t xml:space="preserve"> [6]</w:t>
        </w:r>
      </w:hyperlink>
    </w:p>
    <w:p w14:paraId="4111E554" w14:textId="702FFF50" w:rsidR="00A83A41" w:rsidRDefault="004F34A0">
      <w:r>
        <w:t xml:space="preserve">Human disease is also a reason to preserve cell-state specificity in comparisons. The same lamin-associated interface can support genome attachment in one state and become mechanically important under a different load. A phenotype established in cultured mouse null cells provides a </w:t>
      </w:r>
      <w:r>
        <w:lastRenderedPageBreak/>
        <w:t>defined perturbation; a dominant human variant supplies a different molecular condition. Directly comparing them requires showing which component and function are altered in common. Similar deformability or nuclear shape can guide a hypothesis, but variant-specific rescue and appropriately matched readouts are needed to establish the shared mechanism.</w:t>
      </w:r>
      <w:hyperlink r:id="rId53" w:history="1">
        <w:r>
          <w:rPr>
            <w:color w:val="087B78"/>
            <w:sz w:val="18"/>
            <w:szCs w:val="18"/>
          </w:rPr>
          <w:t xml:space="preserve"> [4]</w:t>
        </w:r>
      </w:hyperlink>
      <w:hyperlink r:id="rId54" w:history="1">
        <w:r>
          <w:rPr>
            <w:color w:val="087B78"/>
            <w:sz w:val="18"/>
            <w:szCs w:val="18"/>
          </w:rPr>
          <w:t xml:space="preserve"> [5]</w:t>
        </w:r>
      </w:hyperlink>
      <w:hyperlink r:id="rId55" w:history="1">
        <w:r>
          <w:rPr>
            <w:color w:val="087B78"/>
            <w:sz w:val="18"/>
            <w:szCs w:val="18"/>
          </w:rPr>
          <w:t xml:space="preserve"> [8]</w:t>
        </w:r>
      </w:hyperlink>
      <w:hyperlink r:id="rId56" w:history="1">
        <w:r>
          <w:rPr>
            <w:color w:val="087B78"/>
            <w:sz w:val="18"/>
            <w:szCs w:val="18"/>
          </w:rPr>
          <w:t xml:space="preserve"> [3]</w:t>
        </w:r>
      </w:hyperlink>
    </w:p>
    <w:p w14:paraId="669792D1" w14:textId="5EB35536" w:rsidR="00A83A41" w:rsidRDefault="004F34A0">
      <w:r>
        <w:t>Current tether studies suggest another useful distinction: whether a regulatory phenotype follows loss of a physical attachment or a broader alteration in nuclear organization. Short-term and persistent perturbations can resolve that order. A direct tether-rescue that restores positioning before normalizing downstream expression would give different mechanistic information from a rescue that changes both simultaneously. Coupling such time courses to calibrated loading can further determine whether mechanica</w:t>
      </w:r>
      <w:r>
        <w:t>l and regulatory changes share the same attachment requirement. This is a concrete way to test interaction between the lamina’s structural and genomic roles.</w:t>
      </w:r>
      <w:hyperlink r:id="rId57" w:history="1">
        <w:r>
          <w:rPr>
            <w:color w:val="087B78"/>
            <w:sz w:val="18"/>
            <w:szCs w:val="18"/>
          </w:rPr>
          <w:t xml:space="preserve"> [6]</w:t>
        </w:r>
      </w:hyperlink>
      <w:hyperlink r:id="rId58" w:history="1">
        <w:r>
          <w:rPr>
            <w:color w:val="087B78"/>
            <w:sz w:val="18"/>
            <w:szCs w:val="18"/>
          </w:rPr>
          <w:t xml:space="preserve"> [7]</w:t>
        </w:r>
      </w:hyperlink>
      <w:hyperlink r:id="rId59" w:history="1">
        <w:r>
          <w:rPr>
            <w:color w:val="087B78"/>
            <w:sz w:val="18"/>
            <w:szCs w:val="18"/>
          </w:rPr>
          <w:t xml:space="preserve"> [2]</w:t>
        </w:r>
      </w:hyperlink>
    </w:p>
    <w:p w14:paraId="5FE84AD1" w14:textId="77777777" w:rsidR="00A83A41" w:rsidRDefault="004F34A0">
      <w:pPr>
        <w:pStyle w:val="Heading1"/>
      </w:pPr>
      <w:bookmarkStart w:id="8" w:name="_Toc242668377"/>
      <w:r>
        <w:t>8. Senescence, maintenance and acute failure are distinct</w:t>
      </w:r>
      <w:bookmarkEnd w:id="8"/>
    </w:p>
    <w:p w14:paraId="6D8B2D88" w14:textId="29AFFD74" w:rsidR="00A83A41" w:rsidRDefault="004F34A0">
      <w:r>
        <w:t>Freund and colleagues reported lamin-B1 loss as a senescence-associated biomarker in defined experimental models. This observation supports an association with a particular cellular state, rather than a standalone diagnosis of senescence in every cell or a universal biomarker of chronological age. Changes in lamina components can be considered alongside chromatin organization and other state markers, with the perturbation and lineage retained. A lamina measurement should specify whether it concerns expressi</w:t>
      </w:r>
      <w:r>
        <w:t>on, localization, filament architecture or a functional response, because these are not interchangeable readouts.</w:t>
      </w:r>
      <w:hyperlink r:id="rId60" w:history="1">
        <w:r>
          <w:rPr>
            <w:color w:val="087B78"/>
            <w:sz w:val="18"/>
            <w:szCs w:val="18"/>
          </w:rPr>
          <w:t xml:space="preserve"> [9]</w:t>
        </w:r>
      </w:hyperlink>
      <w:hyperlink r:id="rId61" w:history="1">
        <w:r>
          <w:rPr>
            <w:color w:val="087B78"/>
            <w:sz w:val="18"/>
            <w:szCs w:val="18"/>
          </w:rPr>
          <w:t xml:space="preserve"> [1]</w:t>
        </w:r>
      </w:hyperlink>
    </w:p>
    <w:p w14:paraId="0F5EB30B" w14:textId="366BFA1A" w:rsidR="00A83A41" w:rsidRDefault="004F34A0">
      <w:r>
        <w:t xml:space="preserve">Acute envelope rupture during constrained migration supplies a different problem. Denais and colleagues observed compartmentalization loss and ESCRT-dependent recovery in defined cancer-cell migration systems. This is not the same event as gradual lamin-B1 reduction or long-term genome-tether loss. A deformed nucleus may remain intact, and reporter recovery after a rupture does not establish full restoration of genome function. Separating maintenance, acute failure and repair is necessary to understand how </w:t>
      </w:r>
      <w:r>
        <w:t>lamina-associated architecture protects a nucleus across both routine cell states and severe mechanical challenges.</w:t>
      </w:r>
      <w:hyperlink r:id="rId62" w:history="1">
        <w:r>
          <w:rPr>
            <w:color w:val="087B78"/>
            <w:sz w:val="18"/>
            <w:szCs w:val="18"/>
          </w:rPr>
          <w:t xml:space="preserve"> [15]</w:t>
        </w:r>
      </w:hyperlink>
      <w:hyperlink r:id="rId63" w:history="1">
        <w:r>
          <w:rPr>
            <w:color w:val="087B78"/>
            <w:sz w:val="18"/>
            <w:szCs w:val="18"/>
          </w:rPr>
          <w:t xml:space="preserve"> [9]</w:t>
        </w:r>
      </w:hyperlink>
      <w:hyperlink r:id="rId64" w:history="1">
        <w:r>
          <w:rPr>
            <w:color w:val="087B78"/>
            <w:sz w:val="18"/>
            <w:szCs w:val="18"/>
          </w:rPr>
          <w:t xml:space="preserve"> [6]</w:t>
        </w:r>
      </w:hyperlink>
    </w:p>
    <w:p w14:paraId="3F07718E" w14:textId="77777777" w:rsidR="00A83A41" w:rsidRDefault="004F34A0">
      <w:pPr>
        <w:pStyle w:val="Heading1"/>
      </w:pPr>
      <w:bookmarkStart w:id="9" w:name="_Toc242668378"/>
      <w:r>
        <w:t>9. Matching lamina evidence to the claim</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83A41" w14:paraId="180A909E"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1B9C3625" w14:textId="77777777" w:rsidR="00A83A41" w:rsidRDefault="004F34A0">
            <w:pPr>
              <w:spacing w:after="50" w:line="255" w:lineRule="auto"/>
            </w:pPr>
            <w:r>
              <w:rPr>
                <w:b/>
                <w:bCs/>
                <w:color w:val="173B4C"/>
                <w:sz w:val="19"/>
                <w:szCs w:val="19"/>
              </w:rPr>
              <w:t>Evidence</w:t>
            </w:r>
          </w:p>
        </w:tc>
        <w:tc>
          <w:tcPr>
            <w:tcW w:w="3120" w:type="dxa"/>
            <w:shd w:val="clear" w:color="auto" w:fill="EAF3F3"/>
            <w:tcMar>
              <w:top w:w="105" w:type="dxa"/>
              <w:left w:w="125" w:type="dxa"/>
              <w:bottom w:w="105" w:type="dxa"/>
              <w:right w:w="125" w:type="dxa"/>
            </w:tcMar>
          </w:tcPr>
          <w:p w14:paraId="52D5EFF3" w14:textId="77777777" w:rsidR="00A83A41" w:rsidRDefault="004F34A0">
            <w:pPr>
              <w:spacing w:after="50" w:line="255" w:lineRule="auto"/>
            </w:pPr>
            <w:r>
              <w:rPr>
                <w:b/>
                <w:bCs/>
                <w:color w:val="173B4C"/>
                <w:sz w:val="19"/>
                <w:szCs w:val="19"/>
              </w:rPr>
              <w:t>Supported question</w:t>
            </w:r>
          </w:p>
        </w:tc>
        <w:tc>
          <w:tcPr>
            <w:tcW w:w="3120" w:type="dxa"/>
            <w:shd w:val="clear" w:color="auto" w:fill="EAF3F3"/>
            <w:tcMar>
              <w:top w:w="105" w:type="dxa"/>
              <w:left w:w="125" w:type="dxa"/>
              <w:bottom w:w="105" w:type="dxa"/>
              <w:right w:w="125" w:type="dxa"/>
            </w:tcMar>
          </w:tcPr>
          <w:p w14:paraId="74631431" w14:textId="77777777" w:rsidR="00A83A41" w:rsidRDefault="004F34A0">
            <w:pPr>
              <w:spacing w:after="50" w:line="255" w:lineRule="auto"/>
            </w:pPr>
            <w:r>
              <w:rPr>
                <w:b/>
                <w:bCs/>
                <w:color w:val="173B4C"/>
                <w:sz w:val="19"/>
                <w:szCs w:val="19"/>
              </w:rPr>
              <w:t>Important limitation</w:t>
            </w:r>
          </w:p>
        </w:tc>
      </w:tr>
      <w:tr w:rsidR="00A83A41" w14:paraId="322E82B5" w14:textId="77777777">
        <w:tblPrEx>
          <w:tblCellMar>
            <w:top w:w="0" w:type="dxa"/>
            <w:bottom w:w="0" w:type="dxa"/>
          </w:tblCellMar>
        </w:tblPrEx>
        <w:trPr>
          <w:cantSplit/>
        </w:trPr>
        <w:tc>
          <w:tcPr>
            <w:tcW w:w="3120" w:type="dxa"/>
            <w:tcMar>
              <w:top w:w="105" w:type="dxa"/>
              <w:left w:w="125" w:type="dxa"/>
              <w:bottom w:w="105" w:type="dxa"/>
              <w:right w:w="125" w:type="dxa"/>
            </w:tcMar>
          </w:tcPr>
          <w:p w14:paraId="685AB7C4" w14:textId="77777777" w:rsidR="00A83A41" w:rsidRDefault="004F34A0">
            <w:pPr>
              <w:spacing w:after="50" w:line="255" w:lineRule="auto"/>
            </w:pPr>
            <w:r>
              <w:rPr>
                <w:sz w:val="19"/>
                <w:szCs w:val="19"/>
              </w:rPr>
              <w:t>Prepared filament structure</w:t>
            </w:r>
          </w:p>
        </w:tc>
        <w:tc>
          <w:tcPr>
            <w:tcW w:w="3120" w:type="dxa"/>
            <w:tcMar>
              <w:top w:w="105" w:type="dxa"/>
              <w:left w:w="125" w:type="dxa"/>
              <w:bottom w:w="105" w:type="dxa"/>
              <w:right w:w="125" w:type="dxa"/>
            </w:tcMar>
          </w:tcPr>
          <w:p w14:paraId="7B48C725" w14:textId="77777777" w:rsidR="00A83A41" w:rsidRDefault="004F34A0">
            <w:pPr>
              <w:spacing w:after="50" w:line="255" w:lineRule="auto"/>
            </w:pPr>
            <w:r>
              <w:rPr>
                <w:sz w:val="19"/>
                <w:szCs w:val="19"/>
              </w:rPr>
              <w:t>How lamin filaments are arranged in the examined specimen</w:t>
            </w:r>
          </w:p>
        </w:tc>
        <w:tc>
          <w:tcPr>
            <w:tcW w:w="3120" w:type="dxa"/>
            <w:tcMar>
              <w:top w:w="105" w:type="dxa"/>
              <w:left w:w="125" w:type="dxa"/>
              <w:bottom w:w="105" w:type="dxa"/>
              <w:right w:w="125" w:type="dxa"/>
            </w:tcMar>
          </w:tcPr>
          <w:p w14:paraId="320CDAB1" w14:textId="623FCD74" w:rsidR="00A83A41" w:rsidRDefault="004F34A0">
            <w:pPr>
              <w:spacing w:after="50" w:line="255" w:lineRule="auto"/>
            </w:pPr>
            <w:r>
              <w:rPr>
                <w:sz w:val="19"/>
                <w:szCs w:val="19"/>
              </w:rPr>
              <w:t>No direct live-nuclear modulus or complete lamina thickness</w:t>
            </w:r>
            <w:hyperlink r:id="rId65" w:history="1">
              <w:r>
                <w:rPr>
                  <w:color w:val="087B78"/>
                  <w:sz w:val="18"/>
                  <w:szCs w:val="18"/>
                </w:rPr>
                <w:t xml:space="preserve"> [1]</w:t>
              </w:r>
            </w:hyperlink>
          </w:p>
        </w:tc>
      </w:tr>
      <w:tr w:rsidR="00A83A41" w14:paraId="3638CC14" w14:textId="77777777">
        <w:tblPrEx>
          <w:tblCellMar>
            <w:top w:w="0" w:type="dxa"/>
            <w:bottom w:w="0" w:type="dxa"/>
          </w:tblCellMar>
        </w:tblPrEx>
        <w:trPr>
          <w:cantSplit/>
        </w:trPr>
        <w:tc>
          <w:tcPr>
            <w:tcW w:w="3120" w:type="dxa"/>
            <w:tcMar>
              <w:top w:w="105" w:type="dxa"/>
              <w:left w:w="125" w:type="dxa"/>
              <w:bottom w:w="105" w:type="dxa"/>
              <w:right w:w="125" w:type="dxa"/>
            </w:tcMar>
          </w:tcPr>
          <w:p w14:paraId="3D591B64" w14:textId="77777777" w:rsidR="00A83A41" w:rsidRDefault="004F34A0">
            <w:pPr>
              <w:spacing w:after="50" w:line="255" w:lineRule="auto"/>
            </w:pPr>
            <w:r>
              <w:rPr>
                <w:sz w:val="19"/>
                <w:szCs w:val="19"/>
              </w:rPr>
              <w:t>LAD mapping</w:t>
            </w:r>
          </w:p>
        </w:tc>
        <w:tc>
          <w:tcPr>
            <w:tcW w:w="3120" w:type="dxa"/>
            <w:tcMar>
              <w:top w:w="105" w:type="dxa"/>
              <w:left w:w="125" w:type="dxa"/>
              <w:bottom w:w="105" w:type="dxa"/>
              <w:right w:w="125" w:type="dxa"/>
            </w:tcMar>
          </w:tcPr>
          <w:p w14:paraId="1E7CA9AA" w14:textId="77777777" w:rsidR="00A83A41" w:rsidRDefault="004F34A0">
            <w:pPr>
              <w:spacing w:after="50" w:line="255" w:lineRule="auto"/>
            </w:pPr>
            <w:r>
              <w:rPr>
                <w:sz w:val="19"/>
                <w:szCs w:val="19"/>
              </w:rPr>
              <w:t>Which genomic domains associate with the periphery</w:t>
            </w:r>
          </w:p>
        </w:tc>
        <w:tc>
          <w:tcPr>
            <w:tcW w:w="3120" w:type="dxa"/>
            <w:tcMar>
              <w:top w:w="105" w:type="dxa"/>
              <w:left w:w="125" w:type="dxa"/>
              <w:bottom w:w="105" w:type="dxa"/>
              <w:right w:w="125" w:type="dxa"/>
            </w:tcMar>
          </w:tcPr>
          <w:p w14:paraId="2F85AC89" w14:textId="0526E97C" w:rsidR="00A83A41" w:rsidRDefault="004F34A0">
            <w:pPr>
              <w:spacing w:after="50" w:line="255" w:lineRule="auto"/>
            </w:pPr>
            <w:r>
              <w:rPr>
                <w:sz w:val="19"/>
                <w:szCs w:val="19"/>
              </w:rPr>
              <w:t>Association is not permanent attachment or universal repression</w:t>
            </w:r>
            <w:hyperlink r:id="rId66" w:history="1">
              <w:r>
                <w:rPr>
                  <w:color w:val="087B78"/>
                  <w:sz w:val="18"/>
                  <w:szCs w:val="18"/>
                </w:rPr>
                <w:t xml:space="preserve"> [2]</w:t>
              </w:r>
            </w:hyperlink>
            <w:hyperlink r:id="rId67" w:history="1">
              <w:r>
                <w:rPr>
                  <w:color w:val="087B78"/>
                  <w:sz w:val="18"/>
                  <w:szCs w:val="18"/>
                </w:rPr>
                <w:t xml:space="preserve"> [11]</w:t>
              </w:r>
            </w:hyperlink>
          </w:p>
        </w:tc>
      </w:tr>
      <w:tr w:rsidR="00A83A41" w14:paraId="586622DC" w14:textId="77777777">
        <w:tblPrEx>
          <w:tblCellMar>
            <w:top w:w="0" w:type="dxa"/>
            <w:bottom w:w="0" w:type="dxa"/>
          </w:tblCellMar>
        </w:tblPrEx>
        <w:trPr>
          <w:cantSplit/>
        </w:trPr>
        <w:tc>
          <w:tcPr>
            <w:tcW w:w="3120" w:type="dxa"/>
            <w:tcMar>
              <w:top w:w="105" w:type="dxa"/>
              <w:left w:w="125" w:type="dxa"/>
              <w:bottom w:w="105" w:type="dxa"/>
              <w:right w:w="125" w:type="dxa"/>
            </w:tcMar>
          </w:tcPr>
          <w:p w14:paraId="3BF9D99B" w14:textId="77777777" w:rsidR="00A83A41" w:rsidRDefault="004F34A0">
            <w:pPr>
              <w:spacing w:after="50" w:line="255" w:lineRule="auto"/>
            </w:pPr>
            <w:r>
              <w:rPr>
                <w:sz w:val="19"/>
                <w:szCs w:val="19"/>
              </w:rPr>
              <w:lastRenderedPageBreak/>
              <w:t>Combined tether depletion and rescue</w:t>
            </w:r>
          </w:p>
        </w:tc>
        <w:tc>
          <w:tcPr>
            <w:tcW w:w="3120" w:type="dxa"/>
            <w:tcMar>
              <w:top w:w="105" w:type="dxa"/>
              <w:left w:w="125" w:type="dxa"/>
              <w:bottom w:w="105" w:type="dxa"/>
              <w:right w:w="125" w:type="dxa"/>
            </w:tcMar>
          </w:tcPr>
          <w:p w14:paraId="7B1DEDF1" w14:textId="77777777" w:rsidR="00A83A41" w:rsidRDefault="004F34A0">
            <w:pPr>
              <w:spacing w:after="50" w:line="255" w:lineRule="auto"/>
            </w:pPr>
            <w:r>
              <w:rPr>
                <w:sz w:val="19"/>
                <w:szCs w:val="19"/>
              </w:rPr>
              <w:t>Which proteins maintain peripheral chromatin in tested cells</w:t>
            </w:r>
          </w:p>
        </w:tc>
        <w:tc>
          <w:tcPr>
            <w:tcW w:w="3120" w:type="dxa"/>
            <w:tcMar>
              <w:top w:w="105" w:type="dxa"/>
              <w:left w:w="125" w:type="dxa"/>
              <w:bottom w:w="105" w:type="dxa"/>
              <w:right w:w="125" w:type="dxa"/>
            </w:tcMar>
          </w:tcPr>
          <w:p w14:paraId="463E2033" w14:textId="355B8F64" w:rsidR="00A83A41" w:rsidRDefault="004F34A0">
            <w:pPr>
              <w:spacing w:after="50" w:line="255" w:lineRule="auto"/>
            </w:pPr>
            <w:r>
              <w:rPr>
                <w:sz w:val="19"/>
                <w:szCs w:val="19"/>
              </w:rPr>
              <w:t>Redundancy and perturbation duration affect the phenotype</w:t>
            </w:r>
            <w:hyperlink r:id="rId68" w:history="1">
              <w:r>
                <w:rPr>
                  <w:color w:val="087B78"/>
                  <w:sz w:val="18"/>
                  <w:szCs w:val="18"/>
                </w:rPr>
                <w:t xml:space="preserve"> [6]</w:t>
              </w:r>
            </w:hyperlink>
          </w:p>
        </w:tc>
      </w:tr>
      <w:tr w:rsidR="00A83A41" w14:paraId="3A5D6595" w14:textId="77777777">
        <w:tblPrEx>
          <w:tblCellMar>
            <w:top w:w="0" w:type="dxa"/>
            <w:bottom w:w="0" w:type="dxa"/>
          </w:tblCellMar>
        </w:tblPrEx>
        <w:trPr>
          <w:cantSplit/>
        </w:trPr>
        <w:tc>
          <w:tcPr>
            <w:tcW w:w="3120" w:type="dxa"/>
            <w:tcMar>
              <w:top w:w="105" w:type="dxa"/>
              <w:left w:w="125" w:type="dxa"/>
              <w:bottom w:w="105" w:type="dxa"/>
              <w:right w:w="125" w:type="dxa"/>
            </w:tcMar>
          </w:tcPr>
          <w:p w14:paraId="6154460F" w14:textId="77777777" w:rsidR="00A83A41" w:rsidRDefault="004F34A0">
            <w:pPr>
              <w:spacing w:after="50" w:line="255" w:lineRule="auto"/>
            </w:pPr>
            <w:r>
              <w:rPr>
                <w:sz w:val="19"/>
                <w:szCs w:val="19"/>
              </w:rPr>
              <w:t>Nuclear deformation under load</w:t>
            </w:r>
          </w:p>
        </w:tc>
        <w:tc>
          <w:tcPr>
            <w:tcW w:w="3120" w:type="dxa"/>
            <w:tcMar>
              <w:top w:w="105" w:type="dxa"/>
              <w:left w:w="125" w:type="dxa"/>
              <w:bottom w:w="105" w:type="dxa"/>
              <w:right w:w="125" w:type="dxa"/>
            </w:tcMar>
          </w:tcPr>
          <w:p w14:paraId="79109C1D" w14:textId="77777777" w:rsidR="00A83A41" w:rsidRDefault="004F34A0">
            <w:pPr>
              <w:spacing w:after="50" w:line="255" w:lineRule="auto"/>
            </w:pPr>
            <w:r>
              <w:rPr>
                <w:sz w:val="19"/>
                <w:szCs w:val="19"/>
              </w:rPr>
              <w:t>Which components contribute in specific response regimes</w:t>
            </w:r>
          </w:p>
        </w:tc>
        <w:tc>
          <w:tcPr>
            <w:tcW w:w="3120" w:type="dxa"/>
            <w:tcMar>
              <w:top w:w="105" w:type="dxa"/>
              <w:left w:w="125" w:type="dxa"/>
              <w:bottom w:w="105" w:type="dxa"/>
              <w:right w:w="125" w:type="dxa"/>
            </w:tcMar>
          </w:tcPr>
          <w:p w14:paraId="0D420F9B" w14:textId="5D3CD9A9" w:rsidR="00A83A41" w:rsidRDefault="004F34A0">
            <w:pPr>
              <w:spacing w:after="50" w:line="255" w:lineRule="auto"/>
            </w:pPr>
            <w:r>
              <w:rPr>
                <w:sz w:val="19"/>
                <w:szCs w:val="19"/>
              </w:rPr>
              <w:t>Geometry, cell coupling and strain must be retained</w:t>
            </w:r>
            <w:hyperlink r:id="rId69" w:history="1">
              <w:r>
                <w:rPr>
                  <w:color w:val="087B78"/>
                  <w:sz w:val="18"/>
                  <w:szCs w:val="18"/>
                </w:rPr>
                <w:t xml:space="preserve"> [3]</w:t>
              </w:r>
            </w:hyperlink>
            <w:hyperlink r:id="rId70" w:history="1">
              <w:r>
                <w:rPr>
                  <w:color w:val="087B78"/>
                  <w:sz w:val="18"/>
                  <w:szCs w:val="18"/>
                </w:rPr>
                <w:t xml:space="preserve"> [8]</w:t>
              </w:r>
            </w:hyperlink>
          </w:p>
        </w:tc>
      </w:tr>
      <w:tr w:rsidR="00A83A41" w14:paraId="56570969" w14:textId="77777777">
        <w:tblPrEx>
          <w:tblCellMar>
            <w:top w:w="0" w:type="dxa"/>
            <w:bottom w:w="0" w:type="dxa"/>
          </w:tblCellMar>
        </w:tblPrEx>
        <w:trPr>
          <w:cantSplit/>
        </w:trPr>
        <w:tc>
          <w:tcPr>
            <w:tcW w:w="3120" w:type="dxa"/>
            <w:tcMar>
              <w:top w:w="105" w:type="dxa"/>
              <w:left w:w="125" w:type="dxa"/>
              <w:bottom w:w="105" w:type="dxa"/>
              <w:right w:w="125" w:type="dxa"/>
            </w:tcMar>
          </w:tcPr>
          <w:p w14:paraId="2C0EC86B" w14:textId="77777777" w:rsidR="00A83A41" w:rsidRDefault="004F34A0">
            <w:pPr>
              <w:spacing w:after="50" w:line="255" w:lineRule="auto"/>
            </w:pPr>
            <w:r>
              <w:rPr>
                <w:sz w:val="19"/>
                <w:szCs w:val="19"/>
              </w:rPr>
              <w:t>Human family/variant genetics</w:t>
            </w:r>
          </w:p>
        </w:tc>
        <w:tc>
          <w:tcPr>
            <w:tcW w:w="3120" w:type="dxa"/>
            <w:tcMar>
              <w:top w:w="105" w:type="dxa"/>
              <w:left w:w="125" w:type="dxa"/>
              <w:bottom w:w="105" w:type="dxa"/>
              <w:right w:w="125" w:type="dxa"/>
            </w:tcMar>
          </w:tcPr>
          <w:p w14:paraId="4E2B68B1" w14:textId="77777777" w:rsidR="00A83A41" w:rsidRDefault="004F34A0">
            <w:pPr>
              <w:spacing w:after="50" w:line="255" w:lineRule="auto"/>
            </w:pPr>
            <w:r>
              <w:rPr>
                <w:sz w:val="19"/>
                <w:szCs w:val="19"/>
              </w:rPr>
              <w:t>Which LMNA changes are associated with defined diseases</w:t>
            </w:r>
          </w:p>
        </w:tc>
        <w:tc>
          <w:tcPr>
            <w:tcW w:w="3120" w:type="dxa"/>
            <w:tcMar>
              <w:top w:w="105" w:type="dxa"/>
              <w:left w:w="125" w:type="dxa"/>
              <w:bottom w:w="105" w:type="dxa"/>
              <w:right w:w="125" w:type="dxa"/>
            </w:tcMar>
          </w:tcPr>
          <w:p w14:paraId="725C3480" w14:textId="5D5FEB28" w:rsidR="00A83A41" w:rsidRDefault="004F34A0">
            <w:pPr>
              <w:spacing w:after="50" w:line="255" w:lineRule="auto"/>
            </w:pPr>
            <w:r>
              <w:rPr>
                <w:sz w:val="19"/>
                <w:szCs w:val="19"/>
              </w:rPr>
              <w:t>Mechanics and tissue mechanisms require additional experiments</w:t>
            </w:r>
            <w:hyperlink r:id="rId71" w:history="1">
              <w:r>
                <w:rPr>
                  <w:color w:val="087B78"/>
                  <w:sz w:val="18"/>
                  <w:szCs w:val="18"/>
                </w:rPr>
                <w:t xml:space="preserve"> [4]</w:t>
              </w:r>
            </w:hyperlink>
            <w:hyperlink r:id="rId72" w:history="1">
              <w:r>
                <w:rPr>
                  <w:color w:val="087B78"/>
                  <w:sz w:val="18"/>
                  <w:szCs w:val="18"/>
                </w:rPr>
                <w:t xml:space="preserve"> [5]</w:t>
              </w:r>
            </w:hyperlink>
          </w:p>
        </w:tc>
      </w:tr>
      <w:tr w:rsidR="00A83A41" w14:paraId="03D4FE2D" w14:textId="77777777">
        <w:tblPrEx>
          <w:tblCellMar>
            <w:top w:w="0" w:type="dxa"/>
            <w:bottom w:w="0" w:type="dxa"/>
          </w:tblCellMar>
        </w:tblPrEx>
        <w:trPr>
          <w:cantSplit/>
        </w:trPr>
        <w:tc>
          <w:tcPr>
            <w:tcW w:w="3120" w:type="dxa"/>
            <w:tcMar>
              <w:top w:w="105" w:type="dxa"/>
              <w:left w:w="125" w:type="dxa"/>
              <w:bottom w:w="105" w:type="dxa"/>
              <w:right w:w="125" w:type="dxa"/>
            </w:tcMar>
          </w:tcPr>
          <w:p w14:paraId="6410E52C" w14:textId="77777777" w:rsidR="00A83A41" w:rsidRDefault="004F34A0">
            <w:pPr>
              <w:spacing w:after="50" w:line="255" w:lineRule="auto"/>
            </w:pPr>
            <w:r>
              <w:rPr>
                <w:sz w:val="19"/>
                <w:szCs w:val="19"/>
              </w:rPr>
              <w:t>Senescence-state comparisons</w:t>
            </w:r>
          </w:p>
        </w:tc>
        <w:tc>
          <w:tcPr>
            <w:tcW w:w="3120" w:type="dxa"/>
            <w:tcMar>
              <w:top w:w="105" w:type="dxa"/>
              <w:left w:w="125" w:type="dxa"/>
              <w:bottom w:w="105" w:type="dxa"/>
              <w:right w:w="125" w:type="dxa"/>
            </w:tcMar>
          </w:tcPr>
          <w:p w14:paraId="7734B5A1" w14:textId="77777777" w:rsidR="00A83A41" w:rsidRDefault="004F34A0">
            <w:pPr>
              <w:spacing w:after="50" w:line="255" w:lineRule="auto"/>
            </w:pPr>
            <w:r>
              <w:rPr>
                <w:sz w:val="19"/>
                <w:szCs w:val="19"/>
              </w:rPr>
              <w:t>Whether lamin-B1 loss accompanies the examined state</w:t>
            </w:r>
          </w:p>
        </w:tc>
        <w:tc>
          <w:tcPr>
            <w:tcW w:w="3120" w:type="dxa"/>
            <w:tcMar>
              <w:top w:w="105" w:type="dxa"/>
              <w:left w:w="125" w:type="dxa"/>
              <w:bottom w:w="105" w:type="dxa"/>
              <w:right w:w="125" w:type="dxa"/>
            </w:tcMar>
          </w:tcPr>
          <w:p w14:paraId="3C28C9DD" w14:textId="34C352D0" w:rsidR="00A83A41" w:rsidRDefault="004F34A0">
            <w:pPr>
              <w:spacing w:after="50" w:line="255" w:lineRule="auto"/>
            </w:pPr>
            <w:r>
              <w:rPr>
                <w:sz w:val="19"/>
                <w:szCs w:val="19"/>
              </w:rPr>
              <w:t>Not a universal age or single-cell diagnostic</w:t>
            </w:r>
            <w:hyperlink r:id="rId73" w:history="1">
              <w:r>
                <w:rPr>
                  <w:color w:val="087B78"/>
                  <w:sz w:val="18"/>
                  <w:szCs w:val="18"/>
                </w:rPr>
                <w:t xml:space="preserve"> [9]</w:t>
              </w:r>
            </w:hyperlink>
          </w:p>
        </w:tc>
      </w:tr>
    </w:tbl>
    <w:p w14:paraId="1D27C47D" w14:textId="77777777" w:rsidR="00A83A41" w:rsidRDefault="00A83A41">
      <w:pPr>
        <w:spacing w:after="170"/>
      </w:pPr>
    </w:p>
    <w:p w14:paraId="19A9B579" w14:textId="4F9604EA" w:rsidR="00A83A41" w:rsidRDefault="004F34A0">
      <w:r>
        <w:t>These distinctions guide experimental design. A hypothesis about genome attachment should include position and rescue readouts; a mechanical hypothesis should include calibrated loading and component perturbation; a disease hypothesis should preserve the variant and relevant lineage. Combining them can identify a route from altered attachment to force response and downstream function, but the route should be demonstrated rather than inferred from a shared change in nuclear shape. Current tethering and mecha</w:t>
      </w:r>
      <w:r>
        <w:t>nical studies make such tests feasible by defining more specific molecular links.</w:t>
      </w:r>
      <w:hyperlink r:id="rId74" w:history="1">
        <w:r>
          <w:rPr>
            <w:color w:val="087B78"/>
            <w:sz w:val="18"/>
            <w:szCs w:val="18"/>
          </w:rPr>
          <w:t xml:space="preserve"> [6]</w:t>
        </w:r>
      </w:hyperlink>
      <w:hyperlink r:id="rId75" w:history="1">
        <w:r>
          <w:rPr>
            <w:color w:val="087B78"/>
            <w:sz w:val="18"/>
            <w:szCs w:val="18"/>
          </w:rPr>
          <w:t xml:space="preserve"> [7]</w:t>
        </w:r>
      </w:hyperlink>
      <w:hyperlink r:id="rId76" w:history="1">
        <w:r>
          <w:rPr>
            <w:color w:val="087B78"/>
            <w:sz w:val="18"/>
            <w:szCs w:val="18"/>
          </w:rPr>
          <w:t xml:space="preserve"> [12]</w:t>
        </w:r>
      </w:hyperlink>
      <w:hyperlink r:id="rId77" w:history="1">
        <w:r>
          <w:rPr>
            <w:color w:val="087B78"/>
            <w:sz w:val="18"/>
            <w:szCs w:val="18"/>
          </w:rPr>
          <w:t xml:space="preserve"> [4]</w:t>
        </w:r>
      </w:hyperlink>
      <w:hyperlink r:id="rId78" w:history="1">
        <w:r>
          <w:rPr>
            <w:color w:val="087B78"/>
            <w:sz w:val="18"/>
            <w:szCs w:val="18"/>
          </w:rPr>
          <w:t xml:space="preserve"> [5]</w:t>
        </w:r>
      </w:hyperlink>
    </w:p>
    <w:p w14:paraId="1EA39011" w14:textId="77777777" w:rsidR="00A83A41" w:rsidRDefault="004F34A0">
      <w:pPr>
        <w:pStyle w:val="Heading1"/>
      </w:pPr>
      <w:bookmarkStart w:id="10" w:name="_Toc242668379"/>
      <w:r>
        <w:t>10. A current account of lamina function</w:t>
      </w:r>
      <w:bookmarkEnd w:id="10"/>
    </w:p>
    <w:p w14:paraId="03DA9CFE" w14:textId="13973EBE" w:rsidR="00A83A41" w:rsidRDefault="004F34A0">
      <w:r>
        <w:t>The lamina contributes through filament architecture and its connections to membranes, chromatin and the cytoskeleton. Its physical effects depend on deformation, coupling and biological activity, while its genomic consequences depend on the duration and redundancy of attachment. Current evidence therefore favors describing a regulated interface with separable functions instead of a single structural or gene-silencing role. The next challenge is to connect specific lamin variants and tether components to ma</w:t>
      </w:r>
      <w:r>
        <w:t>tched structural, mechanical and regulatory measurements in relevant cell states.</w:t>
      </w:r>
      <w:hyperlink r:id="rId79" w:history="1">
        <w:r>
          <w:rPr>
            <w:color w:val="087B78"/>
            <w:sz w:val="18"/>
            <w:szCs w:val="18"/>
          </w:rPr>
          <w:t xml:space="preserve"> [1]</w:t>
        </w:r>
      </w:hyperlink>
      <w:hyperlink r:id="rId80" w:history="1">
        <w:r>
          <w:rPr>
            <w:color w:val="087B78"/>
            <w:sz w:val="18"/>
            <w:szCs w:val="18"/>
          </w:rPr>
          <w:t xml:space="preserve"> [3]</w:t>
        </w:r>
      </w:hyperlink>
      <w:hyperlink r:id="rId81" w:history="1">
        <w:r>
          <w:rPr>
            <w:color w:val="087B78"/>
            <w:sz w:val="18"/>
            <w:szCs w:val="18"/>
          </w:rPr>
          <w:t xml:space="preserve"> [6]</w:t>
        </w:r>
      </w:hyperlink>
      <w:hyperlink r:id="rId82" w:history="1">
        <w:r>
          <w:rPr>
            <w:color w:val="087B78"/>
            <w:sz w:val="18"/>
            <w:szCs w:val="18"/>
          </w:rPr>
          <w:t xml:space="preserve"> [7]</w:t>
        </w:r>
      </w:hyperlink>
      <w:hyperlink r:id="rId83" w:history="1">
        <w:r>
          <w:rPr>
            <w:color w:val="087B78"/>
            <w:sz w:val="18"/>
            <w:szCs w:val="18"/>
          </w:rPr>
          <w:t xml:space="preserve"> [13]</w:t>
        </w:r>
      </w:hyperlink>
      <w:hyperlink r:id="rId84" w:history="1">
        <w:r>
          <w:rPr>
            <w:color w:val="087B78"/>
            <w:sz w:val="18"/>
            <w:szCs w:val="18"/>
          </w:rPr>
          <w:t xml:space="preserve"> [4]</w:t>
        </w:r>
      </w:hyperlink>
      <w:hyperlink r:id="rId85" w:history="1">
        <w:r>
          <w:rPr>
            <w:color w:val="087B78"/>
            <w:sz w:val="18"/>
            <w:szCs w:val="18"/>
          </w:rPr>
          <w:t xml:space="preserve"> [5]</w:t>
        </w:r>
      </w:hyperlink>
    </w:p>
    <w:p w14:paraId="74C57451" w14:textId="77777777" w:rsidR="00A83A41" w:rsidRDefault="004F34A0">
      <w:pPr>
        <w:pStyle w:val="Heading1"/>
      </w:pPr>
      <w:bookmarkStart w:id="11" w:name="_Toc242668380"/>
      <w:r>
        <w:t>References</w:t>
      </w:r>
      <w:bookmarkEnd w:id="11"/>
    </w:p>
    <w:p w14:paraId="560C4288" w14:textId="63F17559" w:rsidR="00A83A41" w:rsidRDefault="004F34A0">
      <w:pPr>
        <w:keepLines/>
        <w:spacing w:after="90" w:line="245" w:lineRule="auto"/>
      </w:pPr>
      <w:r>
        <w:rPr>
          <w:b/>
          <w:bCs/>
          <w:sz w:val="20"/>
          <w:szCs w:val="20"/>
        </w:rPr>
        <w:t xml:space="preserve">[1] Yagmur Turgay, Matthias Eibauer, Anne E. Goldman et al. (2017). </w:t>
      </w:r>
      <w:r>
        <w:rPr>
          <w:sz w:val="20"/>
          <w:szCs w:val="20"/>
        </w:rPr>
        <w:t xml:space="preserve">The molecular architecture of lamins in somatic cells. Nature. </w:t>
      </w:r>
      <w:hyperlink r:id="rId86" w:history="1">
        <w:r>
          <w:rPr>
            <w:color w:val="087B78"/>
            <w:sz w:val="20"/>
            <w:szCs w:val="20"/>
            <w:u w:val="single"/>
          </w:rPr>
          <w:t>10.1038/nature21382</w:t>
        </w:r>
      </w:hyperlink>
    </w:p>
    <w:p w14:paraId="2F614608" w14:textId="61A928BE" w:rsidR="00A83A41" w:rsidRDefault="004F34A0">
      <w:pPr>
        <w:keepLines/>
        <w:spacing w:after="90" w:line="245" w:lineRule="auto"/>
      </w:pPr>
      <w:r>
        <w:rPr>
          <w:b/>
          <w:bCs/>
          <w:sz w:val="20"/>
          <w:szCs w:val="20"/>
        </w:rPr>
        <w:t xml:space="preserve">[2] Lars Guelen, Ludo Pagie, Émilie Brasset et al. (2008). </w:t>
      </w:r>
      <w:r>
        <w:rPr>
          <w:sz w:val="20"/>
          <w:szCs w:val="20"/>
        </w:rPr>
        <w:t xml:space="preserve">Domain organization of human chromosomes revealed by mapping of nuclear lamina interactions. Nature. </w:t>
      </w:r>
      <w:hyperlink r:id="rId87" w:history="1">
        <w:r>
          <w:rPr>
            <w:color w:val="087B78"/>
            <w:sz w:val="20"/>
            <w:szCs w:val="20"/>
            <w:u w:val="single"/>
          </w:rPr>
          <w:t>10.1038/nature06947</w:t>
        </w:r>
      </w:hyperlink>
    </w:p>
    <w:p w14:paraId="41C86697" w14:textId="089D4972" w:rsidR="00A83A41" w:rsidRDefault="004F34A0">
      <w:pPr>
        <w:keepLines/>
        <w:spacing w:after="90" w:line="245" w:lineRule="auto"/>
      </w:pPr>
      <w:r>
        <w:rPr>
          <w:b/>
          <w:bCs/>
          <w:sz w:val="20"/>
          <w:szCs w:val="20"/>
        </w:rPr>
        <w:t xml:space="preserve">[3] Andrew D. Stephens, Edward J. Banigan, Stephen A. Adam et al. (2017). </w:t>
      </w:r>
      <w:r>
        <w:rPr>
          <w:sz w:val="20"/>
          <w:szCs w:val="20"/>
        </w:rPr>
        <w:t xml:space="preserve">Chromatin and lamin A determine two different mechanical response regimes of the cell nucleus. Molecular Biology of the Cell. </w:t>
      </w:r>
      <w:hyperlink r:id="rId88" w:history="1">
        <w:r>
          <w:rPr>
            <w:color w:val="087B78"/>
            <w:sz w:val="20"/>
            <w:szCs w:val="20"/>
            <w:u w:val="single"/>
          </w:rPr>
          <w:t>10.1091/mbc.E16-09-0653</w:t>
        </w:r>
      </w:hyperlink>
    </w:p>
    <w:p w14:paraId="401485D9" w14:textId="3A561287" w:rsidR="00A83A41" w:rsidRDefault="004F34A0">
      <w:pPr>
        <w:keepLines/>
        <w:spacing w:after="90" w:line="245" w:lineRule="auto"/>
      </w:pPr>
      <w:r>
        <w:rPr>
          <w:b/>
          <w:bCs/>
          <w:sz w:val="20"/>
          <w:szCs w:val="20"/>
        </w:rPr>
        <w:lastRenderedPageBreak/>
        <w:t xml:space="preserve">[4] Gisèle Bonne, Marina Raffaele di Barletta, Shaïda Varnous et al. (1999). </w:t>
      </w:r>
      <w:r>
        <w:rPr>
          <w:sz w:val="20"/>
          <w:szCs w:val="20"/>
        </w:rPr>
        <w:t xml:space="preserve">Mutations in the gene encoding lamin A/C cause autosomal dominant Emery-Dreifuss muscular dystrophy. Nature Genetics. </w:t>
      </w:r>
      <w:hyperlink r:id="rId89" w:history="1">
        <w:r>
          <w:rPr>
            <w:color w:val="087B78"/>
            <w:sz w:val="20"/>
            <w:szCs w:val="20"/>
            <w:u w:val="single"/>
          </w:rPr>
          <w:t>10.1038/6799</w:t>
        </w:r>
      </w:hyperlink>
    </w:p>
    <w:p w14:paraId="6E5FAB3F" w14:textId="234315B8" w:rsidR="00A83A41" w:rsidRDefault="004F34A0">
      <w:pPr>
        <w:keepLines/>
        <w:spacing w:after="90" w:line="245" w:lineRule="auto"/>
      </w:pPr>
      <w:r>
        <w:rPr>
          <w:b/>
          <w:bCs/>
          <w:sz w:val="20"/>
          <w:szCs w:val="20"/>
        </w:rPr>
        <w:t xml:space="preserve">[5] Maria Eriksson, William Ted Brown, Leslie B. Gordon et al. (2003). </w:t>
      </w:r>
      <w:r>
        <w:rPr>
          <w:sz w:val="20"/>
          <w:szCs w:val="20"/>
        </w:rPr>
        <w:t xml:space="preserve">Recurrent de novo point mutations in lamin A cause Hutchinson–Gilford progeria syndrome. Nature. </w:t>
      </w:r>
      <w:hyperlink r:id="rId90" w:history="1">
        <w:r>
          <w:rPr>
            <w:color w:val="087B78"/>
            <w:sz w:val="20"/>
            <w:szCs w:val="20"/>
            <w:u w:val="single"/>
          </w:rPr>
          <w:t>10.1038/nature01629</w:t>
        </w:r>
      </w:hyperlink>
    </w:p>
    <w:p w14:paraId="673992C9" w14:textId="574A83EE" w:rsidR="00A83A41" w:rsidRDefault="004F34A0">
      <w:pPr>
        <w:keepLines/>
        <w:spacing w:after="90" w:line="245" w:lineRule="auto"/>
      </w:pPr>
      <w:r>
        <w:rPr>
          <w:b/>
          <w:bCs/>
          <w:sz w:val="20"/>
          <w:szCs w:val="20"/>
        </w:rPr>
        <w:t xml:space="preserve">[6] Renard Lewis, Virginia Sinigiani, Noura Maziak et al. (2026). </w:t>
      </w:r>
      <w:r>
        <w:rPr>
          <w:sz w:val="20"/>
          <w:szCs w:val="20"/>
        </w:rPr>
        <w:t xml:space="preserve">LBR and LAP2 mediate heterochromatin tethering to the nuclear periphery to preserve genome homeostasis. Nature Cell Biology. </w:t>
      </w:r>
      <w:hyperlink r:id="rId91" w:history="1">
        <w:r>
          <w:rPr>
            <w:color w:val="087B78"/>
            <w:sz w:val="20"/>
            <w:szCs w:val="20"/>
            <w:u w:val="single"/>
          </w:rPr>
          <w:t>10.1038/s41556-025-01822-7</w:t>
        </w:r>
      </w:hyperlink>
    </w:p>
    <w:p w14:paraId="26C10F73" w14:textId="7A4B7656" w:rsidR="00A83A41" w:rsidRDefault="004F34A0">
      <w:pPr>
        <w:keepLines/>
        <w:spacing w:after="90" w:line="245" w:lineRule="auto"/>
      </w:pPr>
      <w:r>
        <w:rPr>
          <w:b/>
          <w:bCs/>
          <w:sz w:val="20"/>
          <w:szCs w:val="20"/>
        </w:rPr>
        <w:t xml:space="preserve">[7] A. G. Attar, J. Paturej, Ozan S. Sarıyer, E. Banigan, A. Erbaş (2025). </w:t>
      </w:r>
      <w:r>
        <w:rPr>
          <w:sz w:val="20"/>
          <w:szCs w:val="20"/>
        </w:rPr>
        <w:t xml:space="preserve">Peripheral heterochromatin tethering is required for chromatin-based nuclear mechanical response. Nucleic Acids Research. </w:t>
      </w:r>
      <w:hyperlink r:id="rId92" w:history="1">
        <w:r>
          <w:rPr>
            <w:color w:val="087B78"/>
            <w:sz w:val="20"/>
            <w:szCs w:val="20"/>
            <w:u w:val="single"/>
          </w:rPr>
          <w:t>10.1093/nar/gkaf763</w:t>
        </w:r>
      </w:hyperlink>
    </w:p>
    <w:p w14:paraId="577A6DDE" w14:textId="114A1C17" w:rsidR="00A83A41" w:rsidRDefault="004F34A0">
      <w:pPr>
        <w:keepLines/>
        <w:spacing w:after="90" w:line="245" w:lineRule="auto"/>
      </w:pPr>
      <w:r>
        <w:rPr>
          <w:b/>
          <w:bCs/>
          <w:sz w:val="20"/>
          <w:szCs w:val="20"/>
        </w:rPr>
        <w:t xml:space="preserve">[8] Jan Lammerding, Paul Christian Schulze, Tomosaburo Takahashi et al. (2004). </w:t>
      </w:r>
      <w:r>
        <w:rPr>
          <w:sz w:val="20"/>
          <w:szCs w:val="20"/>
        </w:rPr>
        <w:t xml:space="preserve">Lamin A/C deficiency causes defective nuclear mechanics and mechanotransduction. Journal of Clinical Investigation. </w:t>
      </w:r>
      <w:hyperlink r:id="rId93" w:history="1">
        <w:r>
          <w:rPr>
            <w:color w:val="087B78"/>
            <w:sz w:val="20"/>
            <w:szCs w:val="20"/>
            <w:u w:val="single"/>
          </w:rPr>
          <w:t>10.1172/JCI19670</w:t>
        </w:r>
      </w:hyperlink>
    </w:p>
    <w:p w14:paraId="0ED5B53E" w14:textId="06BFA363" w:rsidR="00A83A41" w:rsidRDefault="004F34A0">
      <w:pPr>
        <w:keepLines/>
        <w:spacing w:after="90" w:line="245" w:lineRule="auto"/>
      </w:pPr>
      <w:r>
        <w:rPr>
          <w:b/>
          <w:bCs/>
          <w:sz w:val="20"/>
          <w:szCs w:val="20"/>
        </w:rPr>
        <w:t xml:space="preserve">[9] Adam Freund, Rémi-Martin Laberge, Marco Demaria et al. (2012). </w:t>
      </w:r>
      <w:r>
        <w:rPr>
          <w:sz w:val="20"/>
          <w:szCs w:val="20"/>
        </w:rPr>
        <w:t xml:space="preserve">Lamin B1 loss is a senescence-associated biomarker. Molecular Biology of the Cell. </w:t>
      </w:r>
      <w:hyperlink r:id="rId94" w:history="1">
        <w:r>
          <w:rPr>
            <w:color w:val="087B78"/>
            <w:sz w:val="20"/>
            <w:szCs w:val="20"/>
            <w:u w:val="single"/>
          </w:rPr>
          <w:t>10.1091/mbc.E11-10-0884</w:t>
        </w:r>
      </w:hyperlink>
    </w:p>
    <w:p w14:paraId="3796CBF6" w14:textId="6E81E963" w:rsidR="00A83A41" w:rsidRDefault="004F34A0">
      <w:pPr>
        <w:keepLines/>
        <w:spacing w:after="90" w:line="245" w:lineRule="auto"/>
      </w:pPr>
      <w:r>
        <w:rPr>
          <w:b/>
          <w:bCs/>
          <w:sz w:val="20"/>
          <w:szCs w:val="20"/>
        </w:rPr>
        <w:t xml:space="preserve">[10] Melissa Crisp, Qian Liu, Kyle Roux et al. (2006). </w:t>
      </w:r>
      <w:r>
        <w:rPr>
          <w:sz w:val="20"/>
          <w:szCs w:val="20"/>
        </w:rPr>
        <w:t xml:space="preserve">Coupling of the nucleus and cytoplasm: role of the LINC complex. Journal of Cell Biology. </w:t>
      </w:r>
      <w:hyperlink r:id="rId95" w:history="1">
        <w:r>
          <w:rPr>
            <w:color w:val="087B78"/>
            <w:sz w:val="20"/>
            <w:szCs w:val="20"/>
            <w:u w:val="single"/>
          </w:rPr>
          <w:t>10.1083/jcb.200509124</w:t>
        </w:r>
      </w:hyperlink>
    </w:p>
    <w:p w14:paraId="2F1B7E4D" w14:textId="154A53C4" w:rsidR="00A83A41" w:rsidRDefault="004F34A0">
      <w:pPr>
        <w:keepLines/>
        <w:spacing w:after="90" w:line="245" w:lineRule="auto"/>
      </w:pPr>
      <w:r>
        <w:rPr>
          <w:b/>
          <w:bCs/>
          <w:sz w:val="20"/>
          <w:szCs w:val="20"/>
        </w:rPr>
        <w:t xml:space="preserve">[11] Lars Guelen, Ludo Pagie, Émilie Brasset et al. (2013). </w:t>
      </w:r>
      <w:r>
        <w:rPr>
          <w:sz w:val="20"/>
          <w:szCs w:val="20"/>
        </w:rPr>
        <w:t xml:space="preserve">Correction: Corrigendum: Domain organization of human chromosomes revealed by mapping of nuclear lamina interactions. Nature. </w:t>
      </w:r>
      <w:hyperlink r:id="rId96" w:history="1">
        <w:r>
          <w:rPr>
            <w:color w:val="087B78"/>
            <w:sz w:val="20"/>
            <w:szCs w:val="20"/>
            <w:u w:val="single"/>
          </w:rPr>
          <w:t>10.1038/nature12316</w:t>
        </w:r>
      </w:hyperlink>
    </w:p>
    <w:p w14:paraId="4CC912F5" w14:textId="3A564A0D" w:rsidR="00A83A41" w:rsidRDefault="004F34A0">
      <w:pPr>
        <w:keepLines/>
        <w:spacing w:after="90" w:line="245" w:lineRule="auto"/>
      </w:pPr>
      <w:r>
        <w:rPr>
          <w:b/>
          <w:bCs/>
          <w:sz w:val="20"/>
          <w:szCs w:val="20"/>
        </w:rPr>
        <w:t xml:space="preserve">[12] G. Bergamaschi, A. Biebricher, Hannes Witt, F. Byfield, Xamanie M R Seymonson, Cornelis Storm, P. Janmey, G. Wuite (2024). </w:t>
      </w:r>
      <w:r>
        <w:rPr>
          <w:sz w:val="20"/>
          <w:szCs w:val="20"/>
        </w:rPr>
        <w:t xml:space="preserve">Heterogeneous force response of chromatin in isolated nuclei.. Cell Reports. </w:t>
      </w:r>
      <w:hyperlink r:id="rId97" w:history="1">
        <w:r>
          <w:rPr>
            <w:color w:val="087B78"/>
            <w:sz w:val="20"/>
            <w:szCs w:val="20"/>
            <w:u w:val="single"/>
          </w:rPr>
          <w:t>10.1016/j.celrep.2024.114852</w:t>
        </w:r>
      </w:hyperlink>
    </w:p>
    <w:p w14:paraId="58E929AD" w14:textId="56D122A7" w:rsidR="00A83A41" w:rsidRDefault="004F34A0">
      <w:pPr>
        <w:keepLines/>
        <w:spacing w:after="90" w:line="245" w:lineRule="auto"/>
      </w:pPr>
      <w:r>
        <w:rPr>
          <w:b/>
          <w:bCs/>
          <w:sz w:val="20"/>
          <w:szCs w:val="20"/>
        </w:rPr>
        <w:t xml:space="preserve">[13] Fitzroy J. Byfield, Behnaz Eftekhari, Kaeli Kaymak-Loveless et al. (2025). </w:t>
      </w:r>
      <w:r>
        <w:rPr>
          <w:sz w:val="20"/>
          <w:szCs w:val="20"/>
        </w:rPr>
        <w:t xml:space="preserve">Metabolically intact nuclei are fluidized by the activity of the chromatin remodeling motor BRG1. Biophysical Journal. </w:t>
      </w:r>
      <w:hyperlink r:id="rId98" w:history="1">
        <w:r>
          <w:rPr>
            <w:color w:val="087B78"/>
            <w:sz w:val="20"/>
            <w:szCs w:val="20"/>
            <w:u w:val="single"/>
          </w:rPr>
          <w:t>10.1016/j.bpj.2024.11.3322</w:t>
        </w:r>
      </w:hyperlink>
    </w:p>
    <w:p w14:paraId="03F0C88A" w14:textId="060E77CA" w:rsidR="00A83A41" w:rsidRDefault="004F34A0">
      <w:pPr>
        <w:keepLines/>
        <w:spacing w:after="90" w:line="245" w:lineRule="auto"/>
      </w:pPr>
      <w:r>
        <w:rPr>
          <w:b/>
          <w:bCs/>
          <w:sz w:val="20"/>
          <w:szCs w:val="20"/>
        </w:rPr>
        <w:t xml:space="preserve">[14] Ellen Juel Pørtner, Anna Mularski, Tobias William Jarrett, Stine Lauritzen Sønder, Jesper Nylandsted, Adam Cohen Simonsen (2025). </w:t>
      </w:r>
      <w:r>
        <w:rPr>
          <w:sz w:val="20"/>
          <w:szCs w:val="20"/>
        </w:rPr>
        <w:t xml:space="preserve">Viscoelastic differences between isolated and live MCF7 cancer cell nuclei resolved with AFM microrheology. Journal of the Royal Society Interface. </w:t>
      </w:r>
      <w:hyperlink r:id="rId99" w:history="1">
        <w:r>
          <w:rPr>
            <w:color w:val="087B78"/>
            <w:sz w:val="20"/>
            <w:szCs w:val="20"/>
            <w:u w:val="single"/>
          </w:rPr>
          <w:t>10.1098/rsif.2024.0885</w:t>
        </w:r>
      </w:hyperlink>
    </w:p>
    <w:p w14:paraId="4749FED2" w14:textId="13462B4B" w:rsidR="00A83A41" w:rsidRDefault="004F34A0">
      <w:pPr>
        <w:keepLines/>
        <w:spacing w:after="90" w:line="245" w:lineRule="auto"/>
      </w:pPr>
      <w:r>
        <w:rPr>
          <w:b/>
          <w:bCs/>
          <w:sz w:val="20"/>
          <w:szCs w:val="20"/>
        </w:rPr>
        <w:t xml:space="preserve">[15] Céline Denais, Rachel M. Gilbert, Philipp Isermann et al. (2016). </w:t>
      </w:r>
      <w:r>
        <w:rPr>
          <w:sz w:val="20"/>
          <w:szCs w:val="20"/>
        </w:rPr>
        <w:t xml:space="preserve">Nuclear envelope rupture and repair during cancer cell migration. Science. </w:t>
      </w:r>
      <w:hyperlink r:id="rId100" w:history="1">
        <w:r>
          <w:rPr>
            <w:color w:val="087B78"/>
            <w:sz w:val="20"/>
            <w:szCs w:val="20"/>
            <w:u w:val="single"/>
          </w:rPr>
          <w:t>10.1126/science.aad7297</w:t>
        </w:r>
      </w:hyperlink>
    </w:p>
    <w:p w14:paraId="7CC189F7" w14:textId="77777777" w:rsidR="00A83A41" w:rsidRDefault="004F34A0">
      <w:pPr>
        <w:pStyle w:val="Heading1"/>
      </w:pPr>
      <w:bookmarkStart w:id="12" w:name="_Toc242668381"/>
      <w:r>
        <w:t>Evidence scope</w:t>
      </w:r>
      <w:bookmarkEnd w:id="12"/>
    </w:p>
    <w:p w14:paraId="27D6B41B" w14:textId="77777777" w:rsidR="00A83A41" w:rsidRDefault="004F34A0">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A83A41">
      <w:headerReference w:type="default" r:id="rId101"/>
      <w:footerReference w:type="default" r:id="rId102"/>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0FABD" w14:textId="77777777" w:rsidR="004F34A0" w:rsidRDefault="004F34A0">
      <w:pPr>
        <w:spacing w:after="0" w:line="240" w:lineRule="auto"/>
      </w:pPr>
      <w:r>
        <w:separator/>
      </w:r>
    </w:p>
  </w:endnote>
  <w:endnote w:type="continuationSeparator" w:id="0">
    <w:p w14:paraId="577640FF" w14:textId="77777777" w:rsidR="004F34A0" w:rsidRDefault="004F3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ED7D" w14:textId="77777777" w:rsidR="00A83A41" w:rsidRDefault="004F34A0">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4F4686">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4F4686">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B09C7" w14:textId="77777777" w:rsidR="004F34A0" w:rsidRDefault="004F34A0">
      <w:pPr>
        <w:spacing w:after="0" w:line="240" w:lineRule="auto"/>
      </w:pPr>
      <w:r>
        <w:separator/>
      </w:r>
    </w:p>
  </w:footnote>
  <w:footnote w:type="continuationSeparator" w:id="0">
    <w:p w14:paraId="2FD74F99" w14:textId="77777777" w:rsidR="004F34A0" w:rsidRDefault="004F3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B6A2" w14:textId="77777777" w:rsidR="00A83A41" w:rsidRDefault="004F34A0">
    <w:pPr>
      <w:pBdr>
        <w:bottom w:val="single" w:sz="4" w:space="0" w:color="B8D1D0"/>
      </w:pBdr>
    </w:pPr>
    <w:r>
      <w:rPr>
        <w:color w:val="527077"/>
        <w:sz w:val="17"/>
        <w:szCs w:val="17"/>
      </w:rPr>
      <w:t>The Nuclear Lamina: Filament Architecture, Genome Attachment and 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20DFD"/>
    <w:multiLevelType w:val="hybridMultilevel"/>
    <w:tmpl w:val="92D47A16"/>
    <w:lvl w:ilvl="0" w:tplc="0838A5FE">
      <w:start w:val="1"/>
      <w:numFmt w:val="bullet"/>
      <w:lvlText w:val="●"/>
      <w:lvlJc w:val="left"/>
      <w:pPr>
        <w:ind w:left="720" w:hanging="360"/>
      </w:pPr>
    </w:lvl>
    <w:lvl w:ilvl="1" w:tplc="6ECCE1AE">
      <w:start w:val="1"/>
      <w:numFmt w:val="bullet"/>
      <w:lvlText w:val="○"/>
      <w:lvlJc w:val="left"/>
      <w:pPr>
        <w:ind w:left="1440" w:hanging="360"/>
      </w:pPr>
    </w:lvl>
    <w:lvl w:ilvl="2" w:tplc="5B041CFA">
      <w:start w:val="1"/>
      <w:numFmt w:val="bullet"/>
      <w:lvlText w:val="■"/>
      <w:lvlJc w:val="left"/>
      <w:pPr>
        <w:ind w:left="2160" w:hanging="360"/>
      </w:pPr>
    </w:lvl>
    <w:lvl w:ilvl="3" w:tplc="E99EEB0C">
      <w:start w:val="1"/>
      <w:numFmt w:val="bullet"/>
      <w:lvlText w:val="●"/>
      <w:lvlJc w:val="left"/>
      <w:pPr>
        <w:ind w:left="2880" w:hanging="360"/>
      </w:pPr>
    </w:lvl>
    <w:lvl w:ilvl="4" w:tplc="C6A40E88">
      <w:start w:val="1"/>
      <w:numFmt w:val="bullet"/>
      <w:lvlText w:val="○"/>
      <w:lvlJc w:val="left"/>
      <w:pPr>
        <w:ind w:left="3600" w:hanging="360"/>
      </w:pPr>
    </w:lvl>
    <w:lvl w:ilvl="5" w:tplc="C40E06CE">
      <w:start w:val="1"/>
      <w:numFmt w:val="bullet"/>
      <w:lvlText w:val="■"/>
      <w:lvlJc w:val="left"/>
      <w:pPr>
        <w:ind w:left="4320" w:hanging="360"/>
      </w:pPr>
    </w:lvl>
    <w:lvl w:ilvl="6" w:tplc="6D7A68F4">
      <w:start w:val="1"/>
      <w:numFmt w:val="bullet"/>
      <w:lvlText w:val="●"/>
      <w:lvlJc w:val="left"/>
      <w:pPr>
        <w:ind w:left="5040" w:hanging="360"/>
      </w:pPr>
    </w:lvl>
    <w:lvl w:ilvl="7" w:tplc="BD7A79D8">
      <w:start w:val="1"/>
      <w:numFmt w:val="bullet"/>
      <w:lvlText w:val="●"/>
      <w:lvlJc w:val="left"/>
      <w:pPr>
        <w:ind w:left="5760" w:hanging="360"/>
      </w:pPr>
    </w:lvl>
    <w:lvl w:ilvl="8" w:tplc="AE5EE4C8">
      <w:start w:val="1"/>
      <w:numFmt w:val="bullet"/>
      <w:lvlText w:val="●"/>
      <w:lvlJc w:val="left"/>
      <w:pPr>
        <w:ind w:left="6480" w:hanging="360"/>
      </w:pPr>
    </w:lvl>
  </w:abstractNum>
  <w:abstractNum w:abstractNumId="1" w15:restartNumberingAfterBreak="0">
    <w:nsid w:val="7DD65AF5"/>
    <w:multiLevelType w:val="hybridMultilevel"/>
    <w:tmpl w:val="71B8FD64"/>
    <w:lvl w:ilvl="0" w:tplc="B29CB6A6">
      <w:start w:val="1"/>
      <w:numFmt w:val="bullet"/>
      <w:lvlText w:val="•"/>
      <w:lvlJc w:val="left"/>
      <w:pPr>
        <w:ind w:left="340" w:hanging="170"/>
      </w:pPr>
    </w:lvl>
    <w:lvl w:ilvl="1" w:tplc="92764978">
      <w:numFmt w:val="decimal"/>
      <w:lvlText w:val=""/>
      <w:lvlJc w:val="left"/>
    </w:lvl>
    <w:lvl w:ilvl="2" w:tplc="D8C8003A">
      <w:numFmt w:val="decimal"/>
      <w:lvlText w:val=""/>
      <w:lvlJc w:val="left"/>
    </w:lvl>
    <w:lvl w:ilvl="3" w:tplc="30A22F18">
      <w:numFmt w:val="decimal"/>
      <w:lvlText w:val=""/>
      <w:lvlJc w:val="left"/>
    </w:lvl>
    <w:lvl w:ilvl="4" w:tplc="35846FC2">
      <w:numFmt w:val="decimal"/>
      <w:lvlText w:val=""/>
      <w:lvlJc w:val="left"/>
    </w:lvl>
    <w:lvl w:ilvl="5" w:tplc="BEEA9964">
      <w:numFmt w:val="decimal"/>
      <w:lvlText w:val=""/>
      <w:lvlJc w:val="left"/>
    </w:lvl>
    <w:lvl w:ilvl="6" w:tplc="38347282">
      <w:numFmt w:val="decimal"/>
      <w:lvlText w:val=""/>
      <w:lvlJc w:val="left"/>
    </w:lvl>
    <w:lvl w:ilvl="7" w:tplc="7EC839CA">
      <w:numFmt w:val="decimal"/>
      <w:lvlText w:val=""/>
      <w:lvlJc w:val="left"/>
    </w:lvl>
    <w:lvl w:ilvl="8" w:tplc="74BA647C">
      <w:numFmt w:val="decimal"/>
      <w:lvlText w:val=""/>
      <w:lvlJc w:val="left"/>
    </w:lvl>
  </w:abstractNum>
  <w:num w:numId="1" w16cid:durableId="1941792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A41"/>
    <w:rsid w:val="0006475B"/>
    <w:rsid w:val="004F34A0"/>
    <w:rsid w:val="004F4686"/>
    <w:rsid w:val="00A83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69965"/>
  <w15:docId w15:val="{4A7535BF-7B29-4EF5-AEFC-019B0509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4F468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38/nature06947" TargetMode="External"/><Relationship Id="rId21" Type="http://schemas.openxmlformats.org/officeDocument/2006/relationships/hyperlink" Target="https://doi.org/10.1083/jcb.200509124" TargetMode="External"/><Relationship Id="rId42" Type="http://schemas.openxmlformats.org/officeDocument/2006/relationships/hyperlink" Target="https://doi.org/10.1083/jcb.200509124" TargetMode="External"/><Relationship Id="rId47" Type="http://schemas.openxmlformats.org/officeDocument/2006/relationships/hyperlink" Target="https://doi.org/10.1172/JCI19670" TargetMode="External"/><Relationship Id="rId63" Type="http://schemas.openxmlformats.org/officeDocument/2006/relationships/hyperlink" Target="https://doi.org/10.1091/mbc.E11-10-0884" TargetMode="External"/><Relationship Id="rId68" Type="http://schemas.openxmlformats.org/officeDocument/2006/relationships/hyperlink" Target="https://doi.org/10.1038/s41556-025-01822-7" TargetMode="External"/><Relationship Id="rId84" Type="http://schemas.openxmlformats.org/officeDocument/2006/relationships/hyperlink" Target="https://doi.org/10.1038/6799" TargetMode="External"/><Relationship Id="rId89" Type="http://schemas.openxmlformats.org/officeDocument/2006/relationships/hyperlink" Target="https://doi.org/10.1038/6799" TargetMode="External"/><Relationship Id="rId16" Type="http://schemas.openxmlformats.org/officeDocument/2006/relationships/hyperlink" Target="https://doi.org/10.1091/mbc.E11-10-0884" TargetMode="External"/><Relationship Id="rId11" Type="http://schemas.openxmlformats.org/officeDocument/2006/relationships/hyperlink" Target="https://doi.org/10.1038/nature01629" TargetMode="External"/><Relationship Id="rId32" Type="http://schemas.openxmlformats.org/officeDocument/2006/relationships/hyperlink" Target="https://doi.org/10.1091/mbc.E16-09-0653" TargetMode="External"/><Relationship Id="rId37" Type="http://schemas.openxmlformats.org/officeDocument/2006/relationships/hyperlink" Target="https://doi.org/10.1016/j.celrep.2024.114852" TargetMode="External"/><Relationship Id="rId53" Type="http://schemas.openxmlformats.org/officeDocument/2006/relationships/hyperlink" Target="https://doi.org/10.1038/6799" TargetMode="External"/><Relationship Id="rId58" Type="http://schemas.openxmlformats.org/officeDocument/2006/relationships/hyperlink" Target="https://doi.org/10.1093/nar/gkaf763" TargetMode="External"/><Relationship Id="rId74" Type="http://schemas.openxmlformats.org/officeDocument/2006/relationships/hyperlink" Target="https://doi.org/10.1038/s41556-025-01822-7" TargetMode="External"/><Relationship Id="rId79" Type="http://schemas.openxmlformats.org/officeDocument/2006/relationships/hyperlink" Target="https://doi.org/10.1038/nature21382" TargetMode="External"/><Relationship Id="rId102"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doi.org/10.1038/nature01629" TargetMode="External"/><Relationship Id="rId95" Type="http://schemas.openxmlformats.org/officeDocument/2006/relationships/hyperlink" Target="https://doi.org/10.1083/jcb.200509124" TargetMode="External"/><Relationship Id="rId22" Type="http://schemas.openxmlformats.org/officeDocument/2006/relationships/hyperlink" Target="https://doi.org/10.1083/jcb.200509124" TargetMode="External"/><Relationship Id="rId27" Type="http://schemas.openxmlformats.org/officeDocument/2006/relationships/hyperlink" Target="https://doi.org/10.1038/nature12316" TargetMode="External"/><Relationship Id="rId43" Type="http://schemas.openxmlformats.org/officeDocument/2006/relationships/hyperlink" Target="https://doi.org/10.1038/6799" TargetMode="External"/><Relationship Id="rId48" Type="http://schemas.openxmlformats.org/officeDocument/2006/relationships/hyperlink" Target="https://doi.org/10.1038/6799" TargetMode="External"/><Relationship Id="rId64" Type="http://schemas.openxmlformats.org/officeDocument/2006/relationships/hyperlink" Target="https://doi.org/10.1038/s41556-025-01822-7" TargetMode="External"/><Relationship Id="rId69" Type="http://schemas.openxmlformats.org/officeDocument/2006/relationships/hyperlink" Target="https://doi.org/10.1091/mbc.E16-09-0653" TargetMode="External"/><Relationship Id="rId80" Type="http://schemas.openxmlformats.org/officeDocument/2006/relationships/hyperlink" Target="https://doi.org/10.1091/mbc.E16-09-0653" TargetMode="External"/><Relationship Id="rId85" Type="http://schemas.openxmlformats.org/officeDocument/2006/relationships/hyperlink" Target="https://doi.org/10.1038/nature01629" TargetMode="External"/><Relationship Id="rId12" Type="http://schemas.openxmlformats.org/officeDocument/2006/relationships/hyperlink" Target="https://doi.org/10.1038/s41556-025-01822-7" TargetMode="External"/><Relationship Id="rId17" Type="http://schemas.openxmlformats.org/officeDocument/2006/relationships/hyperlink" Target="https://doi.org/10.1038/6799" TargetMode="External"/><Relationship Id="rId25" Type="http://schemas.openxmlformats.org/officeDocument/2006/relationships/hyperlink" Target="https://doi.org/10.1038/nature06947" TargetMode="External"/><Relationship Id="rId33" Type="http://schemas.openxmlformats.org/officeDocument/2006/relationships/hyperlink" Target="https://doi.org/10.1038/nature21382" TargetMode="External"/><Relationship Id="rId38" Type="http://schemas.openxmlformats.org/officeDocument/2006/relationships/hyperlink" Target="https://doi.org/10.1016/j.bpj.2024.11.3322" TargetMode="External"/><Relationship Id="rId46" Type="http://schemas.openxmlformats.org/officeDocument/2006/relationships/hyperlink" Target="https://doi.org/10.1038/nature01629" TargetMode="External"/><Relationship Id="rId59" Type="http://schemas.openxmlformats.org/officeDocument/2006/relationships/hyperlink" Target="https://doi.org/10.1038/nature06947" TargetMode="External"/><Relationship Id="rId67" Type="http://schemas.openxmlformats.org/officeDocument/2006/relationships/hyperlink" Target="https://doi.org/10.1038/nature12316" TargetMode="External"/><Relationship Id="rId103" Type="http://schemas.openxmlformats.org/officeDocument/2006/relationships/fontTable" Target="fontTable.xml"/><Relationship Id="rId20" Type="http://schemas.openxmlformats.org/officeDocument/2006/relationships/hyperlink" Target="https://doi.org/10.1038/s41556-025-01822-7" TargetMode="External"/><Relationship Id="rId41" Type="http://schemas.openxmlformats.org/officeDocument/2006/relationships/hyperlink" Target="https://doi.org/10.1172/JCI19670" TargetMode="External"/><Relationship Id="rId54" Type="http://schemas.openxmlformats.org/officeDocument/2006/relationships/hyperlink" Target="https://doi.org/10.1038/nature01629" TargetMode="External"/><Relationship Id="rId62" Type="http://schemas.openxmlformats.org/officeDocument/2006/relationships/hyperlink" Target="https://doi.org/10.1126/science.aad7297" TargetMode="External"/><Relationship Id="rId70" Type="http://schemas.openxmlformats.org/officeDocument/2006/relationships/hyperlink" Target="https://doi.org/10.1172/JCI19670" TargetMode="External"/><Relationship Id="rId75" Type="http://schemas.openxmlformats.org/officeDocument/2006/relationships/hyperlink" Target="https://doi.org/10.1093/nar/gkaf763" TargetMode="External"/><Relationship Id="rId83" Type="http://schemas.openxmlformats.org/officeDocument/2006/relationships/hyperlink" Target="https://doi.org/10.1016/j.bpj.2024.11.3322" TargetMode="External"/><Relationship Id="rId88" Type="http://schemas.openxmlformats.org/officeDocument/2006/relationships/hyperlink" Target="https://doi.org/10.1091/mbc.E16-09-0653" TargetMode="External"/><Relationship Id="rId91" Type="http://schemas.openxmlformats.org/officeDocument/2006/relationships/hyperlink" Target="https://doi.org/10.1038/s41556-025-01822-7" TargetMode="External"/><Relationship Id="rId96" Type="http://schemas.openxmlformats.org/officeDocument/2006/relationships/hyperlink" Target="https://doi.org/10.1038/nature1231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72/JCI19670" TargetMode="External"/><Relationship Id="rId23" Type="http://schemas.openxmlformats.org/officeDocument/2006/relationships/hyperlink" Target="https://doi.org/10.1038/s41556-025-01822-7" TargetMode="External"/><Relationship Id="rId28" Type="http://schemas.openxmlformats.org/officeDocument/2006/relationships/hyperlink" Target="https://doi.org/10.1038/s41556-025-01822-7" TargetMode="External"/><Relationship Id="rId36" Type="http://schemas.openxmlformats.org/officeDocument/2006/relationships/hyperlink" Target="https://doi.org/10.1093/nar/gkaf763" TargetMode="External"/><Relationship Id="rId49" Type="http://schemas.openxmlformats.org/officeDocument/2006/relationships/hyperlink" Target="https://doi.org/10.1038/nature01629" TargetMode="External"/><Relationship Id="rId57" Type="http://schemas.openxmlformats.org/officeDocument/2006/relationships/hyperlink" Target="https://doi.org/10.1038/s41556-025-01822-7" TargetMode="External"/><Relationship Id="rId10" Type="http://schemas.openxmlformats.org/officeDocument/2006/relationships/hyperlink" Target="https://doi.org/10.1038/6799" TargetMode="External"/><Relationship Id="rId31" Type="http://schemas.openxmlformats.org/officeDocument/2006/relationships/hyperlink" Target="https://doi.org/10.1172/JCI19670" TargetMode="External"/><Relationship Id="rId44" Type="http://schemas.openxmlformats.org/officeDocument/2006/relationships/hyperlink" Target="https://doi.org/10.1038/nature01629" TargetMode="External"/><Relationship Id="rId52" Type="http://schemas.openxmlformats.org/officeDocument/2006/relationships/hyperlink" Target="https://doi.org/10.1038/s41556-025-01822-7" TargetMode="External"/><Relationship Id="rId60" Type="http://schemas.openxmlformats.org/officeDocument/2006/relationships/hyperlink" Target="https://doi.org/10.1091/mbc.E11-10-0884" TargetMode="External"/><Relationship Id="rId65" Type="http://schemas.openxmlformats.org/officeDocument/2006/relationships/hyperlink" Target="https://doi.org/10.1038/nature21382" TargetMode="External"/><Relationship Id="rId73" Type="http://schemas.openxmlformats.org/officeDocument/2006/relationships/hyperlink" Target="https://doi.org/10.1091/mbc.E11-10-0884" TargetMode="External"/><Relationship Id="rId78" Type="http://schemas.openxmlformats.org/officeDocument/2006/relationships/hyperlink" Target="https://doi.org/10.1038/nature01629" TargetMode="External"/><Relationship Id="rId81" Type="http://schemas.openxmlformats.org/officeDocument/2006/relationships/hyperlink" Target="https://doi.org/10.1038/s41556-025-01822-7" TargetMode="External"/><Relationship Id="rId86" Type="http://schemas.openxmlformats.org/officeDocument/2006/relationships/hyperlink" Target="https://doi.org/10.1038/nature21382" TargetMode="External"/><Relationship Id="rId94" Type="http://schemas.openxmlformats.org/officeDocument/2006/relationships/hyperlink" Target="https://doi.org/10.1091/mbc.E11-10-0884" TargetMode="External"/><Relationship Id="rId99" Type="http://schemas.openxmlformats.org/officeDocument/2006/relationships/hyperlink" Target="https://doi.org/10.1098/rsif.2024.0885" TargetMode="External"/><Relationship Id="rId10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91/mbc.E16-09-0653" TargetMode="External"/><Relationship Id="rId13" Type="http://schemas.openxmlformats.org/officeDocument/2006/relationships/hyperlink" Target="https://doi.org/10.1093/nar/gkaf763" TargetMode="External"/><Relationship Id="rId18" Type="http://schemas.openxmlformats.org/officeDocument/2006/relationships/hyperlink" Target="https://doi.org/10.1038/nature01629" TargetMode="External"/><Relationship Id="rId39" Type="http://schemas.openxmlformats.org/officeDocument/2006/relationships/hyperlink" Target="https://doi.org/10.1091/mbc.E16-09-0653" TargetMode="External"/><Relationship Id="rId34" Type="http://schemas.openxmlformats.org/officeDocument/2006/relationships/hyperlink" Target="https://doi.org/10.1093/nar/gkaf763" TargetMode="External"/><Relationship Id="rId50" Type="http://schemas.openxmlformats.org/officeDocument/2006/relationships/hyperlink" Target="https://doi.org/10.1038/nature21382" TargetMode="External"/><Relationship Id="rId55" Type="http://schemas.openxmlformats.org/officeDocument/2006/relationships/hyperlink" Target="https://doi.org/10.1172/JCI19670" TargetMode="External"/><Relationship Id="rId76" Type="http://schemas.openxmlformats.org/officeDocument/2006/relationships/hyperlink" Target="https://doi.org/10.1016/j.celrep.2024.114852" TargetMode="External"/><Relationship Id="rId97" Type="http://schemas.openxmlformats.org/officeDocument/2006/relationships/hyperlink" Target="https://doi.org/10.1016/j.celrep.2024.114852" TargetMode="External"/><Relationship Id="rId104" Type="http://schemas.openxmlformats.org/officeDocument/2006/relationships/theme" Target="theme/theme1.xml"/><Relationship Id="rId7" Type="http://schemas.openxmlformats.org/officeDocument/2006/relationships/hyperlink" Target="https://doi.org/10.1038/nature21382" TargetMode="External"/><Relationship Id="rId71" Type="http://schemas.openxmlformats.org/officeDocument/2006/relationships/hyperlink" Target="https://doi.org/10.1038/6799" TargetMode="External"/><Relationship Id="rId92" Type="http://schemas.openxmlformats.org/officeDocument/2006/relationships/hyperlink" Target="https://doi.org/10.1093/nar/gkaf763" TargetMode="External"/><Relationship Id="rId2" Type="http://schemas.openxmlformats.org/officeDocument/2006/relationships/styles" Target="styles.xml"/><Relationship Id="rId29" Type="http://schemas.openxmlformats.org/officeDocument/2006/relationships/hyperlink" Target="https://doi.org/10.1038/s41556-025-01822-7" TargetMode="External"/><Relationship Id="rId24" Type="http://schemas.openxmlformats.org/officeDocument/2006/relationships/hyperlink" Target="https://doi.org/10.1038/nature21382" TargetMode="External"/><Relationship Id="rId40" Type="http://schemas.openxmlformats.org/officeDocument/2006/relationships/hyperlink" Target="https://doi.org/10.1098/rsif.2024.0885" TargetMode="External"/><Relationship Id="rId45" Type="http://schemas.openxmlformats.org/officeDocument/2006/relationships/hyperlink" Target="https://doi.org/10.1038/6799" TargetMode="External"/><Relationship Id="rId66" Type="http://schemas.openxmlformats.org/officeDocument/2006/relationships/hyperlink" Target="https://doi.org/10.1038/nature06947" TargetMode="External"/><Relationship Id="rId87" Type="http://schemas.openxmlformats.org/officeDocument/2006/relationships/hyperlink" Target="https://doi.org/10.1038/nature06947" TargetMode="External"/><Relationship Id="rId61" Type="http://schemas.openxmlformats.org/officeDocument/2006/relationships/hyperlink" Target="https://doi.org/10.1038/nature21382" TargetMode="External"/><Relationship Id="rId82" Type="http://schemas.openxmlformats.org/officeDocument/2006/relationships/hyperlink" Target="https://doi.org/10.1093/nar/gkaf763" TargetMode="External"/><Relationship Id="rId19" Type="http://schemas.openxmlformats.org/officeDocument/2006/relationships/hyperlink" Target="https://doi.org/10.1038/nature21382" TargetMode="External"/><Relationship Id="rId14" Type="http://schemas.openxmlformats.org/officeDocument/2006/relationships/hyperlink" Target="https://doi.org/10.1038/s41556-025-01822-7" TargetMode="External"/><Relationship Id="rId30" Type="http://schemas.openxmlformats.org/officeDocument/2006/relationships/hyperlink" Target="https://doi.org/10.1038/nature06947" TargetMode="External"/><Relationship Id="rId35" Type="http://schemas.openxmlformats.org/officeDocument/2006/relationships/hyperlink" Target="https://doi.org/10.1038/s41556-025-01822-7" TargetMode="External"/><Relationship Id="rId56" Type="http://schemas.openxmlformats.org/officeDocument/2006/relationships/hyperlink" Target="https://doi.org/10.1091/mbc.E16-09-0653" TargetMode="External"/><Relationship Id="rId77" Type="http://schemas.openxmlformats.org/officeDocument/2006/relationships/hyperlink" Target="https://doi.org/10.1038/6799" TargetMode="External"/><Relationship Id="rId100" Type="http://schemas.openxmlformats.org/officeDocument/2006/relationships/hyperlink" Target="https://doi.org/10.1126/science.aad7297" TargetMode="External"/><Relationship Id="rId8" Type="http://schemas.openxmlformats.org/officeDocument/2006/relationships/hyperlink" Target="https://doi.org/10.1038/nature06947" TargetMode="External"/><Relationship Id="rId51" Type="http://schemas.openxmlformats.org/officeDocument/2006/relationships/hyperlink" Target="https://doi.org/10.1172/JCI19670" TargetMode="External"/><Relationship Id="rId72" Type="http://schemas.openxmlformats.org/officeDocument/2006/relationships/hyperlink" Target="https://doi.org/10.1038/nature01629" TargetMode="External"/><Relationship Id="rId93" Type="http://schemas.openxmlformats.org/officeDocument/2006/relationships/hyperlink" Target="https://doi.org/10.1172/JCI19670" TargetMode="External"/><Relationship Id="rId98" Type="http://schemas.openxmlformats.org/officeDocument/2006/relationships/hyperlink" Target="https://doi.org/10.1016/j.bpj.2024.11.332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2796</Words>
  <Characters>17820</Characters>
  <Application>Microsoft Office Word</Application>
  <DocSecurity>0</DocSecurity>
  <Lines>283</Lines>
  <Paragraphs>90</Paragraphs>
  <ScaleCrop>false</ScaleCrop>
  <Company/>
  <LinksUpToDate>false</LinksUpToDate>
  <CharactersWithSpaces>20522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Nuclear Lamina: Filament Architecture, Genome Attachment and Cell Function</dc:title>
  <dc:subject>A current synthesis of structural, mechanical and genetic evidence</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