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381C8" w14:textId="77777777" w:rsidR="004B23C7" w:rsidRDefault="006A012C">
      <w:pPr>
        <w:pStyle w:val="Title"/>
      </w:pPr>
      <w:r>
        <w:t>Nuclear Speckles: Molecular Organization and Selective RNA Processing</w:t>
      </w:r>
    </w:p>
    <w:p w14:paraId="1EE6C108" w14:textId="77777777" w:rsidR="004B23C7" w:rsidRDefault="006A012C">
      <w:pPr>
        <w:pStyle w:val="Subtitle"/>
      </w:pPr>
      <w:r>
        <w:t>SON/SRRM2 scaffolds, transcript localization, spatial splicing and regulated RNA retention</w:t>
      </w:r>
    </w:p>
    <w:p w14:paraId="15880EA0" w14:textId="77777777" w:rsidR="004B23C7" w:rsidRDefault="006A012C">
      <w:pPr>
        <w:spacing w:before="200" w:after="320"/>
      </w:pPr>
      <w:r>
        <w:rPr>
          <w:color w:val="087B78"/>
          <w:sz w:val="20"/>
          <w:szCs w:val="20"/>
        </w:rPr>
        <w:t>CellNucleus · Current research review · 12 October 2026</w:t>
      </w:r>
    </w:p>
    <w:p w14:paraId="1FA5C4E0" w14:textId="77777777" w:rsidR="004B23C7" w:rsidRDefault="006A012C">
      <w:pPr>
        <w:pStyle w:val="Heading1"/>
      </w:pPr>
      <w:bookmarkStart w:id="0" w:name="_Toc242668381"/>
      <w:r>
        <w:t>Abstract</w:t>
      </w:r>
      <w:bookmarkEnd w:id="0"/>
    </w:p>
    <w:p w14:paraId="357E9A6B" w14:textId="68F0287C" w:rsidR="004B23C7" w:rsidRDefault="006A012C">
      <w:r>
        <w:t>Nuclear speckles concentrate RNA-processing components within an organized, dynamic nuclear environment. Their biological contribution is now supported by experiments relating gene and RNA proximity to selected splicing reactions, while organizer perturbations reveal dependencies determined by transcript architecture. Speckles also participate in regulated RNA accumulation and retention, but not all transcript classes respond alike. Modern marker identity, molecular perturbations and recent sequence- and ce</w:t>
      </w:r>
      <w:r>
        <w:t>ll-cycle-dependent findings support a model of selective processing opportunities rather than a universal obligatory RNA-processing station.</w:t>
      </w:r>
      <w:hyperlink r:id="rId7" w:history="1">
        <w:r>
          <w:rPr>
            <w:color w:val="087B78"/>
            <w:sz w:val="18"/>
            <w:szCs w:val="18"/>
          </w:rPr>
          <w:t xml:space="preserve"> [1]</w:t>
        </w:r>
      </w:hyperlink>
      <w:hyperlink r:id="rId8" w:history="1">
        <w:r>
          <w:rPr>
            <w:color w:val="087B78"/>
            <w:sz w:val="18"/>
            <w:szCs w:val="18"/>
          </w:rPr>
          <w:t xml:space="preserve"> [2]</w:t>
        </w:r>
      </w:hyperlink>
      <w:hyperlink r:id="rId9" w:history="1">
        <w:r>
          <w:rPr>
            <w:color w:val="087B78"/>
            <w:sz w:val="18"/>
            <w:szCs w:val="18"/>
          </w:rPr>
          <w:t xml:space="preserve"> [3]</w:t>
        </w:r>
      </w:hyperlink>
      <w:hyperlink r:id="rId10" w:history="1">
        <w:r>
          <w:rPr>
            <w:color w:val="087B78"/>
            <w:sz w:val="18"/>
            <w:szCs w:val="18"/>
          </w:rPr>
          <w:t xml:space="preserve"> [4]</w:t>
        </w:r>
      </w:hyperlink>
      <w:hyperlink r:id="rId11" w:history="1">
        <w:r>
          <w:rPr>
            <w:color w:val="087B78"/>
            <w:sz w:val="18"/>
            <w:szCs w:val="18"/>
          </w:rPr>
          <w:t xml:space="preserve"> [5]</w:t>
        </w:r>
      </w:hyperlink>
      <w:hyperlink r:id="rId12" w:history="1">
        <w:r>
          <w:rPr>
            <w:color w:val="087B78"/>
            <w:sz w:val="18"/>
            <w:szCs w:val="18"/>
          </w:rPr>
          <w:t xml:space="preserve"> [6]</w:t>
        </w:r>
      </w:hyperlink>
    </w:p>
    <w:p w14:paraId="54F6DAEE" w14:textId="77777777" w:rsidR="004B23C7" w:rsidRDefault="006A012C">
      <w:pPr>
        <w:pageBreakBefore/>
        <w:spacing w:before="330"/>
      </w:pPr>
      <w:r>
        <w:rPr>
          <w:b/>
          <w:bCs/>
          <w:color w:val="173B4C"/>
          <w:sz w:val="32"/>
          <w:szCs w:val="32"/>
        </w:rPr>
        <w:lastRenderedPageBreak/>
        <w:t>Contents</w:t>
      </w:r>
    </w:p>
    <w:sdt>
      <w:sdtPr>
        <w:alias w:val="Contents"/>
        <w:id w:val="1267726203"/>
      </w:sdtPr>
      <w:sdtEndPr/>
      <w:sdtContent>
        <w:p w14:paraId="5E96D03B" w14:textId="798C3581" w:rsidR="000B2A54" w:rsidRDefault="006A012C">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68381" w:history="1">
            <w:r w:rsidR="000B2A54" w:rsidRPr="000B4AF4">
              <w:rPr>
                <w:rStyle w:val="Hyperlink"/>
                <w:noProof/>
              </w:rPr>
              <w:t>Abstract</w:t>
            </w:r>
            <w:r w:rsidR="000B2A54">
              <w:rPr>
                <w:noProof/>
              </w:rPr>
              <w:tab/>
            </w:r>
            <w:r w:rsidR="000B2A54">
              <w:rPr>
                <w:noProof/>
              </w:rPr>
              <w:fldChar w:fldCharType="begin"/>
            </w:r>
            <w:r w:rsidR="000B2A54">
              <w:rPr>
                <w:noProof/>
              </w:rPr>
              <w:instrText xml:space="preserve"> PAGEREF _Toc242668381 \h </w:instrText>
            </w:r>
            <w:r w:rsidR="000B2A54">
              <w:rPr>
                <w:noProof/>
              </w:rPr>
            </w:r>
            <w:r w:rsidR="000B2A54">
              <w:rPr>
                <w:noProof/>
              </w:rPr>
              <w:fldChar w:fldCharType="separate"/>
            </w:r>
            <w:r w:rsidR="000B2A54">
              <w:rPr>
                <w:noProof/>
              </w:rPr>
              <w:t>1</w:t>
            </w:r>
            <w:r w:rsidR="000B2A54">
              <w:rPr>
                <w:noProof/>
              </w:rPr>
              <w:fldChar w:fldCharType="end"/>
            </w:r>
          </w:hyperlink>
        </w:p>
        <w:p w14:paraId="5ABF4192" w14:textId="3E584AB8" w:rsidR="000B2A54" w:rsidRDefault="000B2A5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2" w:history="1">
            <w:r w:rsidRPr="000B4AF4">
              <w:rPr>
                <w:rStyle w:val="Hyperlink"/>
                <w:noProof/>
              </w:rPr>
              <w:t>1. Identity, organization and changing concepts</w:t>
            </w:r>
            <w:r>
              <w:rPr>
                <w:noProof/>
              </w:rPr>
              <w:tab/>
            </w:r>
            <w:r>
              <w:rPr>
                <w:noProof/>
              </w:rPr>
              <w:fldChar w:fldCharType="begin"/>
            </w:r>
            <w:r>
              <w:rPr>
                <w:noProof/>
              </w:rPr>
              <w:instrText xml:space="preserve"> PAGEREF _Toc242668382 \h </w:instrText>
            </w:r>
            <w:r>
              <w:rPr>
                <w:noProof/>
              </w:rPr>
            </w:r>
            <w:r>
              <w:rPr>
                <w:noProof/>
              </w:rPr>
              <w:fldChar w:fldCharType="separate"/>
            </w:r>
            <w:r>
              <w:rPr>
                <w:noProof/>
              </w:rPr>
              <w:t>2</w:t>
            </w:r>
            <w:r>
              <w:rPr>
                <w:noProof/>
              </w:rPr>
              <w:fldChar w:fldCharType="end"/>
            </w:r>
          </w:hyperlink>
        </w:p>
        <w:p w14:paraId="76436B95" w14:textId="52C96A9D" w:rsidR="000B2A54" w:rsidRDefault="000B2A5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3" w:history="1">
            <w:r w:rsidRPr="000B4AF4">
              <w:rPr>
                <w:rStyle w:val="Hyperlink"/>
                <w:noProof/>
              </w:rPr>
              <w:t>2. SON, SRRM2 and correct marker identity</w:t>
            </w:r>
            <w:r>
              <w:rPr>
                <w:noProof/>
              </w:rPr>
              <w:tab/>
            </w:r>
            <w:r>
              <w:rPr>
                <w:noProof/>
              </w:rPr>
              <w:fldChar w:fldCharType="begin"/>
            </w:r>
            <w:r>
              <w:rPr>
                <w:noProof/>
              </w:rPr>
              <w:instrText xml:space="preserve"> PAGEREF _Toc242668383 \h </w:instrText>
            </w:r>
            <w:r>
              <w:rPr>
                <w:noProof/>
              </w:rPr>
            </w:r>
            <w:r>
              <w:rPr>
                <w:noProof/>
              </w:rPr>
              <w:fldChar w:fldCharType="separate"/>
            </w:r>
            <w:r>
              <w:rPr>
                <w:noProof/>
              </w:rPr>
              <w:t>3</w:t>
            </w:r>
            <w:r>
              <w:rPr>
                <w:noProof/>
              </w:rPr>
              <w:fldChar w:fldCharType="end"/>
            </w:r>
          </w:hyperlink>
        </w:p>
        <w:p w14:paraId="13832267" w14:textId="28225081" w:rsidR="000B2A54" w:rsidRDefault="000B2A5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4" w:history="1">
            <w:r w:rsidRPr="000B4AF4">
              <w:rPr>
                <w:rStyle w:val="Hyperlink"/>
                <w:noProof/>
              </w:rPr>
              <w:t>3. MALAT1: enrichment and contextual necessity</w:t>
            </w:r>
            <w:r>
              <w:rPr>
                <w:noProof/>
              </w:rPr>
              <w:tab/>
            </w:r>
            <w:r>
              <w:rPr>
                <w:noProof/>
              </w:rPr>
              <w:fldChar w:fldCharType="begin"/>
            </w:r>
            <w:r>
              <w:rPr>
                <w:noProof/>
              </w:rPr>
              <w:instrText xml:space="preserve"> PAGEREF _Toc242668384 \h </w:instrText>
            </w:r>
            <w:r>
              <w:rPr>
                <w:noProof/>
              </w:rPr>
            </w:r>
            <w:r>
              <w:rPr>
                <w:noProof/>
              </w:rPr>
              <w:fldChar w:fldCharType="separate"/>
            </w:r>
            <w:r>
              <w:rPr>
                <w:noProof/>
              </w:rPr>
              <w:t>3</w:t>
            </w:r>
            <w:r>
              <w:rPr>
                <w:noProof/>
              </w:rPr>
              <w:fldChar w:fldCharType="end"/>
            </w:r>
          </w:hyperlink>
        </w:p>
        <w:p w14:paraId="28CB72DB" w14:textId="42320DA5" w:rsidR="000B2A54" w:rsidRDefault="000B2A5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5" w:history="1">
            <w:r w:rsidRPr="000B4AF4">
              <w:rPr>
                <w:rStyle w:val="Hyperlink"/>
                <w:noProof/>
              </w:rPr>
              <w:t>4. Gene association and expression amplification</w:t>
            </w:r>
            <w:r>
              <w:rPr>
                <w:noProof/>
              </w:rPr>
              <w:tab/>
            </w:r>
            <w:r>
              <w:rPr>
                <w:noProof/>
              </w:rPr>
              <w:fldChar w:fldCharType="begin"/>
            </w:r>
            <w:r>
              <w:rPr>
                <w:noProof/>
              </w:rPr>
              <w:instrText xml:space="preserve"> PAGEREF _Toc242668385 \h </w:instrText>
            </w:r>
            <w:r>
              <w:rPr>
                <w:noProof/>
              </w:rPr>
            </w:r>
            <w:r>
              <w:rPr>
                <w:noProof/>
              </w:rPr>
              <w:fldChar w:fldCharType="separate"/>
            </w:r>
            <w:r>
              <w:rPr>
                <w:noProof/>
              </w:rPr>
              <w:t>4</w:t>
            </w:r>
            <w:r>
              <w:rPr>
                <w:noProof/>
              </w:rPr>
              <w:fldChar w:fldCharType="end"/>
            </w:r>
          </w:hyperlink>
        </w:p>
        <w:p w14:paraId="20020032" w14:textId="29F8D84E" w:rsidR="000B2A54" w:rsidRDefault="000B2A5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6" w:history="1">
            <w:r w:rsidRPr="000B4AF4">
              <w:rPr>
                <w:rStyle w:val="Hyperlink"/>
                <w:noProof/>
              </w:rPr>
              <w:t>5. Spatial organization can improve selected splicing</w:t>
            </w:r>
            <w:r>
              <w:rPr>
                <w:noProof/>
              </w:rPr>
              <w:tab/>
            </w:r>
            <w:r>
              <w:rPr>
                <w:noProof/>
              </w:rPr>
              <w:fldChar w:fldCharType="begin"/>
            </w:r>
            <w:r>
              <w:rPr>
                <w:noProof/>
              </w:rPr>
              <w:instrText xml:space="preserve"> PAGEREF _Toc242668386 \h </w:instrText>
            </w:r>
            <w:r>
              <w:rPr>
                <w:noProof/>
              </w:rPr>
            </w:r>
            <w:r>
              <w:rPr>
                <w:noProof/>
              </w:rPr>
              <w:fldChar w:fldCharType="separate"/>
            </w:r>
            <w:r>
              <w:rPr>
                <w:noProof/>
              </w:rPr>
              <w:t>4</w:t>
            </w:r>
            <w:r>
              <w:rPr>
                <w:noProof/>
              </w:rPr>
              <w:fldChar w:fldCharType="end"/>
            </w:r>
          </w:hyperlink>
        </w:p>
        <w:p w14:paraId="07CE4054" w14:textId="6ADD6F52" w:rsidR="000B2A54" w:rsidRDefault="000B2A5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7" w:history="1">
            <w:r w:rsidRPr="000B4AF4">
              <w:rPr>
                <w:rStyle w:val="Hyperlink"/>
                <w:noProof/>
              </w:rPr>
              <w:t>6. Transcript architecture determines dependency</w:t>
            </w:r>
            <w:r>
              <w:rPr>
                <w:noProof/>
              </w:rPr>
              <w:tab/>
            </w:r>
            <w:r>
              <w:rPr>
                <w:noProof/>
              </w:rPr>
              <w:fldChar w:fldCharType="begin"/>
            </w:r>
            <w:r>
              <w:rPr>
                <w:noProof/>
              </w:rPr>
              <w:instrText xml:space="preserve"> PAGEREF _Toc242668387 \h </w:instrText>
            </w:r>
            <w:r>
              <w:rPr>
                <w:noProof/>
              </w:rPr>
            </w:r>
            <w:r>
              <w:rPr>
                <w:noProof/>
              </w:rPr>
              <w:fldChar w:fldCharType="separate"/>
            </w:r>
            <w:r>
              <w:rPr>
                <w:noProof/>
              </w:rPr>
              <w:t>5</w:t>
            </w:r>
            <w:r>
              <w:rPr>
                <w:noProof/>
              </w:rPr>
              <w:fldChar w:fldCharType="end"/>
            </w:r>
          </w:hyperlink>
        </w:p>
        <w:p w14:paraId="0E8698E8" w14:textId="6489962A" w:rsidR="000B2A54" w:rsidRDefault="000B2A5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8" w:history="1">
            <w:r w:rsidRPr="000B4AF4">
              <w:rPr>
                <w:rStyle w:val="Hyperlink"/>
                <w:noProof/>
              </w:rPr>
              <w:t>7. Phosphorylation, cohesion and retention</w:t>
            </w:r>
            <w:r>
              <w:rPr>
                <w:noProof/>
              </w:rPr>
              <w:tab/>
            </w:r>
            <w:r>
              <w:rPr>
                <w:noProof/>
              </w:rPr>
              <w:fldChar w:fldCharType="begin"/>
            </w:r>
            <w:r>
              <w:rPr>
                <w:noProof/>
              </w:rPr>
              <w:instrText xml:space="preserve"> PAGEREF _Toc242668388 \h </w:instrText>
            </w:r>
            <w:r>
              <w:rPr>
                <w:noProof/>
              </w:rPr>
            </w:r>
            <w:r>
              <w:rPr>
                <w:noProof/>
              </w:rPr>
              <w:fldChar w:fldCharType="separate"/>
            </w:r>
            <w:r>
              <w:rPr>
                <w:noProof/>
              </w:rPr>
              <w:t>5</w:t>
            </w:r>
            <w:r>
              <w:rPr>
                <w:noProof/>
              </w:rPr>
              <w:fldChar w:fldCharType="end"/>
            </w:r>
          </w:hyperlink>
        </w:p>
        <w:p w14:paraId="5CA4AD35" w14:textId="388F4D80" w:rsidR="000B2A54" w:rsidRDefault="000B2A5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89" w:history="1">
            <w:r w:rsidRPr="000B4AF4">
              <w:rPr>
                <w:rStyle w:val="Hyperlink"/>
                <w:noProof/>
              </w:rPr>
              <w:t>8. Speckle-associated 3′ end processing</w:t>
            </w:r>
            <w:r>
              <w:rPr>
                <w:noProof/>
              </w:rPr>
              <w:tab/>
            </w:r>
            <w:r>
              <w:rPr>
                <w:noProof/>
              </w:rPr>
              <w:fldChar w:fldCharType="begin"/>
            </w:r>
            <w:r>
              <w:rPr>
                <w:noProof/>
              </w:rPr>
              <w:instrText xml:space="preserve"> PAGEREF _Toc242668389 \h </w:instrText>
            </w:r>
            <w:r>
              <w:rPr>
                <w:noProof/>
              </w:rPr>
            </w:r>
            <w:r>
              <w:rPr>
                <w:noProof/>
              </w:rPr>
              <w:fldChar w:fldCharType="separate"/>
            </w:r>
            <w:r>
              <w:rPr>
                <w:noProof/>
              </w:rPr>
              <w:t>6</w:t>
            </w:r>
            <w:r>
              <w:rPr>
                <w:noProof/>
              </w:rPr>
              <w:fldChar w:fldCharType="end"/>
            </w:r>
          </w:hyperlink>
        </w:p>
        <w:p w14:paraId="3495BB8C" w14:textId="5F548C40" w:rsidR="000B2A54" w:rsidRDefault="000B2A5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0" w:history="1">
            <w:r w:rsidRPr="000B4AF4">
              <w:rPr>
                <w:rStyle w:val="Hyperlink"/>
                <w:noProof/>
              </w:rPr>
              <w:t>9. Long-lived intron-retained RNA and the cell cycle</w:t>
            </w:r>
            <w:r>
              <w:rPr>
                <w:noProof/>
              </w:rPr>
              <w:tab/>
            </w:r>
            <w:r>
              <w:rPr>
                <w:noProof/>
              </w:rPr>
              <w:fldChar w:fldCharType="begin"/>
            </w:r>
            <w:r>
              <w:rPr>
                <w:noProof/>
              </w:rPr>
              <w:instrText xml:space="preserve"> PAGEREF _Toc242668390 \h </w:instrText>
            </w:r>
            <w:r>
              <w:rPr>
                <w:noProof/>
              </w:rPr>
            </w:r>
            <w:r>
              <w:rPr>
                <w:noProof/>
              </w:rPr>
              <w:fldChar w:fldCharType="separate"/>
            </w:r>
            <w:r>
              <w:rPr>
                <w:noProof/>
              </w:rPr>
              <w:t>6</w:t>
            </w:r>
            <w:r>
              <w:rPr>
                <w:noProof/>
              </w:rPr>
              <w:fldChar w:fldCharType="end"/>
            </w:r>
          </w:hyperlink>
        </w:p>
        <w:p w14:paraId="6F48B5E9" w14:textId="7FBB3D06" w:rsidR="000B2A54" w:rsidRDefault="000B2A5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1" w:history="1">
            <w:r w:rsidRPr="000B4AF4">
              <w:rPr>
                <w:rStyle w:val="Hyperlink"/>
                <w:noProof/>
              </w:rPr>
              <w:t>10. Disease connections require a molecular endpoint</w:t>
            </w:r>
            <w:r>
              <w:rPr>
                <w:noProof/>
              </w:rPr>
              <w:tab/>
            </w:r>
            <w:r>
              <w:rPr>
                <w:noProof/>
              </w:rPr>
              <w:fldChar w:fldCharType="begin"/>
            </w:r>
            <w:r>
              <w:rPr>
                <w:noProof/>
              </w:rPr>
              <w:instrText xml:space="preserve"> PAGEREF _Toc242668391 \h </w:instrText>
            </w:r>
            <w:r>
              <w:rPr>
                <w:noProof/>
              </w:rPr>
            </w:r>
            <w:r>
              <w:rPr>
                <w:noProof/>
              </w:rPr>
              <w:fldChar w:fldCharType="separate"/>
            </w:r>
            <w:r>
              <w:rPr>
                <w:noProof/>
              </w:rPr>
              <w:t>6</w:t>
            </w:r>
            <w:r>
              <w:rPr>
                <w:noProof/>
              </w:rPr>
              <w:fldChar w:fldCharType="end"/>
            </w:r>
          </w:hyperlink>
        </w:p>
        <w:p w14:paraId="5377937F" w14:textId="0846B521" w:rsidR="000B2A54" w:rsidRDefault="000B2A5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2" w:history="1">
            <w:r w:rsidRPr="000B4AF4">
              <w:rPr>
                <w:rStyle w:val="Hyperlink"/>
                <w:noProof/>
              </w:rPr>
              <w:t>11. Evidence map and current model</w:t>
            </w:r>
            <w:r>
              <w:rPr>
                <w:noProof/>
              </w:rPr>
              <w:tab/>
            </w:r>
            <w:r>
              <w:rPr>
                <w:noProof/>
              </w:rPr>
              <w:fldChar w:fldCharType="begin"/>
            </w:r>
            <w:r>
              <w:rPr>
                <w:noProof/>
              </w:rPr>
              <w:instrText xml:space="preserve"> PAGEREF _Toc242668392 \h </w:instrText>
            </w:r>
            <w:r>
              <w:rPr>
                <w:noProof/>
              </w:rPr>
            </w:r>
            <w:r>
              <w:rPr>
                <w:noProof/>
              </w:rPr>
              <w:fldChar w:fldCharType="separate"/>
            </w:r>
            <w:r>
              <w:rPr>
                <w:noProof/>
              </w:rPr>
              <w:t>7</w:t>
            </w:r>
            <w:r>
              <w:rPr>
                <w:noProof/>
              </w:rPr>
              <w:fldChar w:fldCharType="end"/>
            </w:r>
          </w:hyperlink>
        </w:p>
        <w:p w14:paraId="2D623FB0" w14:textId="4C19A130" w:rsidR="000B2A54" w:rsidRDefault="000B2A5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3" w:history="1">
            <w:r w:rsidRPr="000B4AF4">
              <w:rPr>
                <w:rStyle w:val="Hyperlink"/>
                <w:noProof/>
              </w:rPr>
              <w:t>References</w:t>
            </w:r>
            <w:r>
              <w:rPr>
                <w:noProof/>
              </w:rPr>
              <w:tab/>
            </w:r>
            <w:r>
              <w:rPr>
                <w:noProof/>
              </w:rPr>
              <w:fldChar w:fldCharType="begin"/>
            </w:r>
            <w:r>
              <w:rPr>
                <w:noProof/>
              </w:rPr>
              <w:instrText xml:space="preserve"> PAGEREF _Toc242668393 \h </w:instrText>
            </w:r>
            <w:r>
              <w:rPr>
                <w:noProof/>
              </w:rPr>
            </w:r>
            <w:r>
              <w:rPr>
                <w:noProof/>
              </w:rPr>
              <w:fldChar w:fldCharType="separate"/>
            </w:r>
            <w:r>
              <w:rPr>
                <w:noProof/>
              </w:rPr>
              <w:t>8</w:t>
            </w:r>
            <w:r>
              <w:rPr>
                <w:noProof/>
              </w:rPr>
              <w:fldChar w:fldCharType="end"/>
            </w:r>
          </w:hyperlink>
        </w:p>
        <w:p w14:paraId="2D320088" w14:textId="371A70AA" w:rsidR="000B2A54" w:rsidRDefault="000B2A54">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94" w:history="1">
            <w:r w:rsidRPr="000B4AF4">
              <w:rPr>
                <w:rStyle w:val="Hyperlink"/>
                <w:noProof/>
              </w:rPr>
              <w:t>Evidence scope</w:t>
            </w:r>
            <w:r>
              <w:rPr>
                <w:noProof/>
              </w:rPr>
              <w:tab/>
            </w:r>
            <w:r>
              <w:rPr>
                <w:noProof/>
              </w:rPr>
              <w:fldChar w:fldCharType="begin"/>
            </w:r>
            <w:r>
              <w:rPr>
                <w:noProof/>
              </w:rPr>
              <w:instrText xml:space="preserve"> PAGEREF _Toc242668394 \h </w:instrText>
            </w:r>
            <w:r>
              <w:rPr>
                <w:noProof/>
              </w:rPr>
            </w:r>
            <w:r>
              <w:rPr>
                <w:noProof/>
              </w:rPr>
              <w:fldChar w:fldCharType="separate"/>
            </w:r>
            <w:r>
              <w:rPr>
                <w:noProof/>
              </w:rPr>
              <w:t>8</w:t>
            </w:r>
            <w:r>
              <w:rPr>
                <w:noProof/>
              </w:rPr>
              <w:fldChar w:fldCharType="end"/>
            </w:r>
          </w:hyperlink>
        </w:p>
        <w:p w14:paraId="494A42B2" w14:textId="724B20B8" w:rsidR="004B23C7" w:rsidRDefault="006A012C">
          <w:r>
            <w:fldChar w:fldCharType="end"/>
          </w:r>
        </w:p>
      </w:sdtContent>
    </w:sdt>
    <w:p w14:paraId="40ED93FC" w14:textId="77777777" w:rsidR="004B23C7" w:rsidRDefault="006A012C">
      <w:pPr>
        <w:pStyle w:val="Heading1"/>
      </w:pPr>
      <w:bookmarkStart w:id="1" w:name="_Toc242668382"/>
      <w:r>
        <w:t>1. Identity, organization and changing concepts</w:t>
      </w:r>
      <w:bookmarkEnd w:id="1"/>
    </w:p>
    <w:p w14:paraId="755304E8" w14:textId="539C5BDD" w:rsidR="004B23C7" w:rsidRDefault="006A012C">
      <w:r>
        <w:t xml:space="preserve">Nuclear speckles, historically linked to interchromatin granule clusters, are domains enriched in pre-mRNA processing factors within the interchromatin region. The classic morphological description established a recognizable compartment; current research asks which reactions are influenced by proximity to its components. The relevant biological unit is therefore not merely a stained spot but a local distribution of proteins and RNAs with distinct interactions. Describing speckles as reservoirs captures one </w:t>
      </w:r>
      <w:r>
        <w:t>possible function, while spatial-splicing and RNA-retention experiments show why that is not a complete account.</w:t>
      </w:r>
      <w:hyperlink r:id="rId13" w:history="1">
        <w:r>
          <w:rPr>
            <w:color w:val="087B78"/>
            <w:sz w:val="18"/>
            <w:szCs w:val="18"/>
          </w:rPr>
          <w:t xml:space="preserve"> [7]</w:t>
        </w:r>
      </w:hyperlink>
      <w:hyperlink r:id="rId14" w:history="1">
        <w:r>
          <w:rPr>
            <w:color w:val="087B78"/>
            <w:sz w:val="18"/>
            <w:szCs w:val="18"/>
          </w:rPr>
          <w:t xml:space="preserve"> [2]</w:t>
        </w:r>
      </w:hyperlink>
      <w:hyperlink r:id="rId15" w:history="1">
        <w:r>
          <w:rPr>
            <w:color w:val="087B78"/>
            <w:sz w:val="18"/>
            <w:szCs w:val="18"/>
          </w:rPr>
          <w:t xml:space="preserve"> [5]</w:t>
        </w:r>
      </w:hyperlink>
    </w:p>
    <w:p w14:paraId="0CF03ABC" w14:textId="31E824E7" w:rsidR="004B23C7" w:rsidRDefault="006A012C">
      <w:r>
        <w:t>Organization and activity must be measured separately. A larger speckle can contain more accumulated RNA without demonstrating faster synthesis or more efficient processing. A locus can be close to a speckle because of its transcriptional state, while directed recruitment can test whether proximity itself contributes to an outcome. The distinction between observation and intervention is central to current speckle biology: microscopy defines the spatial relationship, and RNA-specific assays establish which s</w:t>
      </w:r>
      <w:r>
        <w:t>tep changes.</w:t>
      </w:r>
      <w:hyperlink r:id="rId16" w:history="1">
        <w:r>
          <w:rPr>
            <w:color w:val="087B78"/>
            <w:sz w:val="18"/>
            <w:szCs w:val="18"/>
          </w:rPr>
          <w:t xml:space="preserve"> [8]</w:t>
        </w:r>
      </w:hyperlink>
      <w:hyperlink r:id="rId17" w:history="1">
        <w:r>
          <w:rPr>
            <w:color w:val="087B78"/>
            <w:sz w:val="18"/>
            <w:szCs w:val="18"/>
          </w:rPr>
          <w:t xml:space="preserve"> [2]</w:t>
        </w:r>
      </w:hyperlink>
    </w:p>
    <w:p w14:paraId="7709FAE9" w14:textId="77777777" w:rsidR="004B23C7" w:rsidRDefault="006A012C">
      <w:pPr>
        <w:pStyle w:val="Heading1"/>
      </w:pPr>
      <w:bookmarkStart w:id="2" w:name="_Toc242668383"/>
      <w:r>
        <w:lastRenderedPageBreak/>
        <w:t>2. SON, SRRM2 and correct marker identity</w:t>
      </w:r>
      <w:bookmarkEnd w:id="2"/>
    </w:p>
    <w:p w14:paraId="54EBBAD3" w14:textId="75465F02" w:rsidR="004B23C7" w:rsidRDefault="006A012C">
      <w:r>
        <w:t>Ilik and colleagues established an organizing role for SON and SRRM2 in tested human-cell models, with combined loss strongly dispersing speckle organization. They also corrected an important marker assumption: the widely used SC35 monoclonal antibody principally recognizes SRRM2 in speckles, rather than providing a specific map of SRSF2. Historical SC35 staining should therefore retain its reagent identity unless the molecular target has been independently established. A marker’s name and its actual antige</w:t>
      </w:r>
      <w:r>
        <w:t>n are different kinds of information.</w:t>
      </w:r>
      <w:hyperlink r:id="rId18" w:history="1">
        <w:r>
          <w:rPr>
            <w:color w:val="087B78"/>
            <w:sz w:val="18"/>
            <w:szCs w:val="18"/>
          </w:rPr>
          <w:t xml:space="preserve"> [1]</w:t>
        </w:r>
      </w:hyperlink>
    </w:p>
    <w:p w14:paraId="726B05FE" w14:textId="5BC1D719" w:rsidR="004B23C7" w:rsidRDefault="006A012C">
      <w:r>
        <w:t>The organizer proteins contribute biochemical functions as well as architecture. Their depletion can change RNA binding or processing directly while altering component concentration and geometry. An observed splicing phenotype following organizer removal is therefore evidence for dependence on the molecular system, but it does not isolate the visible compartment as the sole causal variable. A complementary targeted-localization experiment can address spatial sufficiency without performing the same biochemic</w:t>
      </w:r>
      <w:r>
        <w:t>al intervention.</w:t>
      </w:r>
      <w:hyperlink r:id="rId19" w:history="1">
        <w:r>
          <w:rPr>
            <w:color w:val="087B78"/>
            <w:sz w:val="18"/>
            <w:szCs w:val="18"/>
          </w:rPr>
          <w:t xml:space="preserve"> [1]</w:t>
        </w:r>
      </w:hyperlink>
      <w:hyperlink r:id="rId20" w:history="1">
        <w:r>
          <w:rPr>
            <w:color w:val="087B78"/>
            <w:sz w:val="18"/>
            <w:szCs w:val="18"/>
          </w:rPr>
          <w:t xml:space="preserve"> [3]</w:t>
        </w:r>
      </w:hyperlink>
      <w:hyperlink r:id="rId21" w:history="1">
        <w:r>
          <w:rPr>
            <w:color w:val="087B78"/>
            <w:sz w:val="18"/>
            <w:szCs w:val="18"/>
          </w:rPr>
          <w:t xml:space="preserve"> [2]</w:t>
        </w:r>
      </w:hyperlink>
    </w:p>
    <w:p w14:paraId="0ED1DD35" w14:textId="787A61F8" w:rsidR="004B23C7" w:rsidRDefault="006A012C">
      <w:r>
        <w:t>Zhang and colleagues reported that SRRM2-associated phase behavior contributes to speckle subcompartment assembly in their 2024 experimental system. The result adds a physical assembly route to organizer biology, but the necessary distinction is between the properties of a tested molecular network and the behavior of every endogenous constituent. A phase-related mutation can also alter recruitment or binding, so a functional effect should be tied to the specific altered interaction and RNA substrate.</w:t>
      </w:r>
      <w:hyperlink r:id="rId22" w:history="1">
        <w:r>
          <w:rPr>
            <w:color w:val="087B78"/>
            <w:sz w:val="18"/>
            <w:szCs w:val="18"/>
          </w:rPr>
          <w:t xml:space="preserve"> [9]</w:t>
        </w:r>
      </w:hyperlink>
    </w:p>
    <w:p w14:paraId="241FFE84" w14:textId="77777777" w:rsidR="004B23C7" w:rsidRDefault="006A012C">
      <w:pPr>
        <w:pStyle w:val="Heading1"/>
      </w:pPr>
      <w:bookmarkStart w:id="3" w:name="_Toc242668384"/>
      <w:r>
        <w:t>3. MALAT1: enrichment and contextual necessity</w:t>
      </w:r>
      <w:bookmarkEnd w:id="3"/>
    </w:p>
    <w:p w14:paraId="7A73D3A2" w14:textId="3F579F52" w:rsidR="004B23C7" w:rsidRDefault="006A012C">
      <w:r>
        <w:t>MALAT1 is a prominent nuclear-retained RNA associated with speckles. Tripathi and colleagues reported effects on SR-protein phosphorylation and alternative splicing in cultured-cell experiments. The study connected a localized RNA to regulation of processing components, expanding the functional question beyond protein storage. It did not establish that MALAT1 is the indispensable architectural scaffold of all speckles in all tissues.</w:t>
      </w:r>
      <w:hyperlink r:id="rId23" w:history="1">
        <w:r>
          <w:rPr>
            <w:color w:val="087B78"/>
            <w:sz w:val="18"/>
            <w:szCs w:val="18"/>
          </w:rPr>
          <w:t xml:space="preserve"> [10]</w:t>
        </w:r>
      </w:hyperlink>
    </w:p>
    <w:p w14:paraId="488AEB35" w14:textId="4F1B54FC" w:rsidR="004B23C7" w:rsidRDefault="006A012C">
      <w:r>
        <w:t>Nakagawa and colleagues generated Malat1-knockout mice that were viable and fertile under normal laboratory conditions and retained proper localization of speckle markers. This comparison distinguishes a functional effect in a cell model from universal organismal necessity or a required scaffold role. The results can be reconciled through cell type, physiological condition and perturbation design. The accurate synthesis is that MALAT1 can influence defined RNA-related processes while speckle organization pe</w:t>
      </w:r>
      <w:r>
        <w:t>rsists without it in the tested mouse setting.</w:t>
      </w:r>
      <w:hyperlink r:id="rId24" w:history="1">
        <w:r>
          <w:rPr>
            <w:color w:val="087B78"/>
            <w:sz w:val="18"/>
            <w:szCs w:val="18"/>
          </w:rPr>
          <w:t xml:space="preserve"> [11]</w:t>
        </w:r>
      </w:hyperlink>
      <w:hyperlink r:id="rId25" w:history="1">
        <w:r>
          <w:rPr>
            <w:color w:val="087B78"/>
            <w:sz w:val="18"/>
            <w:szCs w:val="18"/>
          </w:rPr>
          <w:t xml:space="preserve"> [10]</w:t>
        </w:r>
      </w:hyperlink>
    </w:p>
    <w:p w14:paraId="146E25C0" w14:textId="449888E1" w:rsidR="004B23C7" w:rsidRDefault="006A012C">
      <w:r>
        <w:t>The contrast with the long NEAT1 paraspeckle scaffold is instructive but should not become a rule that every abundant nuclear RNA has one fixed role. Localization, scaffold necessity and regulation of a recruited factor are different properties. To determine which applies, an RNA-specific perturbation needs structural and biochemical readouts together, with rescue testing the relevant sequence or molecular function. MALAT1 experiments show why enrichment alone cannot substitute for those tests.</w:t>
      </w:r>
      <w:hyperlink r:id="rId26" w:history="1">
        <w:r>
          <w:rPr>
            <w:color w:val="087B78"/>
            <w:sz w:val="18"/>
            <w:szCs w:val="18"/>
          </w:rPr>
          <w:t xml:space="preserve"> [11]</w:t>
        </w:r>
      </w:hyperlink>
      <w:hyperlink r:id="rId27" w:history="1">
        <w:r>
          <w:rPr>
            <w:color w:val="087B78"/>
            <w:sz w:val="18"/>
            <w:szCs w:val="18"/>
          </w:rPr>
          <w:t xml:space="preserve"> [10]</w:t>
        </w:r>
      </w:hyperlink>
      <w:hyperlink r:id="rId28" w:history="1">
        <w:r>
          <w:rPr>
            <w:color w:val="087B78"/>
            <w:sz w:val="18"/>
            <w:szCs w:val="18"/>
          </w:rPr>
          <w:t xml:space="preserve"> [1]</w:t>
        </w:r>
      </w:hyperlink>
    </w:p>
    <w:p w14:paraId="60AAF3E4" w14:textId="77777777" w:rsidR="004B23C7" w:rsidRDefault="006A012C">
      <w:pPr>
        <w:pStyle w:val="Heading1"/>
      </w:pPr>
      <w:bookmarkStart w:id="4" w:name="_Toc242668385"/>
      <w:r>
        <w:lastRenderedPageBreak/>
        <w:t>4. Gene association and expression amplification</w:t>
      </w:r>
      <w:bookmarkEnd w:id="4"/>
    </w:p>
    <w:p w14:paraId="195B5410" w14:textId="55624D11" w:rsidR="004B23C7" w:rsidRDefault="006A012C">
      <w:r>
        <w:t>Kim and colleagues studied Hsp70 loci and HSPA1B BAC reporters in relation to speckles. Associated loci showed increased RNA accumulation, and live observations related association or dissociation to changes in nascent-RNA signal. The experiment connects a defined locus and cellular response to local organization. RNA accumulation, however, combines synthesis, processing and persistence; it should not automatically be restated as a direct measurement of increased initiation frequency.</w:t>
      </w:r>
      <w:hyperlink r:id="rId29" w:history="1">
        <w:r>
          <w:rPr>
            <w:color w:val="087B78"/>
            <w:sz w:val="18"/>
            <w:szCs w:val="18"/>
          </w:rPr>
          <w:t xml:space="preserve"> [8]</w:t>
        </w:r>
      </w:hyperlink>
    </w:p>
    <w:p w14:paraId="5FB4A24F" w14:textId="292398B0" w:rsidR="004B23C7" w:rsidRDefault="006A012C">
      <w:r>
        <w:t>The distinction affects how a speckle-associated expression phenotype is explained. A higher local signal might arise because more transcripts are synthesized, because processing changes their residence or because loss is reduced. A causal model needs measurements suited to those alternatives. Reporter behavior at an induced Hsp70 locus is a useful test case, but it does not establish the same magnitude or timing of amplification for every gene adjacent to a speckle.</w:t>
      </w:r>
      <w:hyperlink r:id="rId30" w:history="1">
        <w:r>
          <w:rPr>
            <w:color w:val="087B78"/>
            <w:sz w:val="18"/>
            <w:szCs w:val="18"/>
          </w:rPr>
          <w:t xml:space="preserve"> [8]</w:t>
        </w:r>
      </w:hyperlink>
      <w:hyperlink r:id="rId31" w:history="1">
        <w:r>
          <w:rPr>
            <w:color w:val="087B78"/>
            <w:sz w:val="18"/>
            <w:szCs w:val="18"/>
          </w:rPr>
          <w:t xml:space="preserve"> [12]</w:t>
        </w:r>
      </w:hyperlink>
    </w:p>
    <w:p w14:paraId="2FC388E4" w14:textId="77777777" w:rsidR="004B23C7" w:rsidRDefault="006A012C">
      <w:pPr>
        <w:pStyle w:val="Heading1"/>
      </w:pPr>
      <w:bookmarkStart w:id="5" w:name="_Toc242668386"/>
      <w:r>
        <w:t>5. Spatial organization can improve selected splicing</w:t>
      </w:r>
      <w:bookmarkEnd w:id="5"/>
    </w:p>
    <w:p w14:paraId="7B6764A6" w14:textId="46D9D32A" w:rsidR="004B23C7" w:rsidRDefault="006A012C">
      <w:r>
        <w:t>Bhat and colleagues reported greater spliceosome concentrations, increased binding to pre-mRNAs and greater co-transcriptional splicing for genes near speckles. They also used directed pre-mRNA recruitment to increase splicing. This is an intervention-based link between spatial access and processing, beyond the correlation of active genes with a compartment. Its scope is the tested RNA and recruitment system; the experiment does not show that every intron must physically enter a speckle.</w:t>
      </w:r>
      <w:hyperlink r:id="rId32" w:history="1">
        <w:r>
          <w:rPr>
            <w:color w:val="087B78"/>
            <w:sz w:val="18"/>
            <w:szCs w:val="18"/>
          </w:rPr>
          <w:t xml:space="preserve"> [2]</w:t>
        </w:r>
      </w:hyperlink>
    </w:p>
    <w:p w14:paraId="488D1BA1" w14:textId="348BFCD4" w:rsidR="004B23C7" w:rsidRDefault="006A012C">
      <w:r>
        <w:t>The result can be interpreted through local opportunity: a substrate near enriched machinery has different access to processing interactions. That idea is useful without assuming that geometry is the only variable or that a phase transition is the sole source of enrichment. RNA sequence, the availability of early assembly factors and residence time can all influence the productive reaction. The 2026 sequence-localization study by Wen and colleagues directly connects some of these molecular features to local</w:t>
      </w:r>
      <w:r>
        <w:t>ization behavior.</w:t>
      </w:r>
      <w:hyperlink r:id="rId33" w:history="1">
        <w:r>
          <w:rPr>
            <w:color w:val="087B78"/>
            <w:sz w:val="18"/>
            <w:szCs w:val="18"/>
          </w:rPr>
          <w:t xml:space="preserve"> [2]</w:t>
        </w:r>
      </w:hyperlink>
      <w:hyperlink r:id="rId34" w:history="1">
        <w:r>
          <w:rPr>
            <w:color w:val="087B78"/>
            <w:sz w:val="18"/>
            <w:szCs w:val="18"/>
          </w:rPr>
          <w:t xml:space="preserve"> [4]</w:t>
        </w:r>
      </w:hyperlink>
    </w:p>
    <w:p w14:paraId="6869DBE8" w14:textId="35174FE9" w:rsidR="004B23C7" w:rsidRDefault="006A012C">
      <w:r>
        <w:t>Wen and colleagues found that speckle-localization features overlap with splicing-related sequence logic, including early spliceosomal interactions and unspliced exon- or intron-like features. They also connected localization of splicing-competent constructs to their processing kinetics. These observations support a molecular route for recognizing an RNA near a processing environment. They do not make localization a guarantee of completed splicing, particularly for constructs that cannot undergo the full re</w:t>
      </w:r>
      <w:r>
        <w:t>action.</w:t>
      </w:r>
      <w:hyperlink r:id="rId35" w:history="1">
        <w:r>
          <w:rPr>
            <w:color w:val="087B78"/>
            <w:sz w:val="18"/>
            <w:szCs w:val="18"/>
          </w:rPr>
          <w:t xml:space="preserve"> [4]</w:t>
        </w:r>
      </w:hyperlink>
    </w:p>
    <w:p w14:paraId="40264D1D" w14:textId="64F5C6F6" w:rsidR="004B23C7" w:rsidRDefault="006A012C">
      <w:r>
        <w:t>The same study reported reduced localization of isolated endogenous exon constructs carrying disease-associated single-nucleotide variants. This is evidence that sequence changes can affect spatial recognition, but an isolated exon construct is not a complete endogenous transcript or a patient phenotype. Connecting such a change to gene function requires testing the full RNA context and the actual inclusion, skipping or export outcome. The sequence experiment defines a molecular candidate mechanism that can</w:t>
      </w:r>
      <w:r>
        <w:t xml:space="preserve"> be followed through those downstream tests.</w:t>
      </w:r>
      <w:hyperlink r:id="rId36" w:history="1">
        <w:r>
          <w:rPr>
            <w:color w:val="087B78"/>
            <w:sz w:val="18"/>
            <w:szCs w:val="18"/>
          </w:rPr>
          <w:t xml:space="preserve"> [4]</w:t>
        </w:r>
      </w:hyperlink>
    </w:p>
    <w:p w14:paraId="186938B7" w14:textId="77777777" w:rsidR="004B23C7" w:rsidRDefault="006A012C">
      <w:pPr>
        <w:pStyle w:val="Heading1"/>
      </w:pPr>
      <w:bookmarkStart w:id="6" w:name="_Toc242668387"/>
      <w:r>
        <w:lastRenderedPageBreak/>
        <w:t>6. Transcript architecture determines dependency</w:t>
      </w:r>
      <w:bookmarkEnd w:id="6"/>
    </w:p>
    <w:p w14:paraId="17B17C88" w14:textId="54C736A0" w:rsidR="004B23C7" w:rsidRDefault="006A012C">
      <w:r>
        <w:t>The 2026 acute SON/SRRM2 removal study by Małszycki and colleagues examined processing in human cells and identified stronger dependence among GC-rich genes with short introns in GC-rich genomic regions. This provides a specific class of vulnerable substrates rather than a universal splicing failure. The dependence of an RNA on local organization can therefore be related to its sequence and exon–intron architecture, with genomic context influencing where the substrate encounters processing machinery.</w:t>
      </w:r>
      <w:hyperlink r:id="rId37" w:history="1">
        <w:r>
          <w:rPr>
            <w:color w:val="087B78"/>
            <w:sz w:val="18"/>
            <w:szCs w:val="18"/>
          </w:rPr>
          <w:t xml:space="preserve"> [3]</w:t>
        </w:r>
      </w:hyperlink>
    </w:p>
    <w:p w14:paraId="0F031BCA" w14:textId="00317478" w:rsidR="004B23C7" w:rsidRDefault="006A012C">
      <w:r>
        <w:t>This result and targeted recruitment answer different causal questions. Removal tests the consequence of losing organizers and their direct functions; recruitment tests what increased proximity can accomplish. Agreement between the approaches supports a spatial contribution while leaving its exact share of the organizer-loss phenotype unresolved. A geometry-selective intervention would need to preserve the relevant protein functions and substrate interactions. That is a stricter requirement than simply obse</w:t>
      </w:r>
      <w:r>
        <w:t>rving dissolution of speckles after a depletion.</w:t>
      </w:r>
      <w:hyperlink r:id="rId38" w:history="1">
        <w:r>
          <w:rPr>
            <w:color w:val="087B78"/>
            <w:sz w:val="18"/>
            <w:szCs w:val="18"/>
          </w:rPr>
          <w:t xml:space="preserve"> [3]</w:t>
        </w:r>
      </w:hyperlink>
      <w:hyperlink r:id="rId39" w:history="1">
        <w:r>
          <w:rPr>
            <w:color w:val="087B78"/>
            <w:sz w:val="18"/>
            <w:szCs w:val="18"/>
          </w:rPr>
          <w:t xml:space="preserve"> [2]</w:t>
        </w:r>
      </w:hyperlink>
    </w:p>
    <w:p w14:paraId="054DD892" w14:textId="49DFF3F0" w:rsidR="004B23C7" w:rsidRDefault="006A012C">
      <w:r>
        <w:t>The gene-class result also changes the meaning of a negative experiment. Lack of a processing defect for one transcript does not establish that speckles have no function, while a strong effect on one class does not establish uniform dependence across the transcriptome. A useful analysis stratifies substrates by architecture and maturation state rather than averaging them into one gene-expression score. It then compares the same class under a spatial intervention and an organizer perturbation.</w:t>
      </w:r>
      <w:hyperlink r:id="rId40" w:history="1">
        <w:r>
          <w:rPr>
            <w:color w:val="087B78"/>
            <w:sz w:val="18"/>
            <w:szCs w:val="18"/>
          </w:rPr>
          <w:t xml:space="preserve"> [3]</w:t>
        </w:r>
      </w:hyperlink>
      <w:hyperlink r:id="rId41" w:history="1">
        <w:r>
          <w:rPr>
            <w:color w:val="087B78"/>
            <w:sz w:val="18"/>
            <w:szCs w:val="18"/>
          </w:rPr>
          <w:t xml:space="preserve"> [4]</w:t>
        </w:r>
      </w:hyperlink>
    </w:p>
    <w:p w14:paraId="167A17C2" w14:textId="77777777" w:rsidR="004B23C7" w:rsidRDefault="006A012C">
      <w:pPr>
        <w:pStyle w:val="Heading1"/>
      </w:pPr>
      <w:bookmarkStart w:id="7" w:name="_Toc242668388"/>
      <w:r>
        <w:t>7. Phosphorylation, cohesion and retention</w:t>
      </w:r>
      <w:bookmarkEnd w:id="7"/>
    </w:p>
    <w:p w14:paraId="64EE2239" w14:textId="60B04355" w:rsidR="004B23C7" w:rsidRDefault="006A012C">
      <w:r>
        <w:t>McIntyre and colleagues identified PP1 phosphatases as opposing kinase-mediated dissolution in tested cellular systems. Perturbing this balance altered exchange of speckle scaffold components and correlated increased cohesion with greater nuclear RNA retention. Their experiments used protein dynamics, RNA labeling and localization to connect a modification cycle to RNA accumulation. The result supports regulated access and retention in the tested settings, rather than a general claim that stronger condensat</w:t>
      </w:r>
      <w:r>
        <w:t>ion always increases productive gene expression.</w:t>
      </w:r>
      <w:hyperlink r:id="rId42" w:history="1">
        <w:r>
          <w:rPr>
            <w:color w:val="087B78"/>
            <w:sz w:val="18"/>
            <w:szCs w:val="18"/>
          </w:rPr>
          <w:t xml:space="preserve"> [5]</w:t>
        </w:r>
      </w:hyperlink>
    </w:p>
    <w:p w14:paraId="1EA3E01E" w14:textId="72717FD3" w:rsidR="004B23C7" w:rsidRDefault="006A012C">
      <w:r>
        <w:t>Retention can delay availability as well as support a reaction. More polyadenylated RNA in a speckle or nucleus does not establish that it has been efficiently exported or translated. Conversely, release of RNA from a visible compartment does not by itself establish successful maturation. The endpoint must therefore match the proposed function. The cohesion study demonstrates one controllable relationship between material organization and RNA distribution, while transcript-specific splicing experiments esta</w:t>
      </w:r>
      <w:r>
        <w:t>blish a different functional outcome.</w:t>
      </w:r>
      <w:hyperlink r:id="rId43" w:history="1">
        <w:r>
          <w:rPr>
            <w:color w:val="087B78"/>
            <w:sz w:val="18"/>
            <w:szCs w:val="18"/>
          </w:rPr>
          <w:t xml:space="preserve"> [5]</w:t>
        </w:r>
      </w:hyperlink>
      <w:hyperlink r:id="rId44" w:history="1">
        <w:r>
          <w:rPr>
            <w:color w:val="087B78"/>
            <w:sz w:val="18"/>
            <w:szCs w:val="18"/>
          </w:rPr>
          <w:t xml:space="preserve"> [2]</w:t>
        </w:r>
      </w:hyperlink>
    </w:p>
    <w:p w14:paraId="0FD99899" w14:textId="4AC23F8B" w:rsidR="004B23C7" w:rsidRDefault="006A012C">
      <w:r>
        <w:t>Component exchange should also retain its molecular scope. Changing the recovery of SON or SRRM2 reports those components’ interactions; it does not prove that every speckle RNA has the same mobility or residence time. The relevant physical account can include multiple networks and substrate classes. Comparing protein recovery with RNA pulse–chase behavior helps distinguish rapid exchange of a factor from sustained retention of its associated transcript.</w:t>
      </w:r>
      <w:hyperlink r:id="rId45" w:history="1">
        <w:r>
          <w:rPr>
            <w:color w:val="087B78"/>
            <w:sz w:val="18"/>
            <w:szCs w:val="18"/>
          </w:rPr>
          <w:t xml:space="preserve"> [5]</w:t>
        </w:r>
      </w:hyperlink>
      <w:hyperlink r:id="rId46" w:history="1">
        <w:r>
          <w:rPr>
            <w:color w:val="087B78"/>
            <w:sz w:val="18"/>
            <w:szCs w:val="18"/>
          </w:rPr>
          <w:t xml:space="preserve"> [6]</w:t>
        </w:r>
      </w:hyperlink>
    </w:p>
    <w:p w14:paraId="29BFD3D1" w14:textId="77777777" w:rsidR="004B23C7" w:rsidRDefault="006A012C">
      <w:pPr>
        <w:pStyle w:val="Heading1"/>
      </w:pPr>
      <w:bookmarkStart w:id="8" w:name="_Toc242668389"/>
      <w:r>
        <w:lastRenderedPageBreak/>
        <w:t>8. Speckle-associated 3′ end processing</w:t>
      </w:r>
      <w:bookmarkEnd w:id="8"/>
    </w:p>
    <w:p w14:paraId="3F2DAF2D" w14:textId="1404ECD6" w:rsidR="004B23C7" w:rsidRDefault="006A012C">
      <w:r>
        <w:t>The 2025 RBBP6 study adds cleavage/polyadenylation to the spatial-processing account. Its domain and localization comparisons link the protein’s recruitment context to efficient RNA maturation. Acute depletion changed readthrough and alternative-polyadenylation readouts, while selected minigene experiments distinguished those effects from splicing. These are reaction-specific results, not a census showing that a fixed fraction of all cellular cleavage reactions occurs within speckles. Proximity-labeling enr</w:t>
      </w:r>
      <w:r>
        <w:t>ichment and the selection of detectable readthrough genes are different measurements from total reaction prevalence.</w:t>
      </w:r>
      <w:hyperlink r:id="rId47" w:history="1">
        <w:r>
          <w:rPr>
            <w:color w:val="087B78"/>
            <w:sz w:val="18"/>
            <w:szCs w:val="18"/>
          </w:rPr>
          <w:t xml:space="preserve"> [13]</w:t>
        </w:r>
      </w:hyperlink>
    </w:p>
    <w:p w14:paraId="56A6184E" w14:textId="004A4360" w:rsidR="004B23C7" w:rsidRDefault="006A012C">
      <w:r>
        <w:t>Speckle-organizer depletion in that study produced incomplete RBBP6 dispersal and less prominent effects than direct RBBP6 loss. The comparison should therefore not be described as complete architectural removal establishing an exclusive processing compartment. It instead motivates distinguishing the processing protein, its local recruitment and the residual network after perturbation. This complements spatial-splicing evidence by defining another molecular pathway with its own substrate selection and contr</w:t>
      </w:r>
      <w:r>
        <w:t>ols.</w:t>
      </w:r>
      <w:hyperlink r:id="rId48" w:history="1">
        <w:r>
          <w:rPr>
            <w:color w:val="087B78"/>
            <w:sz w:val="18"/>
            <w:szCs w:val="18"/>
          </w:rPr>
          <w:t xml:space="preserve"> [13]</w:t>
        </w:r>
      </w:hyperlink>
      <w:hyperlink r:id="rId49" w:history="1">
        <w:r>
          <w:rPr>
            <w:color w:val="087B78"/>
            <w:sz w:val="18"/>
            <w:szCs w:val="18"/>
          </w:rPr>
          <w:t xml:space="preserve"> [2]</w:t>
        </w:r>
      </w:hyperlink>
    </w:p>
    <w:p w14:paraId="3CFF42B3" w14:textId="77777777" w:rsidR="004B23C7" w:rsidRDefault="006A012C">
      <w:pPr>
        <w:pStyle w:val="Heading1"/>
      </w:pPr>
      <w:bookmarkStart w:id="9" w:name="_Toc242668390"/>
      <w:r>
        <w:t>9. Long-lived intron-retained RNA and the cell cycle</w:t>
      </w:r>
      <w:bookmarkEnd w:id="9"/>
    </w:p>
    <w:p w14:paraId="27AEA91E" w14:textId="04CCBDEF" w:rsidR="004B23C7" w:rsidRDefault="006A012C">
      <w:r>
        <w:t xml:space="preserve">Biayna and colleagues examined intron-retained RNAs in human induced pluripotent stem cells using fractionation, sequencing and single-molecule imaging. They distinguished RNA populations with different nuclear distributions and persistence, with long-lived retained-intron species associated with the speckle periphery. Selected SON/SRRM2 knockdown experiments did not make intact speckle structure universally necessary for intron retention. Their cell-cycle analysis linked resolution of a subset to mitosis. </w:t>
      </w:r>
      <w:r>
        <w:t>The study therefore describes a temporally regulated RNA population, not one obligatory retention mechanism for every transcript.</w:t>
      </w:r>
      <w:hyperlink r:id="rId50" w:history="1">
        <w:r>
          <w:rPr>
            <w:color w:val="087B78"/>
            <w:sz w:val="18"/>
            <w:szCs w:val="18"/>
          </w:rPr>
          <w:t xml:space="preserve"> [6]</w:t>
        </w:r>
      </w:hyperlink>
    </w:p>
    <w:p w14:paraId="729AA070" w14:textId="5C757799" w:rsidR="004B23C7" w:rsidRDefault="006A012C">
      <w:r>
        <w:t>This does not invalidate spatial enhancement of other splicing reactions. Retained introns, newly transcribed splice-competent substrates and the GC-rich classes affected by organizer loss are different populations. Their studies also use different perturbations and time windows. The synthesis is selective processing and retention: some substrates benefit from local machinery, while persistence of other RNAs can survive substantial structural disruption. Treating all nuclear RNA as one pool would obscure th</w:t>
      </w:r>
      <w:r>
        <w:t>ese distinctions and create a misleading apparent contradiction.</w:t>
      </w:r>
      <w:hyperlink r:id="rId51" w:history="1">
        <w:r>
          <w:rPr>
            <w:color w:val="087B78"/>
            <w:sz w:val="18"/>
            <w:szCs w:val="18"/>
          </w:rPr>
          <w:t xml:space="preserve"> [6]</w:t>
        </w:r>
      </w:hyperlink>
      <w:hyperlink r:id="rId52" w:history="1">
        <w:r>
          <w:rPr>
            <w:color w:val="087B78"/>
            <w:sz w:val="18"/>
            <w:szCs w:val="18"/>
          </w:rPr>
          <w:t xml:space="preserve"> [2]</w:t>
        </w:r>
      </w:hyperlink>
      <w:hyperlink r:id="rId53" w:history="1">
        <w:r>
          <w:rPr>
            <w:color w:val="087B78"/>
            <w:sz w:val="18"/>
            <w:szCs w:val="18"/>
          </w:rPr>
          <w:t xml:space="preserve"> [3]</w:t>
        </w:r>
      </w:hyperlink>
    </w:p>
    <w:p w14:paraId="3109DFE6" w14:textId="77777777" w:rsidR="004B23C7" w:rsidRDefault="006A012C">
      <w:pPr>
        <w:pStyle w:val="Heading1"/>
      </w:pPr>
      <w:bookmarkStart w:id="10" w:name="_Toc242668391"/>
      <w:r>
        <w:t>10. Disease connections require a molecular endpoint</w:t>
      </w:r>
      <w:bookmarkEnd w:id="10"/>
    </w:p>
    <w:p w14:paraId="62DF5418" w14:textId="61489491" w:rsidR="004B23C7" w:rsidRDefault="006A012C">
      <w:r>
        <w:t xml:space="preserve">The primary genetic study by Kim and colleagues identified de novo SON loss-of-function variants in a developmental-disability syndrome and related patient RNA to mis-splicing of important developmental and metabolic genes. This establishes a human genetic and RNA-processing connection. It does not isolate disruption of speckle geometry as the sole disease mechanism, because SON’s direct molecular activities are affected too. Disease interpretation should </w:t>
      </w:r>
      <w:r>
        <w:lastRenderedPageBreak/>
        <w:t>therefore follow the altered gene product and processing endpoint, not only a change in speckle morphology.</w:t>
      </w:r>
      <w:hyperlink r:id="rId54" w:history="1">
        <w:r>
          <w:rPr>
            <w:color w:val="087B78"/>
            <w:sz w:val="18"/>
            <w:szCs w:val="18"/>
          </w:rPr>
          <w:t xml:space="preserve"> [14]</w:t>
        </w:r>
      </w:hyperlink>
    </w:p>
    <w:p w14:paraId="2CA9F8E2" w14:textId="21BFD5D5" w:rsidR="004B23C7" w:rsidRDefault="006A012C">
      <w:r>
        <w:t>A speckle-associated protein can thus be biologically important even when the architecture-only contribution is unresolved. The organizer and spatial-recruitment studies offer complementary ways to ask that question. A disease-focused extension should determine which substrates are misprocessed in the affected cell type, whether the relevant molecular function can be rescued and whether a selective spatial intervention changes the phenotype. Those steps connect localization biology to causation while avoidi</w:t>
      </w:r>
      <w:r>
        <w:t>ng a generic claim that every altered speckle is a disease driver.</w:t>
      </w:r>
      <w:hyperlink r:id="rId55" w:history="1">
        <w:r>
          <w:rPr>
            <w:color w:val="087B78"/>
            <w:sz w:val="18"/>
            <w:szCs w:val="18"/>
          </w:rPr>
          <w:t xml:space="preserve"> [14]</w:t>
        </w:r>
      </w:hyperlink>
      <w:hyperlink r:id="rId56" w:history="1">
        <w:r>
          <w:rPr>
            <w:color w:val="087B78"/>
            <w:sz w:val="18"/>
            <w:szCs w:val="18"/>
          </w:rPr>
          <w:t xml:space="preserve"> [3]</w:t>
        </w:r>
      </w:hyperlink>
      <w:hyperlink r:id="rId57" w:history="1">
        <w:r>
          <w:rPr>
            <w:color w:val="087B78"/>
            <w:sz w:val="18"/>
            <w:szCs w:val="18"/>
          </w:rPr>
          <w:t xml:space="preserve"> [2]</w:t>
        </w:r>
      </w:hyperlink>
    </w:p>
    <w:p w14:paraId="0FBDB99D" w14:textId="77777777" w:rsidR="004B23C7" w:rsidRDefault="006A012C">
      <w:pPr>
        <w:pStyle w:val="Heading1"/>
      </w:pPr>
      <w:bookmarkStart w:id="11" w:name="_Toc242668392"/>
      <w:r>
        <w:t>11. Evidence map and current model</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B23C7" w14:paraId="305D355D" w14:textId="77777777">
        <w:tblPrEx>
          <w:tblCellMar>
            <w:top w:w="0" w:type="dxa"/>
            <w:bottom w:w="0" w:type="dxa"/>
          </w:tblCellMar>
        </w:tblPrEx>
        <w:trPr>
          <w:cantSplit/>
          <w:tblHeader/>
        </w:trPr>
        <w:tc>
          <w:tcPr>
            <w:tcW w:w="3120" w:type="dxa"/>
            <w:shd w:val="clear" w:color="auto" w:fill="EAF3F3"/>
            <w:tcMar>
              <w:top w:w="105" w:type="dxa"/>
              <w:left w:w="125" w:type="dxa"/>
              <w:bottom w:w="105" w:type="dxa"/>
              <w:right w:w="125" w:type="dxa"/>
            </w:tcMar>
          </w:tcPr>
          <w:p w14:paraId="7C8688C2" w14:textId="77777777" w:rsidR="004B23C7" w:rsidRDefault="006A012C">
            <w:pPr>
              <w:spacing w:after="50" w:line="255" w:lineRule="auto"/>
            </w:pPr>
            <w:r>
              <w:rPr>
                <w:b/>
                <w:bCs/>
                <w:color w:val="173B4C"/>
                <w:sz w:val="19"/>
                <w:szCs w:val="19"/>
              </w:rPr>
              <w:t>Question</w:t>
            </w:r>
          </w:p>
        </w:tc>
        <w:tc>
          <w:tcPr>
            <w:tcW w:w="3120" w:type="dxa"/>
            <w:shd w:val="clear" w:color="auto" w:fill="EAF3F3"/>
            <w:tcMar>
              <w:top w:w="105" w:type="dxa"/>
              <w:left w:w="125" w:type="dxa"/>
              <w:bottom w:w="105" w:type="dxa"/>
              <w:right w:w="125" w:type="dxa"/>
            </w:tcMar>
          </w:tcPr>
          <w:p w14:paraId="50397AAE" w14:textId="77777777" w:rsidR="004B23C7" w:rsidRDefault="006A012C">
            <w:pPr>
              <w:spacing w:after="50" w:line="255" w:lineRule="auto"/>
            </w:pPr>
            <w:r>
              <w:rPr>
                <w:b/>
                <w:bCs/>
                <w:color w:val="173B4C"/>
                <w:sz w:val="19"/>
                <w:szCs w:val="19"/>
              </w:rPr>
              <w:t>Experimental route</w:t>
            </w:r>
          </w:p>
        </w:tc>
        <w:tc>
          <w:tcPr>
            <w:tcW w:w="3120" w:type="dxa"/>
            <w:shd w:val="clear" w:color="auto" w:fill="EAF3F3"/>
            <w:tcMar>
              <w:top w:w="105" w:type="dxa"/>
              <w:left w:w="125" w:type="dxa"/>
              <w:bottom w:w="105" w:type="dxa"/>
              <w:right w:w="125" w:type="dxa"/>
            </w:tcMar>
          </w:tcPr>
          <w:p w14:paraId="482436F5" w14:textId="77777777" w:rsidR="004B23C7" w:rsidRDefault="006A012C">
            <w:pPr>
              <w:spacing w:after="50" w:line="255" w:lineRule="auto"/>
            </w:pPr>
            <w:r>
              <w:rPr>
                <w:b/>
                <w:bCs/>
                <w:color w:val="173B4C"/>
                <w:sz w:val="19"/>
                <w:szCs w:val="19"/>
              </w:rPr>
              <w:t>Supported distinction</w:t>
            </w:r>
          </w:p>
        </w:tc>
      </w:tr>
      <w:tr w:rsidR="004B23C7" w14:paraId="61E9BD25" w14:textId="77777777">
        <w:tblPrEx>
          <w:tblCellMar>
            <w:top w:w="0" w:type="dxa"/>
            <w:bottom w:w="0" w:type="dxa"/>
          </w:tblCellMar>
        </w:tblPrEx>
        <w:trPr>
          <w:cantSplit/>
        </w:trPr>
        <w:tc>
          <w:tcPr>
            <w:tcW w:w="3120" w:type="dxa"/>
            <w:tcMar>
              <w:top w:w="105" w:type="dxa"/>
              <w:left w:w="125" w:type="dxa"/>
              <w:bottom w:w="105" w:type="dxa"/>
              <w:right w:w="125" w:type="dxa"/>
            </w:tcMar>
          </w:tcPr>
          <w:p w14:paraId="02D4FAE5" w14:textId="77777777" w:rsidR="004B23C7" w:rsidRDefault="006A012C">
            <w:pPr>
              <w:spacing w:after="50" w:line="255" w:lineRule="auto"/>
            </w:pPr>
            <w:r>
              <w:rPr>
                <w:sz w:val="19"/>
                <w:szCs w:val="19"/>
              </w:rPr>
              <w:t>What organizes a speckle?</w:t>
            </w:r>
          </w:p>
        </w:tc>
        <w:tc>
          <w:tcPr>
            <w:tcW w:w="3120" w:type="dxa"/>
            <w:tcMar>
              <w:top w:w="105" w:type="dxa"/>
              <w:left w:w="125" w:type="dxa"/>
              <w:bottom w:w="105" w:type="dxa"/>
              <w:right w:w="125" w:type="dxa"/>
            </w:tcMar>
          </w:tcPr>
          <w:p w14:paraId="3FA9C8F5" w14:textId="77777777" w:rsidR="004B23C7" w:rsidRDefault="006A012C">
            <w:pPr>
              <w:spacing w:after="50" w:line="255" w:lineRule="auto"/>
            </w:pPr>
            <w:r>
              <w:rPr>
                <w:sz w:val="19"/>
                <w:szCs w:val="19"/>
              </w:rPr>
              <w:t>SON/SRRM2 depletion and marker-target identification</w:t>
            </w:r>
          </w:p>
        </w:tc>
        <w:tc>
          <w:tcPr>
            <w:tcW w:w="3120" w:type="dxa"/>
            <w:tcMar>
              <w:top w:w="105" w:type="dxa"/>
              <w:left w:w="125" w:type="dxa"/>
              <w:bottom w:w="105" w:type="dxa"/>
              <w:right w:w="125" w:type="dxa"/>
            </w:tcMar>
          </w:tcPr>
          <w:p w14:paraId="6F8F2776" w14:textId="28651BD0" w:rsidR="004B23C7" w:rsidRDefault="006A012C">
            <w:pPr>
              <w:spacing w:after="50" w:line="255" w:lineRule="auto"/>
            </w:pPr>
            <w:r>
              <w:rPr>
                <w:sz w:val="19"/>
                <w:szCs w:val="19"/>
              </w:rPr>
              <w:t>Organizer dependence differs from the historically assigned antigen of a reagent.</w:t>
            </w:r>
            <w:hyperlink r:id="rId58" w:history="1">
              <w:r>
                <w:rPr>
                  <w:color w:val="087B78"/>
                  <w:sz w:val="18"/>
                  <w:szCs w:val="18"/>
                </w:rPr>
                <w:t xml:space="preserve"> [1]</w:t>
              </w:r>
            </w:hyperlink>
          </w:p>
        </w:tc>
      </w:tr>
      <w:tr w:rsidR="004B23C7" w14:paraId="2704292A" w14:textId="77777777">
        <w:tblPrEx>
          <w:tblCellMar>
            <w:top w:w="0" w:type="dxa"/>
            <w:bottom w:w="0" w:type="dxa"/>
          </w:tblCellMar>
        </w:tblPrEx>
        <w:trPr>
          <w:cantSplit/>
        </w:trPr>
        <w:tc>
          <w:tcPr>
            <w:tcW w:w="3120" w:type="dxa"/>
            <w:tcMar>
              <w:top w:w="105" w:type="dxa"/>
              <w:left w:w="125" w:type="dxa"/>
              <w:bottom w:w="105" w:type="dxa"/>
              <w:right w:w="125" w:type="dxa"/>
            </w:tcMar>
          </w:tcPr>
          <w:p w14:paraId="5F0A2834" w14:textId="77777777" w:rsidR="004B23C7" w:rsidRDefault="006A012C">
            <w:pPr>
              <w:spacing w:after="50" w:line="255" w:lineRule="auto"/>
            </w:pPr>
            <w:r>
              <w:rPr>
                <w:sz w:val="19"/>
                <w:szCs w:val="19"/>
              </w:rPr>
              <w:t>Is a localized RNA indispensable?</w:t>
            </w:r>
          </w:p>
        </w:tc>
        <w:tc>
          <w:tcPr>
            <w:tcW w:w="3120" w:type="dxa"/>
            <w:tcMar>
              <w:top w:w="105" w:type="dxa"/>
              <w:left w:w="125" w:type="dxa"/>
              <w:bottom w:w="105" w:type="dxa"/>
              <w:right w:w="125" w:type="dxa"/>
            </w:tcMar>
          </w:tcPr>
          <w:p w14:paraId="23B54515" w14:textId="77777777" w:rsidR="004B23C7" w:rsidRDefault="006A012C">
            <w:pPr>
              <w:spacing w:after="50" w:line="255" w:lineRule="auto"/>
            </w:pPr>
            <w:r>
              <w:rPr>
                <w:sz w:val="19"/>
                <w:szCs w:val="19"/>
              </w:rPr>
              <w:t>MALAT1 cell perturbation and mouse knockout</w:t>
            </w:r>
          </w:p>
        </w:tc>
        <w:tc>
          <w:tcPr>
            <w:tcW w:w="3120" w:type="dxa"/>
            <w:tcMar>
              <w:top w:w="105" w:type="dxa"/>
              <w:left w:w="125" w:type="dxa"/>
              <w:bottom w:w="105" w:type="dxa"/>
              <w:right w:w="125" w:type="dxa"/>
            </w:tcMar>
          </w:tcPr>
          <w:p w14:paraId="7C280992" w14:textId="72FF6010" w:rsidR="004B23C7" w:rsidRDefault="006A012C">
            <w:pPr>
              <w:spacing w:after="50" w:line="255" w:lineRule="auto"/>
            </w:pPr>
            <w:r>
              <w:rPr>
                <w:sz w:val="19"/>
                <w:szCs w:val="19"/>
              </w:rPr>
              <w:t>Conditional RNA regulation differs from a universal scaffold requirement.</w:t>
            </w:r>
            <w:hyperlink r:id="rId59" w:history="1">
              <w:r>
                <w:rPr>
                  <w:color w:val="087B78"/>
                  <w:sz w:val="18"/>
                  <w:szCs w:val="18"/>
                </w:rPr>
                <w:t xml:space="preserve"> [10]</w:t>
              </w:r>
            </w:hyperlink>
            <w:hyperlink r:id="rId60" w:history="1">
              <w:r>
                <w:rPr>
                  <w:color w:val="087B78"/>
                  <w:sz w:val="18"/>
                  <w:szCs w:val="18"/>
                </w:rPr>
                <w:t xml:space="preserve"> [11]</w:t>
              </w:r>
            </w:hyperlink>
          </w:p>
        </w:tc>
      </w:tr>
      <w:tr w:rsidR="004B23C7" w14:paraId="65F3E91C" w14:textId="77777777">
        <w:tblPrEx>
          <w:tblCellMar>
            <w:top w:w="0" w:type="dxa"/>
            <w:bottom w:w="0" w:type="dxa"/>
          </w:tblCellMar>
        </w:tblPrEx>
        <w:trPr>
          <w:cantSplit/>
        </w:trPr>
        <w:tc>
          <w:tcPr>
            <w:tcW w:w="3120" w:type="dxa"/>
            <w:tcMar>
              <w:top w:w="105" w:type="dxa"/>
              <w:left w:w="125" w:type="dxa"/>
              <w:bottom w:w="105" w:type="dxa"/>
              <w:right w:w="125" w:type="dxa"/>
            </w:tcMar>
          </w:tcPr>
          <w:p w14:paraId="65AC054D" w14:textId="77777777" w:rsidR="004B23C7" w:rsidRDefault="006A012C">
            <w:pPr>
              <w:spacing w:after="50" w:line="255" w:lineRule="auto"/>
            </w:pPr>
            <w:r>
              <w:rPr>
                <w:sz w:val="19"/>
                <w:szCs w:val="19"/>
              </w:rPr>
              <w:t>Does proximity influence splicing?</w:t>
            </w:r>
          </w:p>
        </w:tc>
        <w:tc>
          <w:tcPr>
            <w:tcW w:w="3120" w:type="dxa"/>
            <w:tcMar>
              <w:top w:w="105" w:type="dxa"/>
              <w:left w:w="125" w:type="dxa"/>
              <w:bottom w:w="105" w:type="dxa"/>
              <w:right w:w="125" w:type="dxa"/>
            </w:tcMar>
          </w:tcPr>
          <w:p w14:paraId="13543B09" w14:textId="77777777" w:rsidR="004B23C7" w:rsidRDefault="006A012C">
            <w:pPr>
              <w:spacing w:after="50" w:line="255" w:lineRule="auto"/>
            </w:pPr>
            <w:r>
              <w:rPr>
                <w:sz w:val="19"/>
                <w:szCs w:val="19"/>
              </w:rPr>
              <w:t>Directed pre-mRNA recruitment and spliceosome binding</w:t>
            </w:r>
          </w:p>
        </w:tc>
        <w:tc>
          <w:tcPr>
            <w:tcW w:w="3120" w:type="dxa"/>
            <w:tcMar>
              <w:top w:w="105" w:type="dxa"/>
              <w:left w:w="125" w:type="dxa"/>
              <w:bottom w:w="105" w:type="dxa"/>
              <w:right w:w="125" w:type="dxa"/>
            </w:tcMar>
          </w:tcPr>
          <w:p w14:paraId="21697681" w14:textId="2C06A665" w:rsidR="004B23C7" w:rsidRDefault="006A012C">
            <w:pPr>
              <w:spacing w:after="50" w:line="255" w:lineRule="auto"/>
            </w:pPr>
            <w:r>
              <w:rPr>
                <w:sz w:val="19"/>
                <w:szCs w:val="19"/>
              </w:rPr>
              <w:t>Spatial sufficiency is stronger than colocalization, with substrate-specific scope.</w:t>
            </w:r>
            <w:hyperlink r:id="rId61" w:history="1">
              <w:r>
                <w:rPr>
                  <w:color w:val="087B78"/>
                  <w:sz w:val="18"/>
                  <w:szCs w:val="18"/>
                </w:rPr>
                <w:t xml:space="preserve"> [2]</w:t>
              </w:r>
            </w:hyperlink>
          </w:p>
        </w:tc>
      </w:tr>
      <w:tr w:rsidR="004B23C7" w14:paraId="11BF7D75" w14:textId="77777777">
        <w:tblPrEx>
          <w:tblCellMar>
            <w:top w:w="0" w:type="dxa"/>
            <w:bottom w:w="0" w:type="dxa"/>
          </w:tblCellMar>
        </w:tblPrEx>
        <w:trPr>
          <w:cantSplit/>
        </w:trPr>
        <w:tc>
          <w:tcPr>
            <w:tcW w:w="3120" w:type="dxa"/>
            <w:tcMar>
              <w:top w:w="105" w:type="dxa"/>
              <w:left w:w="125" w:type="dxa"/>
              <w:bottom w:w="105" w:type="dxa"/>
              <w:right w:w="125" w:type="dxa"/>
            </w:tcMar>
          </w:tcPr>
          <w:p w14:paraId="5942C47E" w14:textId="77777777" w:rsidR="004B23C7" w:rsidRDefault="006A012C">
            <w:pPr>
              <w:spacing w:after="50" w:line="255" w:lineRule="auto"/>
            </w:pPr>
            <w:r>
              <w:rPr>
                <w:sz w:val="19"/>
                <w:szCs w:val="19"/>
              </w:rPr>
              <w:t>Which substrates are vulnerable?</w:t>
            </w:r>
          </w:p>
        </w:tc>
        <w:tc>
          <w:tcPr>
            <w:tcW w:w="3120" w:type="dxa"/>
            <w:tcMar>
              <w:top w:w="105" w:type="dxa"/>
              <w:left w:w="125" w:type="dxa"/>
              <w:bottom w:w="105" w:type="dxa"/>
              <w:right w:w="125" w:type="dxa"/>
            </w:tcMar>
          </w:tcPr>
          <w:p w14:paraId="7178F022" w14:textId="77777777" w:rsidR="004B23C7" w:rsidRDefault="006A012C">
            <w:pPr>
              <w:spacing w:after="50" w:line="255" w:lineRule="auto"/>
            </w:pPr>
            <w:r>
              <w:rPr>
                <w:sz w:val="19"/>
                <w:szCs w:val="19"/>
              </w:rPr>
              <w:t>Acute organizer removal and RNA processing analysis</w:t>
            </w:r>
          </w:p>
        </w:tc>
        <w:tc>
          <w:tcPr>
            <w:tcW w:w="3120" w:type="dxa"/>
            <w:tcMar>
              <w:top w:w="105" w:type="dxa"/>
              <w:left w:w="125" w:type="dxa"/>
              <w:bottom w:w="105" w:type="dxa"/>
              <w:right w:w="125" w:type="dxa"/>
            </w:tcMar>
          </w:tcPr>
          <w:p w14:paraId="47A14ACD" w14:textId="6A752EE2" w:rsidR="004B23C7" w:rsidRDefault="006A012C">
            <w:pPr>
              <w:spacing w:after="50" w:line="255" w:lineRule="auto"/>
            </w:pPr>
            <w:r>
              <w:rPr>
                <w:sz w:val="19"/>
                <w:szCs w:val="19"/>
              </w:rPr>
              <w:t>GC-rich, short-intron classes differ from the entire transcriptome.</w:t>
            </w:r>
            <w:hyperlink r:id="rId62" w:history="1">
              <w:r>
                <w:rPr>
                  <w:color w:val="087B78"/>
                  <w:sz w:val="18"/>
                  <w:szCs w:val="18"/>
                </w:rPr>
                <w:t xml:space="preserve"> [3]</w:t>
              </w:r>
            </w:hyperlink>
          </w:p>
        </w:tc>
      </w:tr>
      <w:tr w:rsidR="004B23C7" w14:paraId="0017F6E8" w14:textId="77777777">
        <w:tblPrEx>
          <w:tblCellMar>
            <w:top w:w="0" w:type="dxa"/>
            <w:bottom w:w="0" w:type="dxa"/>
          </w:tblCellMar>
        </w:tblPrEx>
        <w:trPr>
          <w:cantSplit/>
        </w:trPr>
        <w:tc>
          <w:tcPr>
            <w:tcW w:w="3120" w:type="dxa"/>
            <w:tcMar>
              <w:top w:w="105" w:type="dxa"/>
              <w:left w:w="125" w:type="dxa"/>
              <w:bottom w:w="105" w:type="dxa"/>
              <w:right w:w="125" w:type="dxa"/>
            </w:tcMar>
          </w:tcPr>
          <w:p w14:paraId="7A3CA2F4" w14:textId="77777777" w:rsidR="004B23C7" w:rsidRDefault="006A012C">
            <w:pPr>
              <w:spacing w:after="50" w:line="255" w:lineRule="auto"/>
            </w:pPr>
            <w:r>
              <w:rPr>
                <w:sz w:val="19"/>
                <w:szCs w:val="19"/>
              </w:rPr>
              <w:t>Can retention be tuned?</w:t>
            </w:r>
          </w:p>
        </w:tc>
        <w:tc>
          <w:tcPr>
            <w:tcW w:w="3120" w:type="dxa"/>
            <w:tcMar>
              <w:top w:w="105" w:type="dxa"/>
              <w:left w:w="125" w:type="dxa"/>
              <w:bottom w:w="105" w:type="dxa"/>
              <w:right w:w="125" w:type="dxa"/>
            </w:tcMar>
          </w:tcPr>
          <w:p w14:paraId="0344665A" w14:textId="77777777" w:rsidR="004B23C7" w:rsidRDefault="006A012C">
            <w:pPr>
              <w:spacing w:after="50" w:line="255" w:lineRule="auto"/>
            </w:pPr>
            <w:r>
              <w:rPr>
                <w:sz w:val="19"/>
                <w:szCs w:val="19"/>
              </w:rPr>
              <w:t>Kinase/phosphatase perturbation and RNA labeling</w:t>
            </w:r>
          </w:p>
        </w:tc>
        <w:tc>
          <w:tcPr>
            <w:tcW w:w="3120" w:type="dxa"/>
            <w:tcMar>
              <w:top w:w="105" w:type="dxa"/>
              <w:left w:w="125" w:type="dxa"/>
              <w:bottom w:w="105" w:type="dxa"/>
              <w:right w:w="125" w:type="dxa"/>
            </w:tcMar>
          </w:tcPr>
          <w:p w14:paraId="721739F9" w14:textId="5B12E59E" w:rsidR="004B23C7" w:rsidRDefault="006A012C">
            <w:pPr>
              <w:spacing w:after="50" w:line="255" w:lineRule="auto"/>
            </w:pPr>
            <w:r>
              <w:rPr>
                <w:sz w:val="19"/>
                <w:szCs w:val="19"/>
              </w:rPr>
              <w:t>Greater cohesion and nuclear accumulation do not equal greater productive export.</w:t>
            </w:r>
            <w:hyperlink r:id="rId63" w:history="1">
              <w:r>
                <w:rPr>
                  <w:color w:val="087B78"/>
                  <w:sz w:val="18"/>
                  <w:szCs w:val="18"/>
                </w:rPr>
                <w:t xml:space="preserve"> [5]</w:t>
              </w:r>
            </w:hyperlink>
          </w:p>
        </w:tc>
      </w:tr>
      <w:tr w:rsidR="004B23C7" w14:paraId="1FEDD7E5" w14:textId="77777777">
        <w:tblPrEx>
          <w:tblCellMar>
            <w:top w:w="0" w:type="dxa"/>
            <w:bottom w:w="0" w:type="dxa"/>
          </w:tblCellMar>
        </w:tblPrEx>
        <w:trPr>
          <w:cantSplit/>
        </w:trPr>
        <w:tc>
          <w:tcPr>
            <w:tcW w:w="3120" w:type="dxa"/>
            <w:tcMar>
              <w:top w:w="105" w:type="dxa"/>
              <w:left w:w="125" w:type="dxa"/>
              <w:bottom w:w="105" w:type="dxa"/>
              <w:right w:w="125" w:type="dxa"/>
            </w:tcMar>
          </w:tcPr>
          <w:p w14:paraId="3267C69F" w14:textId="77777777" w:rsidR="004B23C7" w:rsidRDefault="006A012C">
            <w:pPr>
              <w:spacing w:after="50" w:line="255" w:lineRule="auto"/>
            </w:pPr>
            <w:r>
              <w:rPr>
                <w:sz w:val="19"/>
                <w:szCs w:val="19"/>
              </w:rPr>
              <w:t>Are retained introns uniformly dependent?</w:t>
            </w:r>
          </w:p>
        </w:tc>
        <w:tc>
          <w:tcPr>
            <w:tcW w:w="3120" w:type="dxa"/>
            <w:tcMar>
              <w:top w:w="105" w:type="dxa"/>
              <w:left w:w="125" w:type="dxa"/>
              <w:bottom w:w="105" w:type="dxa"/>
              <w:right w:w="125" w:type="dxa"/>
            </w:tcMar>
          </w:tcPr>
          <w:p w14:paraId="523B9F46" w14:textId="77777777" w:rsidR="004B23C7" w:rsidRDefault="006A012C">
            <w:pPr>
              <w:spacing w:after="50" w:line="255" w:lineRule="auto"/>
            </w:pPr>
            <w:r>
              <w:rPr>
                <w:sz w:val="19"/>
                <w:szCs w:val="19"/>
              </w:rPr>
              <w:t>RNA imaging, knockdowns and cell-cycle analysis</w:t>
            </w:r>
          </w:p>
        </w:tc>
        <w:tc>
          <w:tcPr>
            <w:tcW w:w="3120" w:type="dxa"/>
            <w:tcMar>
              <w:top w:w="105" w:type="dxa"/>
              <w:left w:w="125" w:type="dxa"/>
              <w:bottom w:w="105" w:type="dxa"/>
              <w:right w:w="125" w:type="dxa"/>
            </w:tcMar>
          </w:tcPr>
          <w:p w14:paraId="545A1BEB" w14:textId="372001BC" w:rsidR="004B23C7" w:rsidRDefault="006A012C">
            <w:pPr>
              <w:spacing w:after="50" w:line="255" w:lineRule="auto"/>
            </w:pPr>
            <w:r>
              <w:rPr>
                <w:sz w:val="19"/>
                <w:szCs w:val="19"/>
              </w:rPr>
              <w:t>Some persistent RNA populations survive disrupted architecture and resolve on different timescales.</w:t>
            </w:r>
            <w:hyperlink r:id="rId64" w:history="1">
              <w:r>
                <w:rPr>
                  <w:color w:val="087B78"/>
                  <w:sz w:val="18"/>
                  <w:szCs w:val="18"/>
                </w:rPr>
                <w:t xml:space="preserve"> [6]</w:t>
              </w:r>
            </w:hyperlink>
          </w:p>
        </w:tc>
      </w:tr>
    </w:tbl>
    <w:p w14:paraId="028037A6" w14:textId="77777777" w:rsidR="004B23C7" w:rsidRDefault="004B23C7">
      <w:pPr>
        <w:spacing w:after="170"/>
      </w:pPr>
    </w:p>
    <w:p w14:paraId="0BE38B6A" w14:textId="59B72016" w:rsidR="004B23C7" w:rsidRDefault="006A012C">
      <w:r>
        <w:t xml:space="preserve">The current model is an organized distribution of processing opportunities whose biological effect depends on the RNA, stage and cellular state. SON/SRRM2 interactions define core organization; sequence and spliceosomal recognition affect RNA access; gene positioning and phosphorylation influence local processing or retention. The next mechanistic advance will separate those variables in matched substrates and time windows, measuring completed reactions and export as well as morphology. That approach gives </w:t>
      </w:r>
      <w:r>
        <w:t>speckles a precise functional role without assigning every transcript one universal path.</w:t>
      </w:r>
      <w:hyperlink r:id="rId65" w:history="1">
        <w:r>
          <w:rPr>
            <w:color w:val="087B78"/>
            <w:sz w:val="18"/>
            <w:szCs w:val="18"/>
          </w:rPr>
          <w:t xml:space="preserve"> [1]</w:t>
        </w:r>
      </w:hyperlink>
      <w:hyperlink r:id="rId66" w:history="1">
        <w:r>
          <w:rPr>
            <w:color w:val="087B78"/>
            <w:sz w:val="18"/>
            <w:szCs w:val="18"/>
          </w:rPr>
          <w:t xml:space="preserve"> [4]</w:t>
        </w:r>
      </w:hyperlink>
      <w:hyperlink r:id="rId67" w:history="1">
        <w:r>
          <w:rPr>
            <w:color w:val="087B78"/>
            <w:sz w:val="18"/>
            <w:szCs w:val="18"/>
          </w:rPr>
          <w:t xml:space="preserve"> [2]</w:t>
        </w:r>
      </w:hyperlink>
      <w:hyperlink r:id="rId68" w:history="1">
        <w:r>
          <w:rPr>
            <w:color w:val="087B78"/>
            <w:sz w:val="18"/>
            <w:szCs w:val="18"/>
          </w:rPr>
          <w:t xml:space="preserve"> [3]</w:t>
        </w:r>
      </w:hyperlink>
      <w:hyperlink r:id="rId69" w:history="1">
        <w:r>
          <w:rPr>
            <w:color w:val="087B78"/>
            <w:sz w:val="18"/>
            <w:szCs w:val="18"/>
          </w:rPr>
          <w:t xml:space="preserve"> [5]</w:t>
        </w:r>
      </w:hyperlink>
      <w:hyperlink r:id="rId70" w:history="1">
        <w:r>
          <w:rPr>
            <w:color w:val="087B78"/>
            <w:sz w:val="18"/>
            <w:szCs w:val="18"/>
          </w:rPr>
          <w:t xml:space="preserve"> [6]</w:t>
        </w:r>
      </w:hyperlink>
    </w:p>
    <w:p w14:paraId="33680627" w14:textId="77777777" w:rsidR="004B23C7" w:rsidRDefault="006A012C">
      <w:pPr>
        <w:pStyle w:val="Heading1"/>
      </w:pPr>
      <w:bookmarkStart w:id="12" w:name="_Toc242668393"/>
      <w:r>
        <w:lastRenderedPageBreak/>
        <w:t>References</w:t>
      </w:r>
      <w:bookmarkEnd w:id="12"/>
    </w:p>
    <w:p w14:paraId="38C0C9D2" w14:textId="59ED42AB" w:rsidR="004B23C7" w:rsidRDefault="006A012C">
      <w:pPr>
        <w:keepLines/>
        <w:spacing w:after="90" w:line="245" w:lineRule="auto"/>
      </w:pPr>
      <w:r>
        <w:rPr>
          <w:b/>
          <w:bCs/>
          <w:sz w:val="20"/>
          <w:szCs w:val="20"/>
        </w:rPr>
        <w:t xml:space="preserve">[1] Ilik et al. (2020). </w:t>
      </w:r>
      <w:r>
        <w:rPr>
          <w:sz w:val="20"/>
          <w:szCs w:val="20"/>
        </w:rPr>
        <w:t xml:space="preserve">SON and SRRM2 are essential for nuclear speckle formation. eLife. </w:t>
      </w:r>
      <w:hyperlink r:id="rId71" w:history="1">
        <w:r>
          <w:rPr>
            <w:color w:val="087B78"/>
            <w:sz w:val="20"/>
            <w:szCs w:val="20"/>
            <w:u w:val="single"/>
          </w:rPr>
          <w:t>10.7554/eLife.60579</w:t>
        </w:r>
      </w:hyperlink>
    </w:p>
    <w:p w14:paraId="570B48B4" w14:textId="3438129B" w:rsidR="004B23C7" w:rsidRDefault="006A012C">
      <w:pPr>
        <w:keepLines/>
        <w:spacing w:after="90" w:line="245" w:lineRule="auto"/>
      </w:pPr>
      <w:r>
        <w:rPr>
          <w:b/>
          <w:bCs/>
          <w:sz w:val="20"/>
          <w:szCs w:val="20"/>
        </w:rPr>
        <w:t xml:space="preserve">[2] Bhat et al. (2024). </w:t>
      </w:r>
      <w:r>
        <w:rPr>
          <w:sz w:val="20"/>
          <w:szCs w:val="20"/>
        </w:rPr>
        <w:t xml:space="preserve">Genome organization around nuclear speckles drives mRNA splicing efficiency. Nature. </w:t>
      </w:r>
      <w:hyperlink r:id="rId72" w:history="1">
        <w:r>
          <w:rPr>
            <w:color w:val="087B78"/>
            <w:sz w:val="20"/>
            <w:szCs w:val="20"/>
            <w:u w:val="single"/>
          </w:rPr>
          <w:t>10.1038/s41586-024-07429-6</w:t>
        </w:r>
      </w:hyperlink>
    </w:p>
    <w:p w14:paraId="66F10797" w14:textId="22E686F7" w:rsidR="004B23C7" w:rsidRDefault="006A012C">
      <w:pPr>
        <w:keepLines/>
        <w:spacing w:after="90" w:line="245" w:lineRule="auto"/>
      </w:pPr>
      <w:r>
        <w:rPr>
          <w:b/>
          <w:bCs/>
          <w:sz w:val="20"/>
          <w:szCs w:val="20"/>
        </w:rPr>
        <w:t xml:space="preserve">[3] Małszycki et al. (2026). </w:t>
      </w:r>
      <w:r>
        <w:rPr>
          <w:sz w:val="20"/>
          <w:szCs w:val="20"/>
        </w:rPr>
        <w:t xml:space="preserve">Nuclear speckles enable processing of RNA from GC-rich isochores. Cell. </w:t>
      </w:r>
      <w:hyperlink r:id="rId73" w:history="1">
        <w:r>
          <w:rPr>
            <w:color w:val="087B78"/>
            <w:sz w:val="20"/>
            <w:szCs w:val="20"/>
            <w:u w:val="single"/>
          </w:rPr>
          <w:t>10.1016/j.cell.2026.01.011</w:t>
        </w:r>
      </w:hyperlink>
    </w:p>
    <w:p w14:paraId="47BD22C4" w14:textId="71FE941C" w:rsidR="004B23C7" w:rsidRDefault="006A012C">
      <w:pPr>
        <w:keepLines/>
        <w:spacing w:after="90" w:line="245" w:lineRule="auto"/>
      </w:pPr>
      <w:r>
        <w:rPr>
          <w:b/>
          <w:bCs/>
          <w:sz w:val="20"/>
          <w:szCs w:val="20"/>
        </w:rPr>
        <w:t xml:space="preserve">[4] Wen et al. (2026). </w:t>
      </w:r>
      <w:r>
        <w:rPr>
          <w:sz w:val="20"/>
          <w:szCs w:val="20"/>
        </w:rPr>
        <w:t xml:space="preserve">RNA localization to nuclear speckles follows splicing logic. Nucleic Acids Research. </w:t>
      </w:r>
      <w:hyperlink r:id="rId74" w:history="1">
        <w:r>
          <w:rPr>
            <w:color w:val="087B78"/>
            <w:sz w:val="20"/>
            <w:szCs w:val="20"/>
            <w:u w:val="single"/>
          </w:rPr>
          <w:t>10.1093/nar/gkag174</w:t>
        </w:r>
      </w:hyperlink>
    </w:p>
    <w:p w14:paraId="3DEB9D28" w14:textId="5B68BB21" w:rsidR="004B23C7" w:rsidRDefault="006A012C">
      <w:pPr>
        <w:keepLines/>
        <w:spacing w:after="90" w:line="245" w:lineRule="auto"/>
      </w:pPr>
      <w:r>
        <w:rPr>
          <w:b/>
          <w:bCs/>
          <w:sz w:val="20"/>
          <w:szCs w:val="20"/>
        </w:rPr>
        <w:t xml:space="preserve">[5] McIntyre et al. (2025). </w:t>
      </w:r>
      <w:r>
        <w:rPr>
          <w:sz w:val="20"/>
          <w:szCs w:val="20"/>
        </w:rPr>
        <w:t xml:space="preserve">Phosphorylation of a nuclear condensate regulates cohesion and mRNA retention. Nature Communications. </w:t>
      </w:r>
      <w:hyperlink r:id="rId75" w:history="1">
        <w:r>
          <w:rPr>
            <w:color w:val="087B78"/>
            <w:sz w:val="20"/>
            <w:szCs w:val="20"/>
            <w:u w:val="single"/>
          </w:rPr>
          <w:t>10.1038/s41467-024-55469-3</w:t>
        </w:r>
      </w:hyperlink>
    </w:p>
    <w:p w14:paraId="12F8ED36" w14:textId="323CFB1C" w:rsidR="004B23C7" w:rsidRDefault="006A012C">
      <w:pPr>
        <w:keepLines/>
        <w:spacing w:after="90" w:line="245" w:lineRule="auto"/>
      </w:pPr>
      <w:r>
        <w:rPr>
          <w:b/>
          <w:bCs/>
          <w:sz w:val="20"/>
          <w:szCs w:val="20"/>
        </w:rPr>
        <w:t xml:space="preserve">[6] Biayna et al. (2026). </w:t>
      </w:r>
      <w:r>
        <w:rPr>
          <w:sz w:val="20"/>
          <w:szCs w:val="20"/>
        </w:rPr>
        <w:t xml:space="preserve">The periphery of nuclear speckles defines a spatially and temporally regulated compartment of long-lived intron-retained RNAs that resolves during mitosis. Nature Cell Biology. </w:t>
      </w:r>
      <w:hyperlink r:id="rId76" w:history="1">
        <w:r>
          <w:rPr>
            <w:color w:val="087B78"/>
            <w:sz w:val="20"/>
            <w:szCs w:val="20"/>
            <w:u w:val="single"/>
          </w:rPr>
          <w:t>10.1038/s41556-026-02040-5</w:t>
        </w:r>
      </w:hyperlink>
    </w:p>
    <w:p w14:paraId="72B0F6BF" w14:textId="328A6708" w:rsidR="004B23C7" w:rsidRDefault="006A012C">
      <w:pPr>
        <w:keepLines/>
        <w:spacing w:after="90" w:line="245" w:lineRule="auto"/>
      </w:pPr>
      <w:r>
        <w:rPr>
          <w:b/>
          <w:bCs/>
          <w:sz w:val="20"/>
          <w:szCs w:val="20"/>
        </w:rPr>
        <w:t xml:space="preserve">[7] Spector and Lamond (2011). </w:t>
      </w:r>
      <w:r>
        <w:rPr>
          <w:sz w:val="20"/>
          <w:szCs w:val="20"/>
        </w:rPr>
        <w:t xml:space="preserve">Nuclear speckles. Cold Spring Harbor Perspectives in Biology. </w:t>
      </w:r>
      <w:hyperlink r:id="rId77" w:history="1">
        <w:r>
          <w:rPr>
            <w:color w:val="087B78"/>
            <w:sz w:val="20"/>
            <w:szCs w:val="20"/>
            <w:u w:val="single"/>
          </w:rPr>
          <w:t>10.1101/cshperspect.a000646</w:t>
        </w:r>
      </w:hyperlink>
    </w:p>
    <w:p w14:paraId="09F6FE31" w14:textId="3AB90C72" w:rsidR="004B23C7" w:rsidRDefault="006A012C">
      <w:pPr>
        <w:keepLines/>
        <w:spacing w:after="90" w:line="245" w:lineRule="auto"/>
      </w:pPr>
      <w:r>
        <w:rPr>
          <w:b/>
          <w:bCs/>
          <w:sz w:val="20"/>
          <w:szCs w:val="20"/>
        </w:rPr>
        <w:t xml:space="preserve">[8] Kim et al. (2020). </w:t>
      </w:r>
      <w:r>
        <w:rPr>
          <w:sz w:val="20"/>
          <w:szCs w:val="20"/>
        </w:rPr>
        <w:t xml:space="preserve">Gene expression amplification by nuclear speckle association. Journal of Cell Biology. </w:t>
      </w:r>
      <w:hyperlink r:id="rId78" w:history="1">
        <w:r>
          <w:rPr>
            <w:color w:val="087B78"/>
            <w:sz w:val="20"/>
            <w:szCs w:val="20"/>
            <w:u w:val="single"/>
          </w:rPr>
          <w:t>10.1083/jcb.201904046</w:t>
        </w:r>
      </w:hyperlink>
    </w:p>
    <w:p w14:paraId="63825A91" w14:textId="155FF0BA" w:rsidR="004B23C7" w:rsidRDefault="006A012C">
      <w:pPr>
        <w:keepLines/>
        <w:spacing w:after="90" w:line="245" w:lineRule="auto"/>
      </w:pPr>
      <w:r>
        <w:rPr>
          <w:b/>
          <w:bCs/>
          <w:sz w:val="20"/>
          <w:szCs w:val="20"/>
        </w:rPr>
        <w:t xml:space="preserve">[9] Zhang et al. (2024). </w:t>
      </w:r>
      <w:r>
        <w:rPr>
          <w:sz w:val="20"/>
          <w:szCs w:val="20"/>
        </w:rPr>
        <w:t xml:space="preserve">SRRM2 phase separation drives assembly of nuclear speckle subcompartments. Cell Reports. </w:t>
      </w:r>
      <w:hyperlink r:id="rId79" w:history="1">
        <w:r>
          <w:rPr>
            <w:color w:val="087B78"/>
            <w:sz w:val="20"/>
            <w:szCs w:val="20"/>
            <w:u w:val="single"/>
          </w:rPr>
          <w:t>10.1016/j.celrep.2024.113827</w:t>
        </w:r>
      </w:hyperlink>
    </w:p>
    <w:p w14:paraId="1AD9526E" w14:textId="2EFE488B" w:rsidR="004B23C7" w:rsidRDefault="006A012C">
      <w:pPr>
        <w:keepLines/>
        <w:spacing w:after="90" w:line="245" w:lineRule="auto"/>
      </w:pPr>
      <w:r>
        <w:rPr>
          <w:b/>
          <w:bCs/>
          <w:sz w:val="20"/>
          <w:szCs w:val="20"/>
        </w:rPr>
        <w:t xml:space="preserve">[10] Tripathi et al. (2010). </w:t>
      </w:r>
      <w:r>
        <w:rPr>
          <w:sz w:val="20"/>
          <w:szCs w:val="20"/>
        </w:rPr>
        <w:t xml:space="preserve">The nuclear-retained noncoding RNA MALAT1 regulates alternative splicing by modulating SR splicing factor phosphorylation. Molecular Cell. </w:t>
      </w:r>
      <w:hyperlink r:id="rId80" w:history="1">
        <w:r>
          <w:rPr>
            <w:color w:val="087B78"/>
            <w:sz w:val="20"/>
            <w:szCs w:val="20"/>
            <w:u w:val="single"/>
          </w:rPr>
          <w:t>10.1016/j.molcel.2010.08.011</w:t>
        </w:r>
      </w:hyperlink>
    </w:p>
    <w:p w14:paraId="1E3C1311" w14:textId="4F2C3096" w:rsidR="004B23C7" w:rsidRDefault="006A012C">
      <w:pPr>
        <w:keepLines/>
        <w:spacing w:after="90" w:line="245" w:lineRule="auto"/>
      </w:pPr>
      <w:r>
        <w:rPr>
          <w:b/>
          <w:bCs/>
          <w:sz w:val="20"/>
          <w:szCs w:val="20"/>
        </w:rPr>
        <w:t xml:space="preserve">[11] Nakagawa et al. (2012). </w:t>
      </w:r>
      <w:r>
        <w:rPr>
          <w:sz w:val="20"/>
          <w:szCs w:val="20"/>
        </w:rPr>
        <w:t xml:space="preserve">Malat1 is not an essential component of nuclear speckles in mice. RNA. </w:t>
      </w:r>
      <w:hyperlink r:id="rId81" w:history="1">
        <w:r>
          <w:rPr>
            <w:color w:val="087B78"/>
            <w:sz w:val="20"/>
            <w:szCs w:val="20"/>
            <w:u w:val="single"/>
          </w:rPr>
          <w:t>10.1261/rna.033217.112</w:t>
        </w:r>
      </w:hyperlink>
    </w:p>
    <w:p w14:paraId="01B42322" w14:textId="4ED93EEE" w:rsidR="004B23C7" w:rsidRDefault="006A012C">
      <w:pPr>
        <w:keepLines/>
        <w:spacing w:after="90" w:line="245" w:lineRule="auto"/>
      </w:pPr>
      <w:r>
        <w:rPr>
          <w:b/>
          <w:bCs/>
          <w:sz w:val="20"/>
          <w:szCs w:val="20"/>
        </w:rPr>
        <w:t xml:space="preserve">[12] Liu et al. (2021). </w:t>
      </w:r>
      <w:r>
        <w:rPr>
          <w:sz w:val="20"/>
          <w:szCs w:val="20"/>
        </w:rPr>
        <w:t xml:space="preserve">Real-time single-cell characterization of the eukaryotic transcription cycle reveals correlations between RNA initiation, elongation, and cleavage. PLOS Computational Biology. </w:t>
      </w:r>
      <w:hyperlink r:id="rId82" w:history="1">
        <w:r>
          <w:rPr>
            <w:color w:val="087B78"/>
            <w:sz w:val="20"/>
            <w:szCs w:val="20"/>
            <w:u w:val="single"/>
          </w:rPr>
          <w:t>10.1371/journal.pcbi.1008999</w:t>
        </w:r>
      </w:hyperlink>
    </w:p>
    <w:p w14:paraId="76B48C6A" w14:textId="3C90FEAE" w:rsidR="004B23C7" w:rsidRDefault="006A012C">
      <w:pPr>
        <w:keepLines/>
        <w:spacing w:after="90" w:line="245" w:lineRule="auto"/>
      </w:pPr>
      <w:r>
        <w:rPr>
          <w:b/>
          <w:bCs/>
          <w:sz w:val="20"/>
          <w:szCs w:val="20"/>
        </w:rPr>
        <w:t xml:space="preserve">[13] Yoon et al. (2025). </w:t>
      </w:r>
      <w:r>
        <w:rPr>
          <w:sz w:val="20"/>
          <w:szCs w:val="20"/>
        </w:rPr>
        <w:t xml:space="preserve">RBBP6 anchors pre-mRNA 3′ end processing to nuclear speckles for efficient gene expression. Molecular Cell. </w:t>
      </w:r>
      <w:hyperlink r:id="rId83" w:history="1">
        <w:r>
          <w:rPr>
            <w:color w:val="087B78"/>
            <w:sz w:val="20"/>
            <w:szCs w:val="20"/>
            <w:u w:val="single"/>
          </w:rPr>
          <w:t>10.1016/j.molcel.2024.12.016</w:t>
        </w:r>
      </w:hyperlink>
    </w:p>
    <w:p w14:paraId="077BC024" w14:textId="59E3D539" w:rsidR="004B23C7" w:rsidRDefault="006A012C">
      <w:pPr>
        <w:keepLines/>
        <w:spacing w:after="90" w:line="245" w:lineRule="auto"/>
      </w:pPr>
      <w:r>
        <w:rPr>
          <w:b/>
          <w:bCs/>
          <w:sz w:val="20"/>
          <w:szCs w:val="20"/>
        </w:rPr>
        <w:t xml:space="preserve">[14] Kim et al. (2016). </w:t>
      </w:r>
      <w:r>
        <w:rPr>
          <w:sz w:val="20"/>
          <w:szCs w:val="20"/>
        </w:rPr>
        <w:t xml:space="preserve">De Novo Mutations in SON Disrupt RNA Splicing of Genes Essential for Brain Development and Metabolism, Causing an Intellectual-Disability Syndrome. American Journal of Human Genetics. </w:t>
      </w:r>
      <w:hyperlink r:id="rId84" w:history="1">
        <w:r>
          <w:rPr>
            <w:color w:val="087B78"/>
            <w:sz w:val="20"/>
            <w:szCs w:val="20"/>
            <w:u w:val="single"/>
          </w:rPr>
          <w:t>10.1016/j.ajhg.2016.06.029</w:t>
        </w:r>
      </w:hyperlink>
    </w:p>
    <w:p w14:paraId="3186D269" w14:textId="77777777" w:rsidR="004B23C7" w:rsidRDefault="006A012C">
      <w:pPr>
        <w:pStyle w:val="Heading1"/>
      </w:pPr>
      <w:bookmarkStart w:id="13" w:name="_Toc242668394"/>
      <w:r>
        <w:t>Evidence scope</w:t>
      </w:r>
      <w:bookmarkEnd w:id="13"/>
    </w:p>
    <w:p w14:paraId="1C42DBDD" w14:textId="77777777" w:rsidR="004B23C7" w:rsidRDefault="006A012C">
      <w:pPr>
        <w:keepLines/>
        <w:spacing w:after="160" w:line="270" w:lineRule="auto"/>
      </w:pPr>
      <w:r>
        <w:t>This scholarly synthesis integrates foundational studies and literature available by 12 October 2026. Source access ranges from primary abstracts to selected Results, figure captions and Methods, as specified for each reference. Experiments and models retain their organism, construct and perturbation context; raw data and supplementary material have not been comprehensively reanalysed.</w:t>
      </w:r>
    </w:p>
    <w:sectPr w:rsidR="004B23C7">
      <w:headerReference w:type="default" r:id="rId85"/>
      <w:footerReference w:type="default" r:id="rId86"/>
      <w:pgSz w:w="12240" w:h="15840"/>
      <w:pgMar w:top="1250" w:right="1440" w:bottom="1250" w:left="1440" w:header="650" w:footer="6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8BF69" w14:textId="77777777" w:rsidR="006A012C" w:rsidRDefault="006A012C">
      <w:pPr>
        <w:spacing w:after="0" w:line="240" w:lineRule="auto"/>
      </w:pPr>
      <w:r>
        <w:separator/>
      </w:r>
    </w:p>
  </w:endnote>
  <w:endnote w:type="continuationSeparator" w:id="0">
    <w:p w14:paraId="6223A711" w14:textId="77777777" w:rsidR="006A012C" w:rsidRDefault="006A01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2FE0D" w14:textId="77777777" w:rsidR="004B23C7" w:rsidRDefault="006A012C">
    <w:pPr>
      <w:jc w:val="right"/>
    </w:pPr>
    <w:r>
      <w:rPr>
        <w:color w:val="527077"/>
        <w:sz w:val="17"/>
        <w:szCs w:val="17"/>
      </w:rPr>
      <w:t xml:space="preserve">CellNucleus · Page </w:t>
    </w:r>
    <w:r>
      <w:rPr>
        <w:color w:val="527077"/>
        <w:sz w:val="17"/>
        <w:szCs w:val="17"/>
      </w:rPr>
      <w:fldChar w:fldCharType="begin"/>
    </w:r>
    <w:r>
      <w:rPr>
        <w:color w:val="527077"/>
        <w:sz w:val="17"/>
        <w:szCs w:val="17"/>
      </w:rPr>
      <w:instrText>PAGE</w:instrText>
    </w:r>
    <w:r>
      <w:rPr>
        <w:color w:val="527077"/>
        <w:sz w:val="17"/>
        <w:szCs w:val="17"/>
      </w:rPr>
      <w:fldChar w:fldCharType="separate"/>
    </w:r>
    <w:r w:rsidR="000B2A54">
      <w:rPr>
        <w:noProof/>
        <w:color w:val="527077"/>
        <w:sz w:val="17"/>
        <w:szCs w:val="17"/>
      </w:rPr>
      <w:t>1</w:t>
    </w:r>
    <w:r>
      <w:rPr>
        <w:color w:val="527077"/>
        <w:sz w:val="17"/>
        <w:szCs w:val="17"/>
      </w:rPr>
      <w:fldChar w:fldCharType="end"/>
    </w:r>
    <w:r>
      <w:rPr>
        <w:color w:val="527077"/>
        <w:sz w:val="17"/>
        <w:szCs w:val="17"/>
      </w:rPr>
      <w:t xml:space="preserve"> of </w:t>
    </w:r>
    <w:r>
      <w:rPr>
        <w:color w:val="527077"/>
        <w:sz w:val="17"/>
        <w:szCs w:val="17"/>
      </w:rPr>
      <w:fldChar w:fldCharType="begin"/>
    </w:r>
    <w:r>
      <w:rPr>
        <w:color w:val="527077"/>
        <w:sz w:val="17"/>
        <w:szCs w:val="17"/>
      </w:rPr>
      <w:instrText>NUMPAGES</w:instrText>
    </w:r>
    <w:r>
      <w:rPr>
        <w:color w:val="527077"/>
        <w:sz w:val="17"/>
        <w:szCs w:val="17"/>
      </w:rPr>
      <w:fldChar w:fldCharType="separate"/>
    </w:r>
    <w:r w:rsidR="000B2A54">
      <w:rPr>
        <w:noProof/>
        <w:color w:val="527077"/>
        <w:sz w:val="17"/>
        <w:szCs w:val="17"/>
      </w:rPr>
      <w:t>2</w:t>
    </w:r>
    <w:r>
      <w:rPr>
        <w:color w:val="5270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086EE" w14:textId="77777777" w:rsidR="006A012C" w:rsidRDefault="006A012C">
      <w:pPr>
        <w:spacing w:after="0" w:line="240" w:lineRule="auto"/>
      </w:pPr>
      <w:r>
        <w:separator/>
      </w:r>
    </w:p>
  </w:footnote>
  <w:footnote w:type="continuationSeparator" w:id="0">
    <w:p w14:paraId="5C6AD897" w14:textId="77777777" w:rsidR="006A012C" w:rsidRDefault="006A01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E7A0C" w14:textId="77777777" w:rsidR="004B23C7" w:rsidRDefault="006A012C">
    <w:pPr>
      <w:pBdr>
        <w:bottom w:val="single" w:sz="4" w:space="0" w:color="B8D1D0"/>
      </w:pBdr>
    </w:pPr>
    <w:r>
      <w:rPr>
        <w:color w:val="527077"/>
        <w:sz w:val="17"/>
        <w:szCs w:val="17"/>
      </w:rPr>
      <w:t>Nuclear Speckles: Molecular Organization and Selective RNA Processing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359D5"/>
    <w:multiLevelType w:val="hybridMultilevel"/>
    <w:tmpl w:val="EEDAA4EE"/>
    <w:lvl w:ilvl="0" w:tplc="E5603BE8">
      <w:start w:val="1"/>
      <w:numFmt w:val="bullet"/>
      <w:lvlText w:val="•"/>
      <w:lvlJc w:val="left"/>
      <w:pPr>
        <w:ind w:left="340" w:hanging="170"/>
      </w:pPr>
    </w:lvl>
    <w:lvl w:ilvl="1" w:tplc="C3B6C792">
      <w:numFmt w:val="decimal"/>
      <w:lvlText w:val=""/>
      <w:lvlJc w:val="left"/>
    </w:lvl>
    <w:lvl w:ilvl="2" w:tplc="B1BC0B62">
      <w:numFmt w:val="decimal"/>
      <w:lvlText w:val=""/>
      <w:lvlJc w:val="left"/>
    </w:lvl>
    <w:lvl w:ilvl="3" w:tplc="262A80F2">
      <w:numFmt w:val="decimal"/>
      <w:lvlText w:val=""/>
      <w:lvlJc w:val="left"/>
    </w:lvl>
    <w:lvl w:ilvl="4" w:tplc="3DBA5766">
      <w:numFmt w:val="decimal"/>
      <w:lvlText w:val=""/>
      <w:lvlJc w:val="left"/>
    </w:lvl>
    <w:lvl w:ilvl="5" w:tplc="6EF06114">
      <w:numFmt w:val="decimal"/>
      <w:lvlText w:val=""/>
      <w:lvlJc w:val="left"/>
    </w:lvl>
    <w:lvl w:ilvl="6" w:tplc="A9BACEB6">
      <w:numFmt w:val="decimal"/>
      <w:lvlText w:val=""/>
      <w:lvlJc w:val="left"/>
    </w:lvl>
    <w:lvl w:ilvl="7" w:tplc="A44229A4">
      <w:numFmt w:val="decimal"/>
      <w:lvlText w:val=""/>
      <w:lvlJc w:val="left"/>
    </w:lvl>
    <w:lvl w:ilvl="8" w:tplc="E10886EA">
      <w:numFmt w:val="decimal"/>
      <w:lvlText w:val=""/>
      <w:lvlJc w:val="left"/>
    </w:lvl>
  </w:abstractNum>
  <w:abstractNum w:abstractNumId="1" w15:restartNumberingAfterBreak="0">
    <w:nsid w:val="68C17C98"/>
    <w:multiLevelType w:val="hybridMultilevel"/>
    <w:tmpl w:val="F964139E"/>
    <w:lvl w:ilvl="0" w:tplc="0AAE0EAC">
      <w:start w:val="1"/>
      <w:numFmt w:val="bullet"/>
      <w:lvlText w:val="●"/>
      <w:lvlJc w:val="left"/>
      <w:pPr>
        <w:ind w:left="720" w:hanging="360"/>
      </w:pPr>
    </w:lvl>
    <w:lvl w:ilvl="1" w:tplc="4D5663C4">
      <w:start w:val="1"/>
      <w:numFmt w:val="bullet"/>
      <w:lvlText w:val="○"/>
      <w:lvlJc w:val="left"/>
      <w:pPr>
        <w:ind w:left="1440" w:hanging="360"/>
      </w:pPr>
    </w:lvl>
    <w:lvl w:ilvl="2" w:tplc="DC9291C0">
      <w:start w:val="1"/>
      <w:numFmt w:val="bullet"/>
      <w:lvlText w:val="■"/>
      <w:lvlJc w:val="left"/>
      <w:pPr>
        <w:ind w:left="2160" w:hanging="360"/>
      </w:pPr>
    </w:lvl>
    <w:lvl w:ilvl="3" w:tplc="F7C61B30">
      <w:start w:val="1"/>
      <w:numFmt w:val="bullet"/>
      <w:lvlText w:val="●"/>
      <w:lvlJc w:val="left"/>
      <w:pPr>
        <w:ind w:left="2880" w:hanging="360"/>
      </w:pPr>
    </w:lvl>
    <w:lvl w:ilvl="4" w:tplc="71A0666A">
      <w:start w:val="1"/>
      <w:numFmt w:val="bullet"/>
      <w:lvlText w:val="○"/>
      <w:lvlJc w:val="left"/>
      <w:pPr>
        <w:ind w:left="3600" w:hanging="360"/>
      </w:pPr>
    </w:lvl>
    <w:lvl w:ilvl="5" w:tplc="4BB82AE8">
      <w:start w:val="1"/>
      <w:numFmt w:val="bullet"/>
      <w:lvlText w:val="■"/>
      <w:lvlJc w:val="left"/>
      <w:pPr>
        <w:ind w:left="4320" w:hanging="360"/>
      </w:pPr>
    </w:lvl>
    <w:lvl w:ilvl="6" w:tplc="6A4E9870">
      <w:start w:val="1"/>
      <w:numFmt w:val="bullet"/>
      <w:lvlText w:val="●"/>
      <w:lvlJc w:val="left"/>
      <w:pPr>
        <w:ind w:left="5040" w:hanging="360"/>
      </w:pPr>
    </w:lvl>
    <w:lvl w:ilvl="7" w:tplc="8DAC7082">
      <w:start w:val="1"/>
      <w:numFmt w:val="bullet"/>
      <w:lvlText w:val="●"/>
      <w:lvlJc w:val="left"/>
      <w:pPr>
        <w:ind w:left="5760" w:hanging="360"/>
      </w:pPr>
    </w:lvl>
    <w:lvl w:ilvl="8" w:tplc="C0B6A680">
      <w:start w:val="1"/>
      <w:numFmt w:val="bullet"/>
      <w:lvlText w:val="●"/>
      <w:lvlJc w:val="left"/>
      <w:pPr>
        <w:ind w:left="6480" w:hanging="360"/>
      </w:pPr>
    </w:lvl>
  </w:abstractNum>
  <w:num w:numId="1" w16cid:durableId="418296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3C7"/>
    <w:rsid w:val="000B2A54"/>
    <w:rsid w:val="004B23C7"/>
    <w:rsid w:val="006A012C"/>
    <w:rsid w:val="00B50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40590A"/>
  <w15:docId w15:val="{B8C23911-498D-420F-B07D-E9F114B1F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43F48"/>
        <w:sz w:val="22"/>
        <w:szCs w:val="22"/>
        <w:lang w:val="en-US" w:eastAsia="en-US" w:bidi="ar-SA"/>
      </w:rPr>
    </w:rPrDefault>
    <w:pPrDefault>
      <w:pPr>
        <w:spacing w:after="15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30"/>
      <w:outlineLvl w:val="0"/>
    </w:pPr>
    <w:rPr>
      <w:b/>
      <w:bCs/>
      <w:color w:val="173B4C"/>
      <w:sz w:val="32"/>
      <w:szCs w:val="32"/>
    </w:rPr>
  </w:style>
  <w:style w:type="paragraph" w:styleId="Heading2">
    <w:name w:val="heading 2"/>
    <w:uiPriority w:val="9"/>
    <w:semiHidden/>
    <w:unhideWhenUsed/>
    <w:qFormat/>
    <w:pPr>
      <w:keepNext/>
      <w:spacing w:before="240" w:after="120"/>
      <w:outlineLvl w:val="1"/>
    </w:pPr>
    <w:rPr>
      <w:b/>
      <w:bCs/>
      <w:color w:val="087B7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uiPriority w:val="10"/>
    <w:qFormat/>
    <w:pPr>
      <w:spacing w:after="240"/>
    </w:pPr>
    <w:rPr>
      <w:b/>
      <w:bCs/>
      <w:color w:val="173B4C"/>
      <w:sz w:val="54"/>
      <w:szCs w:val="5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80"/>
    </w:pPr>
    <w:rPr>
      <w:color w:val="527077"/>
      <w:sz w:val="25"/>
      <w:szCs w:val="25"/>
    </w:rPr>
  </w:style>
  <w:style w:type="paragraph" w:styleId="TOC1">
    <w:name w:val="toc 1"/>
    <w:basedOn w:val="Normal"/>
    <w:next w:val="Normal"/>
    <w:autoRedefine/>
    <w:uiPriority w:val="39"/>
    <w:unhideWhenUsed/>
    <w:rsid w:val="000B2A5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261/rna.033217.112" TargetMode="External"/><Relationship Id="rId21" Type="http://schemas.openxmlformats.org/officeDocument/2006/relationships/hyperlink" Target="https://doi.org/10.1038/s41586-024-07429-6" TargetMode="External"/><Relationship Id="rId42" Type="http://schemas.openxmlformats.org/officeDocument/2006/relationships/hyperlink" Target="https://doi.org/10.1038/s41467-024-55469-3" TargetMode="External"/><Relationship Id="rId47" Type="http://schemas.openxmlformats.org/officeDocument/2006/relationships/hyperlink" Target="https://doi.org/10.1016/j.molcel.2024.12.016" TargetMode="External"/><Relationship Id="rId63" Type="http://schemas.openxmlformats.org/officeDocument/2006/relationships/hyperlink" Target="https://doi.org/10.1038/s41467-024-55469-3" TargetMode="External"/><Relationship Id="rId68" Type="http://schemas.openxmlformats.org/officeDocument/2006/relationships/hyperlink" Target="https://doi.org/10.1016/j.cell.2026.01.011" TargetMode="External"/><Relationship Id="rId84" Type="http://schemas.openxmlformats.org/officeDocument/2006/relationships/hyperlink" Target="https://doi.org/10.1016/j.ajhg.2016.06.029" TargetMode="External"/><Relationship Id="rId16" Type="http://schemas.openxmlformats.org/officeDocument/2006/relationships/hyperlink" Target="https://doi.org/10.1083/jcb.201904046" TargetMode="External"/><Relationship Id="rId11" Type="http://schemas.openxmlformats.org/officeDocument/2006/relationships/hyperlink" Target="https://doi.org/10.1038/s41467-024-55469-3" TargetMode="External"/><Relationship Id="rId32" Type="http://schemas.openxmlformats.org/officeDocument/2006/relationships/hyperlink" Target="https://doi.org/10.1038/s41586-024-07429-6" TargetMode="External"/><Relationship Id="rId37" Type="http://schemas.openxmlformats.org/officeDocument/2006/relationships/hyperlink" Target="https://doi.org/10.1016/j.cell.2026.01.011" TargetMode="External"/><Relationship Id="rId53" Type="http://schemas.openxmlformats.org/officeDocument/2006/relationships/hyperlink" Target="https://doi.org/10.1016/j.cell.2026.01.011" TargetMode="External"/><Relationship Id="rId58" Type="http://schemas.openxmlformats.org/officeDocument/2006/relationships/hyperlink" Target="https://doi.org/10.7554/eLife.60579" TargetMode="External"/><Relationship Id="rId74" Type="http://schemas.openxmlformats.org/officeDocument/2006/relationships/hyperlink" Target="https://doi.org/10.1093/nar/gkag174" TargetMode="External"/><Relationship Id="rId79" Type="http://schemas.openxmlformats.org/officeDocument/2006/relationships/hyperlink" Target="https://doi.org/10.1016/j.celrep.2024.113827" TargetMode="External"/><Relationship Id="rId5" Type="http://schemas.openxmlformats.org/officeDocument/2006/relationships/footnotes" Target="footnotes.xml"/><Relationship Id="rId19" Type="http://schemas.openxmlformats.org/officeDocument/2006/relationships/hyperlink" Target="https://doi.org/10.7554/eLife.60579" TargetMode="External"/><Relationship Id="rId14" Type="http://schemas.openxmlformats.org/officeDocument/2006/relationships/hyperlink" Target="https://doi.org/10.1038/s41586-024-07429-6" TargetMode="External"/><Relationship Id="rId22" Type="http://schemas.openxmlformats.org/officeDocument/2006/relationships/hyperlink" Target="https://doi.org/10.1016/j.celrep.2024.113827" TargetMode="External"/><Relationship Id="rId27" Type="http://schemas.openxmlformats.org/officeDocument/2006/relationships/hyperlink" Target="https://doi.org/10.1016/j.molcel.2010.08.011" TargetMode="External"/><Relationship Id="rId30" Type="http://schemas.openxmlformats.org/officeDocument/2006/relationships/hyperlink" Target="https://doi.org/10.1083/jcb.201904046" TargetMode="External"/><Relationship Id="rId35" Type="http://schemas.openxmlformats.org/officeDocument/2006/relationships/hyperlink" Target="https://doi.org/10.1093/nar/gkag174" TargetMode="External"/><Relationship Id="rId43" Type="http://schemas.openxmlformats.org/officeDocument/2006/relationships/hyperlink" Target="https://doi.org/10.1038/s41467-024-55469-3" TargetMode="External"/><Relationship Id="rId48" Type="http://schemas.openxmlformats.org/officeDocument/2006/relationships/hyperlink" Target="https://doi.org/10.1016/j.molcel.2024.12.016" TargetMode="External"/><Relationship Id="rId56" Type="http://schemas.openxmlformats.org/officeDocument/2006/relationships/hyperlink" Target="https://doi.org/10.1016/j.cell.2026.01.011" TargetMode="External"/><Relationship Id="rId64" Type="http://schemas.openxmlformats.org/officeDocument/2006/relationships/hyperlink" Target="https://doi.org/10.1038/s41556-026-02040-5" TargetMode="External"/><Relationship Id="rId69" Type="http://schemas.openxmlformats.org/officeDocument/2006/relationships/hyperlink" Target="https://doi.org/10.1038/s41467-024-55469-3" TargetMode="External"/><Relationship Id="rId77" Type="http://schemas.openxmlformats.org/officeDocument/2006/relationships/hyperlink" Target="https://doi.org/10.1101/cshperspect.a000646" TargetMode="External"/><Relationship Id="rId8" Type="http://schemas.openxmlformats.org/officeDocument/2006/relationships/hyperlink" Target="https://doi.org/10.1038/s41586-024-07429-6" TargetMode="External"/><Relationship Id="rId51" Type="http://schemas.openxmlformats.org/officeDocument/2006/relationships/hyperlink" Target="https://doi.org/10.1038/s41556-026-02040-5" TargetMode="External"/><Relationship Id="rId72" Type="http://schemas.openxmlformats.org/officeDocument/2006/relationships/hyperlink" Target="https://doi.org/10.1038/s41586-024-07429-6" TargetMode="External"/><Relationship Id="rId80" Type="http://schemas.openxmlformats.org/officeDocument/2006/relationships/hyperlink" Target="https://doi.org/10.1016/j.molcel.2010.08.011" TargetMode="External"/><Relationship Id="rId85"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doi.org/10.1038/s41556-026-02040-5" TargetMode="External"/><Relationship Id="rId17" Type="http://schemas.openxmlformats.org/officeDocument/2006/relationships/hyperlink" Target="https://doi.org/10.1038/s41586-024-07429-6" TargetMode="External"/><Relationship Id="rId25" Type="http://schemas.openxmlformats.org/officeDocument/2006/relationships/hyperlink" Target="https://doi.org/10.1016/j.molcel.2010.08.011" TargetMode="External"/><Relationship Id="rId33" Type="http://schemas.openxmlformats.org/officeDocument/2006/relationships/hyperlink" Target="https://doi.org/10.1038/s41586-024-07429-6" TargetMode="External"/><Relationship Id="rId38" Type="http://schemas.openxmlformats.org/officeDocument/2006/relationships/hyperlink" Target="https://doi.org/10.1016/j.cell.2026.01.011" TargetMode="External"/><Relationship Id="rId46" Type="http://schemas.openxmlformats.org/officeDocument/2006/relationships/hyperlink" Target="https://doi.org/10.1038/s41556-026-02040-5" TargetMode="External"/><Relationship Id="rId59" Type="http://schemas.openxmlformats.org/officeDocument/2006/relationships/hyperlink" Target="https://doi.org/10.1016/j.molcel.2010.08.011" TargetMode="External"/><Relationship Id="rId67" Type="http://schemas.openxmlformats.org/officeDocument/2006/relationships/hyperlink" Target="https://doi.org/10.1038/s41586-024-07429-6" TargetMode="External"/><Relationship Id="rId20" Type="http://schemas.openxmlformats.org/officeDocument/2006/relationships/hyperlink" Target="https://doi.org/10.1016/j.cell.2026.01.011" TargetMode="External"/><Relationship Id="rId41" Type="http://schemas.openxmlformats.org/officeDocument/2006/relationships/hyperlink" Target="https://doi.org/10.1093/nar/gkag174" TargetMode="External"/><Relationship Id="rId54" Type="http://schemas.openxmlformats.org/officeDocument/2006/relationships/hyperlink" Target="https://doi.org/10.1016/j.ajhg.2016.06.029" TargetMode="External"/><Relationship Id="rId62" Type="http://schemas.openxmlformats.org/officeDocument/2006/relationships/hyperlink" Target="https://doi.org/10.1016/j.cell.2026.01.011" TargetMode="External"/><Relationship Id="rId70" Type="http://schemas.openxmlformats.org/officeDocument/2006/relationships/hyperlink" Target="https://doi.org/10.1038/s41556-026-02040-5" TargetMode="External"/><Relationship Id="rId75" Type="http://schemas.openxmlformats.org/officeDocument/2006/relationships/hyperlink" Target="https://doi.org/10.1038/s41467-024-55469-3" TargetMode="External"/><Relationship Id="rId83" Type="http://schemas.openxmlformats.org/officeDocument/2006/relationships/hyperlink" Target="https://doi.org/10.1016/j.molcel.2024.12.016"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38/s41467-024-55469-3" TargetMode="External"/><Relationship Id="rId23" Type="http://schemas.openxmlformats.org/officeDocument/2006/relationships/hyperlink" Target="https://doi.org/10.1016/j.molcel.2010.08.011" TargetMode="External"/><Relationship Id="rId28" Type="http://schemas.openxmlformats.org/officeDocument/2006/relationships/hyperlink" Target="https://doi.org/10.7554/eLife.60579" TargetMode="External"/><Relationship Id="rId36" Type="http://schemas.openxmlformats.org/officeDocument/2006/relationships/hyperlink" Target="https://doi.org/10.1093/nar/gkag174" TargetMode="External"/><Relationship Id="rId49" Type="http://schemas.openxmlformats.org/officeDocument/2006/relationships/hyperlink" Target="https://doi.org/10.1038/s41586-024-07429-6" TargetMode="External"/><Relationship Id="rId57" Type="http://schemas.openxmlformats.org/officeDocument/2006/relationships/hyperlink" Target="https://doi.org/10.1038/s41586-024-07429-6" TargetMode="External"/><Relationship Id="rId10" Type="http://schemas.openxmlformats.org/officeDocument/2006/relationships/hyperlink" Target="https://doi.org/10.1093/nar/gkag174" TargetMode="External"/><Relationship Id="rId31" Type="http://schemas.openxmlformats.org/officeDocument/2006/relationships/hyperlink" Target="https://doi.org/10.1371/journal.pcbi.1008999" TargetMode="External"/><Relationship Id="rId44" Type="http://schemas.openxmlformats.org/officeDocument/2006/relationships/hyperlink" Target="https://doi.org/10.1038/s41586-024-07429-6" TargetMode="External"/><Relationship Id="rId52" Type="http://schemas.openxmlformats.org/officeDocument/2006/relationships/hyperlink" Target="https://doi.org/10.1038/s41586-024-07429-6" TargetMode="External"/><Relationship Id="rId60" Type="http://schemas.openxmlformats.org/officeDocument/2006/relationships/hyperlink" Target="https://doi.org/10.1261/rna.033217.112" TargetMode="External"/><Relationship Id="rId65" Type="http://schemas.openxmlformats.org/officeDocument/2006/relationships/hyperlink" Target="https://doi.org/10.7554/eLife.60579" TargetMode="External"/><Relationship Id="rId73" Type="http://schemas.openxmlformats.org/officeDocument/2006/relationships/hyperlink" Target="https://doi.org/10.1016/j.cell.2026.01.011" TargetMode="External"/><Relationship Id="rId78" Type="http://schemas.openxmlformats.org/officeDocument/2006/relationships/hyperlink" Target="https://doi.org/10.1083/jcb.201904046" TargetMode="External"/><Relationship Id="rId81" Type="http://schemas.openxmlformats.org/officeDocument/2006/relationships/hyperlink" Target="https://doi.org/10.1261/rna.033217.112" TargetMode="External"/><Relationship Id="rId86"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16/j.cell.2026.01.011" TargetMode="External"/><Relationship Id="rId13" Type="http://schemas.openxmlformats.org/officeDocument/2006/relationships/hyperlink" Target="https://doi.org/10.1101/cshperspect.a000646" TargetMode="External"/><Relationship Id="rId18" Type="http://schemas.openxmlformats.org/officeDocument/2006/relationships/hyperlink" Target="https://doi.org/10.7554/eLife.60579" TargetMode="External"/><Relationship Id="rId39" Type="http://schemas.openxmlformats.org/officeDocument/2006/relationships/hyperlink" Target="https://doi.org/10.1038/s41586-024-07429-6" TargetMode="External"/><Relationship Id="rId34" Type="http://schemas.openxmlformats.org/officeDocument/2006/relationships/hyperlink" Target="https://doi.org/10.1093/nar/gkag174" TargetMode="External"/><Relationship Id="rId50" Type="http://schemas.openxmlformats.org/officeDocument/2006/relationships/hyperlink" Target="https://doi.org/10.1038/s41556-026-02040-5" TargetMode="External"/><Relationship Id="rId55" Type="http://schemas.openxmlformats.org/officeDocument/2006/relationships/hyperlink" Target="https://doi.org/10.1016/j.ajhg.2016.06.029" TargetMode="External"/><Relationship Id="rId76" Type="http://schemas.openxmlformats.org/officeDocument/2006/relationships/hyperlink" Target="https://doi.org/10.1038/s41556-026-02040-5" TargetMode="External"/><Relationship Id="rId7" Type="http://schemas.openxmlformats.org/officeDocument/2006/relationships/hyperlink" Target="https://doi.org/10.7554/eLife.60579" TargetMode="External"/><Relationship Id="rId71" Type="http://schemas.openxmlformats.org/officeDocument/2006/relationships/hyperlink" Target="https://doi.org/10.7554/eLife.60579" TargetMode="External"/><Relationship Id="rId2" Type="http://schemas.openxmlformats.org/officeDocument/2006/relationships/styles" Target="styles.xml"/><Relationship Id="rId29" Type="http://schemas.openxmlformats.org/officeDocument/2006/relationships/hyperlink" Target="https://doi.org/10.1083/jcb.201904046" TargetMode="External"/><Relationship Id="rId24" Type="http://schemas.openxmlformats.org/officeDocument/2006/relationships/hyperlink" Target="https://doi.org/10.1261/rna.033217.112" TargetMode="External"/><Relationship Id="rId40" Type="http://schemas.openxmlformats.org/officeDocument/2006/relationships/hyperlink" Target="https://doi.org/10.1016/j.cell.2026.01.011" TargetMode="External"/><Relationship Id="rId45" Type="http://schemas.openxmlformats.org/officeDocument/2006/relationships/hyperlink" Target="https://doi.org/10.1038/s41467-024-55469-3" TargetMode="External"/><Relationship Id="rId66" Type="http://schemas.openxmlformats.org/officeDocument/2006/relationships/hyperlink" Target="https://doi.org/10.1093/nar/gkag174" TargetMode="External"/><Relationship Id="rId87" Type="http://schemas.openxmlformats.org/officeDocument/2006/relationships/fontTable" Target="fontTable.xml"/><Relationship Id="rId61" Type="http://schemas.openxmlformats.org/officeDocument/2006/relationships/hyperlink" Target="https://doi.org/10.1038/s41586-024-07429-6" TargetMode="External"/><Relationship Id="rId82" Type="http://schemas.openxmlformats.org/officeDocument/2006/relationships/hyperlink" Target="https://doi.org/10.1371/journal.pcbi.10089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2748</Words>
  <Characters>17722</Characters>
  <Application>Microsoft Office Word</Application>
  <DocSecurity>0</DocSecurity>
  <Lines>285</Lines>
  <Paragraphs>96</Paragraphs>
  <ScaleCrop>false</ScaleCrop>
  <Company/>
  <LinksUpToDate>false</LinksUpToDate>
  <CharactersWithSpaces>20372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Nuclear Speckles: Molecular Organization and Selective RNA Processing</dc:title>
  <dc:subject>SON/SRRM2 scaffolds, transcript localization, spatial splicing and regulated RNA retention</dc:subject>
  <dc:creator>CellNucleus</dc:creator>
  <dc:description>Current source-based review with a matching webpage edition.</dc:description>
  <cp:lastModifiedBy>Michael Hendzel</cp:lastModifiedBy>
  <cp:revision>2</cp:revision>
  <dcterms:created xsi:type="dcterms:W3CDTF">2026-10-12T09:31:00Z</dcterms:created>
  <dcterms:modified xsi:type="dcterms:W3CDTF">2026-10-12T09:32:00Z</dcterms:modified>
</cp:coreProperties>
</file>