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Dossier pédagogique — Portail public NOVA</w:t>
      </w:r>
    </w:p>
    <w:p>
      <w:r>
        <w:t>Données fictives — VersionV1, état13octobre2026. Pas une politique réelle, contrat ou avis juridique.</w:t>
      </w:r>
    </w:p>
    <w:p>
      <w:pPr>
        <w:pStyle w:val="Heading1"/>
      </w:pPr>
      <w:r>
        <w:t>D01 — Charte et contexte</w:t>
      </w:r>
    </w:p>
    <w:p>
      <w:r>
        <w:t>D01 — Charte fictive du projet PORTAL-2026-042 — Version V1 — État 13/10/2026</w:t>
      </w:r>
    </w:p>
    <w:p>
      <w:r>
        <w:t>Client fictif : Collectivité NOVA. Projet : Modernisation d’un portail de services publics.</w:t>
      </w:r>
    </w:p>
    <w:p>
      <w:r>
        <w:t>Sponsor : Directrice de la transformation. PM : Amine Benali. BA : Claire Roux. Tous les rôles/personnes sont fictifs.</w:t>
      </w:r>
    </w:p>
    <w:p>
      <w:r>
        <w:t>Pilote cible : 15/12/2026, date à préserver comme cible, pas GO automatique.</w:t>
      </w:r>
    </w:p>
    <w:p>
      <w:r>
        <w:t>Budget projet approuvé dans le scénario : 320000 EUR. Une demande nouvelle n’a aucun budget additionnel approuvé sans décision explicite.</w:t>
      </w:r>
    </w:p>
    <w:p>
      <w:r>
        <w:t>Pilote : rendez-vous, demande d’attestation et suivi d’état de dossier ; 50 usagers pilotes, 25 agents internes ; volume cible 20000 dossiers/mois non encore testé en charge.</w:t>
      </w:r>
    </w:p>
    <w:p>
      <w:r>
        <w:t>Deux développeurs, un référent technique et deux experts métier à disponibilité partielle ; capacité exacte par exigence à confirmer.</w:t>
      </w:r>
    </w:p>
    <w:p>
      <w:r>
        <w:t>Une API fournisseur est requise ; accès de test non encore confirmé. Les exigences et critères doivent être validés par le métier ; sécurité/données par les fonctions habilitées.</w:t>
      </w:r>
    </w:p>
    <w:p>
      <w:r>
        <w:t>Hors pilote sans changement approuvé : WhatsApp, décision administrative autonome, collecte de données de santé, hausse budgétaire ou promesse de date non arbitrée.</w:t>
      </w:r>
    </w:p>
    <w:p>
      <w:r>
        <w:t>Toute communication externe, budget, périmètre et engagement de date restent soumis à validation humaine.</w:t>
      </w:r>
    </w:p>
    <w:p>
      <w:r>
        <w:t>Règle de traçabilité documentaire : conserver l’ID de demande, version de règles utilisée et statut de validation dans chaque livrable. Le terme de contrôle interne du cas est « Registre des réserves du pilote ».</w:t>
      </w:r>
    </w:p>
    <w:p>
      <w:pPr>
        <w:pStyle w:val="Heading1"/>
      </w:pPr>
      <w:r>
        <w:t>D02 — Règles MoSCoW</w:t>
      </w:r>
    </w:p>
    <w:p>
      <w:r>
        <w:t>D02 — Règles MoSCoW pédagogiques — V1</w:t>
      </w:r>
    </w:p>
    <w:p>
      <w:r>
        <w:t>Must have : indispensable au but approuvé ou à une condition de passage documentée, sans alternative acceptable pour le pilote.</w:t>
      </w:r>
    </w:p>
    <w:p>
      <w:r>
        <w:t>Should have : valeur importante, avec contournement acceptable à court terme.</w:t>
      </w:r>
    </w:p>
    <w:p>
      <w:r>
        <w:t>Could have : confort/valeur complémentaire, sans blocage du pilote.</w:t>
      </w:r>
    </w:p>
    <w:p>
      <w:r>
        <w:t>Won’t have for now : explicitement exclu ou reporté du pilote, sans supprimer définitivement le besoin.</w:t>
      </w:r>
    </w:p>
    <w:p>
      <w:r>
        <w:t>Le classement de l’IA est une proposition, pas une priorité définitivement approuvée.</w:t>
      </w:r>
    </w:p>
    <w:p>
      <w:r>
        <w:t>Avant de trancher : but, périmètre, conséquence de non-réalisation, alternative, capacité, dépendances et source de validation.</w:t>
      </w:r>
    </w:p>
    <w:p>
      <w:r>
        <w:t>Urgent n’est pas synonyme de Must ; ne pas tout classer Must si moyens inconnus. Une obligation alléguée est à qualifier avec les experts.</w:t>
      </w:r>
    </w:p>
    <w:p>
      <w:r>
        <w:t>Si critères insuffisants, écrire « À arbitrer », proposer une catégorie conditionnelle ou demander les critères manquants.</w:t>
      </w:r>
    </w:p>
    <w:p>
      <w:r>
        <w:t>Les noms des catégories doivent rester ceux ci-dessus ; pas de nouvelle méthode WSJF inventée dans cet exercice.</w:t>
      </w:r>
    </w:p>
    <w:p>
      <w:pPr>
        <w:pStyle w:val="Heading1"/>
      </w:pPr>
      <w:r>
        <w:t>D03 — Contrôles et échelles</w:t>
      </w:r>
    </w:p>
    <w:p>
      <w:r>
        <w:t>D03 — Contrôles du pilote et échelles de risques fictives — V1</w:t>
      </w:r>
    </w:p>
    <w:p>
      <w:r>
        <w:t>Le client du cas impose : chaque usager ne consulte que ses propres dossiers ; absence de preuve d’habilitations bloque l’ouverture concernée. Les besoins d’accessibilité et de protection des données doivent être validés par les fonctions compétentes. Aucune conformité RGPD ni sanction n’est déduite automatiquement par un agent.</w:t>
      </w:r>
    </w:p>
    <w:p>
      <w:r>
        <w:t>Notification proposée : annoncer un changement d’état puis renvoyer au portail authentifié ; ne pas joindre de données sensibles au message.</w:t>
      </w:r>
    </w:p>
    <w:p>
      <w:r>
        <w:t>Échelle probabilité avant la cible 15/12 : 1 très faible,2 faible,3 possible,4 probable,5 presque certaine. Il s’agit d’estimations expertes à justifier, pas de fréquences statistiques.</w:t>
      </w:r>
    </w:p>
    <w:p>
      <w:r>
        <w:t>Impact : 1 mineur (≤1% coût/≤2jours ouvrés),2 limité (&gt;1–3%/3–5j),3 significatif (&gt;3–7%/6–10j),4 majeur (&gt;7–15%/11–20j),5 sévère (&gt;15%/&gt;20j ou divulgation de données sensibles/condition de passage impérative violée). Retenir la dimension crédible la plus grave.</w:t>
      </w:r>
    </w:p>
    <w:p>
      <w:r>
        <w:t>Criticité=P×I : 1–4 faible,5–9 modérée,10–14 élevée,15–19 très élevée,20–25 critique. Score ne remplace pas urgence ni gate.</w:t>
      </w:r>
    </w:p>
    <w:p>
      <w:r>
        <w:t>Risque=futur incertain ; problème=réalisé ; hypothèse=condition à confirmer.</w:t>
      </w:r>
    </w:p>
    <w:p>
      <w:r>
        <w:t>Formulation : en raison de Cause, Événement pourrait survenir, entraînant Conséquence.</w:t>
      </w:r>
    </w:p>
    <w:p>
      <w:r>
        <w:t>Owner proposé n’est pas une personne engagée : confirmer mandat et disponibilité.</w:t>
      </w:r>
    </w:p>
    <w:p>
      <w:r>
        <w:t>Prévention avant événement ; correction sur défaut ; contingence activée sur déclencheur. Une cible résiduelle n’est pas une maîtrise prouvée.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