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fonctionnel</w:t>
      </w:r>
    </w:p>
    <w:p>
      <w:r>
        <w:t>PRJ-2026-017 — Modernisation du système d’information — Version V1</w:t>
      </w:r>
    </w:p>
    <w:p>
      <w:r>
        <w:t>DOCUMENT FICTIF — SUPPORT DE FORMATION. Aucun engagement, approbation ou signature réelle. Les états mentionnés sont ceux du scénario pédagogique.</w:t>
      </w:r>
    </w:p>
    <w:p>
      <w:pPr>
        <w:pStyle w:val="Heading1"/>
      </w:pPr>
      <w:r>
        <w:t>1. Besoin</w:t>
      </w:r>
    </w:p>
    <w:p>
      <w:r>
        <w:t>Mettre à disposition un prototype de modernisation du SI et un dossier de pilotage pour suivre son état, ses risques et les arbitrages. Le cas est volontairement générique : aucune application client réelle n’est reproduite.</w:t>
      </w:r>
    </w:p>
    <w:p>
      <w:pPr>
        <w:pStyle w:val="Heading1"/>
      </w:pPr>
      <w:r>
        <w:t>2. Utilisateurs et activités</w:t>
      </w:r>
    </w:p>
    <w:p>
      <w:r>
        <w:t>Acteurs : chef de projet, PMO, représentants métier, équipe technique et sponsor du scénario.</w:t>
      </w:r>
    </w:p>
    <w:p>
      <w:r>
        <w:t>Le PMO prépare un compte rendu à partir d’une ligne SharePoint ; un approbateur habilité relit ; le flow diffuse vers un canal et une boîte de test uniquement après accord.</w:t>
      </w:r>
    </w:p>
    <w:p>
      <w:pPr>
        <w:pStyle w:val="Heading1"/>
      </w:pPr>
      <w:r>
        <w:t>3. Données et documents</w:t>
      </w:r>
    </w:p>
    <w:p>
      <w:r>
        <w:t>Référence PRJ-2026-017, chef de projet Alexandra Rey, statut Orange, avancement65 %, budget consommé72 %, prototype23/10/2026.</w:t>
      </w:r>
    </w:p>
    <w:p>
      <w:r>
        <w:t>Le site privé contient charte, exigences, planning Excel ou véritable .mpp, plus listes d’état et journal. Les documents ne sont pas analysés automatiquement ; ils sont liés pour consultation.</w:t>
      </w:r>
    </w:p>
    <w:p>
      <w:pPr>
        <w:pStyle w:val="Heading1"/>
      </w:pPr>
      <w:r>
        <w:t>4. Exigences fonctionnelles proposées</w:t>
      </w:r>
    </w:p>
    <w:p>
      <w:r>
        <w:t>EF01 : conserver neuf rubriques métier et trois liens documentaires, sans décision inventée.</w:t>
      </w:r>
    </w:p>
    <w:p>
      <w:r>
        <w:t>EF02 : distinguer action proposée, décision attendue et validation de diffusion.</w:t>
      </w:r>
    </w:p>
    <w:p>
      <w:r>
        <w:t>EF03 : empêcher la rediffusion volontaire de la même édition A/B/projet/date/révision.</w:t>
      </w:r>
    </w:p>
    <w:p>
      <w:r>
        <w:t>EF04 : archiver un compte rendu HTML approuvé puis diffuser même contenu métier Teams/Outlook.</w:t>
      </w:r>
    </w:p>
    <w:p>
      <w:r>
        <w:t>EF05 : journaliser réservations, succès, rejets et erreurs ; documenter les cas partiels.</w:t>
      </w:r>
    </w:p>
    <w:p>
      <w:pPr>
        <w:pStyle w:val="Heading1"/>
      </w:pPr>
      <w:r>
        <w:t>5. Contrôles et acceptation pédagogiques</w:t>
      </w:r>
    </w:p>
    <w:p>
      <w:r>
        <w:t>Les données65/72, statutOrange et date23/10 doivent être exacts ; les liens doivent pointer vers des fichiers du projet accessibles au lecteur autorisé.</w:t>
      </w:r>
    </w:p>
    <w:p>
      <w:r>
        <w:t>Un rejet ne crée ni archive finale ni compte rendu diffusé ; un doublon ne republie pas ; un échec d’archive bloque les destinations.</w:t>
      </w:r>
    </w:p>
    <w:p>
      <w:r>
        <w:t>Une notification d’approbation peut transmettre un brouillon au relecteur autorisé avant la diffusion finale.</w:t>
      </w:r>
    </w:p>
    <w:p>
      <w:pPr>
        <w:pStyle w:val="Heading1"/>
      </w:pPr>
      <w:r>
        <w:t>6. Contraintes et points ouverts</w:t>
      </w:r>
    </w:p>
    <w:p>
      <w:r>
        <w:t>Droits, comptes, licences, policies et destinations doivent être contrôlés par l’organisation. Un site privé ne suffit pas à lui seul à attester conformité RGPD.</w:t>
      </w:r>
    </w:p>
    <w:p>
      <w:r>
        <w:t>Montant du budget global, heure/date exacte COPIL, disponibilités fournisseurs et affectations de mitigation : non précisés/à confirmer.</w:t>
      </w:r>
    </w:p>
    <w:p>
      <w:r>
        <w:t>Le .mpp exige un outil/une intégration appropriée pour lire ses tâches. Get file content renvoie un fichier binaire, pas un modèle de planning exploitable automatiquement.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Formation PMO / BA — Données fictives — Ne pas utiliser comme document contractuel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