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Charte du projet</w:t>
      </w:r>
    </w:p>
    <w:p>
      <w:r>
        <w:t>PRJ-2026-017 — Modernisation du système d’information — Version V1</w:t>
      </w:r>
    </w:p>
    <w:p>
      <w:r>
        <w:t>DOCUMENT FICTIF — SUPPORT DE FORMATION. Aucun engagement, approbation ou signature réelle. Les états mentionnés sont ceux du scénario pédagogique.</w:t>
      </w:r>
    </w:p>
    <w:p>
      <w:pPr>
        <w:pStyle w:val="Heading1"/>
      </w:pPr>
      <w:r>
        <w:t>1. Finalité</w:t>
      </w:r>
    </w:p>
    <w:p>
      <w:r>
        <w:t>Moderniser le système d’information afin de disposer d’un prototype validable et d’interfaces mieux maîtrisées. Les exigences détaillées et mesures de succès sont reprises dans le cahier des charges fictif.</w:t>
      </w:r>
    </w:p>
    <w:p>
      <w:pPr>
        <w:pStyle w:val="Heading1"/>
      </w:pPr>
      <w:r>
        <w:t>2. Identification et gouvernance</w:t>
      </w:r>
    </w:p>
    <w:p>
      <w:r>
        <w:t>Chef de projet du cas : Alexandra Rey. Sponsor : Directeur des systèmes d’information. Data Owner du TP : PMO de formation.</w:t>
      </w:r>
    </w:p>
    <w:p>
      <w:r>
        <w:t>Le PMO consolide l’état projet ; l’équipe technique prépare le prototype ; les représentants métier valident les exigences et résultats. La diffusion d’un compte rendu est distincte de l’arbitrage des moyens ou du Go projet.</w:t>
      </w:r>
    </w:p>
    <w:p>
      <w:pPr>
        <w:pStyle w:val="Heading1"/>
      </w:pPr>
      <w:r>
        <w:t>3. Périmètre et exclusions</w:t>
      </w:r>
    </w:p>
    <w:p>
      <w:r>
        <w:t>Inclus : cadrage, exigences, architecture et dépendances, prototype, vérifications, retours et dossier de pilotage.</w:t>
      </w:r>
    </w:p>
    <w:p>
      <w:r>
        <w:t>Exclus : achat de licences/crédits non autorisé, données client réelles, accès administrateur injustifié, publication publique et décisions automatiquement approuvées par un flow.</w:t>
      </w:r>
    </w:p>
    <w:p>
      <w:pPr>
        <w:pStyle w:val="Heading1"/>
      </w:pPr>
      <w:r>
        <w:t>4. État pédagogique</w:t>
      </w:r>
    </w:p>
    <w:p>
      <w:r>
        <w:t>Statut Orange ; avancement déclaré 65 % ; budget consommé déclaré 72 %. Le budget total, PV et EV ne sont pas fournis. Aucun SPI/CPI ni dépassement final n’est déduit de ces proportions.</w:t>
      </w:r>
    </w:p>
    <w:p>
      <w:r>
        <w:t>Cadrage validé dans le scénario ; développement du prototype en cours ; confirmation fournisseur attendue. Il ne s’agit pas d’une preuve de signature dans une organisation réelle.</w:t>
      </w:r>
    </w:p>
    <w:p>
      <w:pPr>
        <w:pStyle w:val="Heading1"/>
      </w:pPr>
      <w:r>
        <w:t>5. Échéance et risques</w:t>
      </w:r>
    </w:p>
    <w:p>
      <w:r>
        <w:t>Prochaine échéance : livraison du prototype le 23 octobre 2026. Le planning d’exemple est indicatif et doit être challengé avant tout engagement.</w:t>
      </w:r>
    </w:p>
    <w:p>
      <w:r>
        <w:t>Risque principal : retard lié à une dépendance fournisseur ; impact déclaré élevé. Action proposée : réunion d’escalade avec le fournisseur, responsable et date à confirmer.</w:t>
      </w:r>
    </w:p>
    <w:p>
      <w:pPr>
        <w:pStyle w:val="Heading1"/>
      </w:pPr>
      <w:r>
        <w:t>6. Décision et validation</w:t>
      </w:r>
    </w:p>
    <w:p>
      <w:r>
        <w:t>Décision attendue : arbitrage sur un renforcement temporaire de l’équipe. Elle n’est pas présentée comme approuvée. Prochain COPIL : semaine suivante, date/heure à confirmer.</w:t>
      </w:r>
    </w:p>
    <w:p>
      <w:r>
        <w:t>Les décisions réelles de budget, périmètre et passage relèvent des acteurs habilités. Aucune signature fictive n’est ajoutée comme preuve réelle.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Formation PMO / BA — Données fictives — Ne pas utiliser comme document contractuel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