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color w:val="1F3864"/>
          <w:sz w:val="40"/>
          <w:szCs w:val="40"/>
        </w:rPr>
        <w:t xml:space="preserve">BLUEDROP · NETSUITE INTEGRATION PROJECT</w:t>
      </w:r>
    </w:p>
    <w:p>
      <w:pPr>
        <w:spacing w:after="80"/>
        <w:jc w:val="center"/>
      </w:pPr>
      <w:r>
        <w:rPr>
          <w:rFonts w:ascii="Calibri" w:cs="Calibri" w:eastAsia="Calibri" w:hAnsi="Calibri"/>
          <w:b/>
          <w:bCs/>
          <w:color w:val="2F5496"/>
          <w:sz w:val="30"/>
          <w:szCs w:val="30"/>
        </w:rPr>
        <w:t xml:space="preserve">Project Delivery Plan</w:t>
      </w:r>
    </w:p>
    <w:p>
      <w:pPr>
        <w:spacing w:after="60"/>
        <w:jc w:val="center"/>
      </w:pPr>
      <w:r>
        <w:rPr>
          <w:rFonts w:ascii="Calibri" w:cs="Calibri" w:eastAsia="Calibri" w:hAnsi="Calibri"/>
          <w:color w:val="555555"/>
          <w:sz w:val="22"/>
          <w:szCs w:val="22"/>
        </w:rPr>
        <w:t xml:space="preserve">Mavenlink Replacement Program  ·  Bluedrop Training &amp; Simulation</w:t>
      </w:r>
    </w:p>
    <w:p>
      <w:pPr>
        <w:spacing w:after="60"/>
        <w:jc w:val="center"/>
      </w:pPr>
      <w:r>
        <w:rPr>
          <w:rFonts w:ascii="Calibri" w:cs="Calibri" w:eastAsia="Calibri" w:hAnsi="Calibri"/>
          <w:i/>
          <w:iCs/>
          <w:color w:val="555555"/>
          <w:sz w:val="20"/>
          <w:szCs w:val="20"/>
        </w:rPr>
        <w:t xml:space="preserve">Fixed Engagement · 80 Hours  ·  Version 3.0 — Updated August 30, 2026</w:t>
      </w:r>
    </w:p>
    <w:p>
      <w:pPr>
        <w:spacing w:after="400"/>
        <w:jc w:val="center"/>
      </w:pPr>
      <w:r>
        <w:rPr>
          <w:rFonts w:ascii="Calibri" w:cs="Calibri" w:eastAsia="Calibri" w:hAnsi="Calibri"/>
          <w:color w:val="888888"/>
          <w:sz w:val="18"/>
          <w:szCs w:val="18"/>
        </w:rPr>
        <w:t xml:space="preserve">Governed by SOW v03252025  ·  Confidential</w:t>
      </w:r>
    </w:p>
    <w:p>
      <w:pPr>
        <w:pBdr>
          <w:bottom w:val="single" w:color="2F5496" w:sz="6"/>
        </w:pBdr>
        <w:spacing w:after="160" w:before="360"/>
      </w:pPr>
      <w:r>
        <w:rPr>
          <w:rFonts w:ascii="Calibri" w:cs="Calibri" w:eastAsia="Calibri" w:hAnsi="Calibri"/>
          <w:b/>
          <w:bCs/>
          <w:color w:val="1F3864"/>
          <w:sz w:val="28"/>
          <w:szCs w:val="28"/>
        </w:rPr>
        <w:t xml:space="preserve">1. Project Overview</w:t>
      </w:r>
    </w:p>
    <w:p>
      <w:pPr>
        <w:spacing w:after="180"/>
      </w:pPr>
      <w:r>
        <w:rPr>
          <w:rFonts w:ascii="Calibri" w:cs="Calibri" w:eastAsia="Calibri" w:hAnsi="Calibri"/>
          <w:sz w:val="18"/>
          <w:szCs w:val="18"/>
        </w:rPr>
        <w:t xml:space="preserve">This document defines the week-by-week delivery plan for five Celigo iPaaS integration flows connecting NetSuite, Jira Data Centre, and Dayforce. The engagement is governed by SOW v03252025 and is structured as a fixed 80-hour project. </w:t>
      </w:r>
      <w:r>
        <w:rPr>
          <w:rFonts w:ascii="Calibri" w:cs="Calibri" w:eastAsia="Calibri" w:hAnsi="Calibri"/>
          <w:b/>
          <w:bCs/>
          <w:sz w:val="18"/>
          <w:szCs w:val="18"/>
        </w:rPr>
        <w:t xml:space="preserve">Version 3.0 reflects status as of August 30, 2026: Flows 3 and 4 are complete; Flow 5 is under active development targeting Sunday, September 6; Flows 1 and 2 are scheduled for the week of September 7–13; UAT follows the week of September 14–20.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Systems in Scope</w:t>
            </w:r>
          </w:p>
        </w:tc>
        <w:tc>
          <w:tcPr>
            <w:tcW w:type="dxa" w:w="312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Total Flows</w:t>
            </w:r>
          </w:p>
        </w:tc>
        <w:tc>
          <w:tcPr>
            <w:tcW w:type="dxa" w:w="312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Engagement Budget</w:t>
            </w:r>
          </w:p>
        </w:tc>
      </w:tr>
      <w:tr>
        <w:tc>
          <w:tcPr>
            <w:tcW w:type="dxa" w:w="312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NetSuite · Jira DC · Dayforce</w:t>
            </w:r>
          </w:p>
        </w:tc>
        <w:tc>
          <w:tcPr>
            <w:tcW w:type="dxa" w:w="312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5 Custom Flows</w:t>
            </w:r>
          </w:p>
        </w:tc>
        <w:tc>
          <w:tcPr>
            <w:tcW w:type="dxa" w:w="312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80 Hours Fixed</w:t>
            </w:r>
          </w:p>
        </w:tc>
      </w:tr>
    </w:tbl>
    <w:p>
      <w:pPr>
        <w:spacing w:after="200"/>
      </w:pPr>
      <w:r>
        <w:rPr>
          <w:rFonts w:ascii="Calibri" w:cs="Calibri" w:eastAsia="Calibri" w:hAnsi="Calibri"/>
          <w:sz w:val="18"/>
          <w:szCs w:val="18"/>
        </w:rPr>
        <w:t xml:space="preserve"/>
      </w:r>
    </w:p>
    <w:p>
      <w:pPr>
        <w:pBdr>
          <w:bottom w:val="single" w:color="2F5496" w:sz="6"/>
        </w:pBdr>
        <w:spacing w:after="160" w:before="360"/>
      </w:pPr>
      <w:r>
        <w:rPr>
          <w:rFonts w:ascii="Calibri" w:cs="Calibri" w:eastAsia="Calibri" w:hAnsi="Calibri"/>
          <w:b/>
          <w:bCs/>
          <w:color w:val="1F3864"/>
          <w:sz w:val="28"/>
          <w:szCs w:val="28"/>
        </w:rPr>
        <w:t xml:space="preserve">2. Integration Flows — Build Sequence &amp; Current Status</w:t>
      </w:r>
    </w:p>
    <w:p>
      <w:pPr>
        <w:spacing w:after="160"/>
      </w:pPr>
      <w:r>
        <w:rPr>
          <w:rFonts w:ascii="Calibri" w:cs="Calibri" w:eastAsia="Calibri" w:hAnsi="Calibri"/>
          <w:sz w:val="18"/>
          <w:szCs w:val="18"/>
        </w:rPr>
        <w:t xml:space="preserve">Flows are built in the sequence below. Dayforce flows were front-loaded because they carry no On-Premise Agent (OPA) dependency. Status reflects the current state as of August 30,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680"/>
        <w:gridCol w:w="2100"/>
        <w:gridCol w:w="1340"/>
        <w:gridCol w:w="2420"/>
        <w:gridCol w:w="1300"/>
      </w:tblGrid>
      <w:tr>
        <w:tc>
          <w:tcPr>
            <w:tcW w:type="dxa" w:w="52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w:t>
            </w:r>
          </w:p>
        </w:tc>
        <w:tc>
          <w:tcPr>
            <w:tcW w:type="dxa" w:w="68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Order</w:t>
            </w:r>
          </w:p>
        </w:tc>
        <w:tc>
          <w:tcPr>
            <w:tcW w:type="dxa" w:w="21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Flow</w:t>
            </w:r>
          </w:p>
        </w:tc>
        <w:tc>
          <w:tcPr>
            <w:tcW w:type="dxa" w:w="134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Direction</w:t>
            </w:r>
          </w:p>
        </w:tc>
        <w:tc>
          <w:tcPr>
            <w:tcW w:type="dxa" w:w="242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SOW Requirements</w:t>
            </w:r>
          </w:p>
        </w:tc>
        <w:tc>
          <w:tcPr>
            <w:tcW w:type="dxa" w:w="13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Status</w:t>
            </w:r>
          </w:p>
        </w:tc>
      </w:tr>
      <w:tr>
        <w:tc>
          <w:tcPr>
            <w:tcW w:type="dxa" w:w="52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sz w:val="18"/>
                <w:szCs w:val="18"/>
              </w:rPr>
              <w:t xml:space="preserve">1st</w:t>
            </w:r>
          </w:p>
        </w:tc>
        <w:tc>
          <w:tcPr>
            <w:tcW w:type="dxa" w:w="68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sz w:val="18"/>
                <w:szCs w:val="18"/>
              </w:rPr>
              <w:t xml:space="preserve">Flow 3</w:t>
            </w:r>
          </w:p>
        </w:tc>
        <w:tc>
          <w:tcPr>
            <w:tcW w:type="dxa" w:w="210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Dayforce PTO → NetSuite Timesheets</w:t>
            </w:r>
          </w:p>
        </w:tc>
        <w:tc>
          <w:tcPr>
            <w:tcW w:type="dxa" w:w="134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One-way</w:t>
            </w:r>
          </w:p>
        </w:tc>
        <w:tc>
          <w:tcPr>
            <w:tcW w:type="dxa" w:w="242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DNS-01, DNS-02, DNS-03</w:t>
            </w:r>
          </w:p>
        </w:tc>
        <w:tc>
          <w:tcPr>
            <w:tcW w:type="dxa" w:w="130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color w:val="1E6B1E"/>
                <w:sz w:val="18"/>
                <w:szCs w:val="18"/>
              </w:rPr>
              <w:t xml:space="preserve">✅ COMPLETE</w:t>
            </w:r>
          </w:p>
        </w:tc>
      </w:tr>
      <w:tr>
        <w:tc>
          <w:tcPr>
            <w:tcW w:type="dxa" w:w="52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sz w:val="18"/>
                <w:szCs w:val="18"/>
              </w:rPr>
              <w:t xml:space="preserve">2nd</w:t>
            </w:r>
          </w:p>
        </w:tc>
        <w:tc>
          <w:tcPr>
            <w:tcW w:type="dxa" w:w="68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sz w:val="18"/>
                <w:szCs w:val="18"/>
              </w:rPr>
              <w:t xml:space="preserve">Flow 4</w:t>
            </w:r>
          </w:p>
        </w:tc>
        <w:tc>
          <w:tcPr>
            <w:tcW w:type="dxa" w:w="210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Conditional Routing — Dayforce → NetSuite by Employee Group</w:t>
            </w:r>
          </w:p>
        </w:tc>
        <w:tc>
          <w:tcPr>
            <w:tcW w:type="dxa" w:w="134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One-way with branching</w:t>
            </w:r>
          </w:p>
        </w:tc>
        <w:tc>
          <w:tcPr>
            <w:tcW w:type="dxa" w:w="242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DNS-01, DNS-02 (conditional extension)</w:t>
            </w:r>
          </w:p>
        </w:tc>
        <w:tc>
          <w:tcPr>
            <w:tcW w:type="dxa" w:w="130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color w:val="1E6B1E"/>
                <w:sz w:val="18"/>
                <w:szCs w:val="18"/>
              </w:rPr>
              <w:t xml:space="preserve">✅ COMPLETE</w:t>
            </w:r>
          </w:p>
        </w:tc>
      </w:tr>
      <w:tr>
        <w:tc>
          <w:tcPr>
            <w:tcW w:type="dxa" w:w="52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b/>
                <w:bCs/>
                <w:sz w:val="18"/>
                <w:szCs w:val="18"/>
              </w:rPr>
              <w:t xml:space="preserve">3rd</w:t>
            </w:r>
          </w:p>
        </w:tc>
        <w:tc>
          <w:tcPr>
            <w:tcW w:type="dxa" w:w="68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b/>
                <w:bCs/>
                <w:sz w:val="18"/>
                <w:szCs w:val="18"/>
              </w:rPr>
              <w:t xml:space="preserve">Flow 5</w:t>
            </w:r>
          </w:p>
        </w:tc>
        <w:tc>
          <w:tcPr>
            <w:tcW w:type="dxa" w:w="210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sz w:val="18"/>
                <w:szCs w:val="18"/>
              </w:rPr>
              <w:t xml:space="preserve">NetSuite Projects → Jira Projects (via OPA)</w:t>
            </w:r>
          </w:p>
        </w:tc>
        <w:tc>
          <w:tcPr>
            <w:tcW w:type="dxa" w:w="134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sz w:val="18"/>
                <w:szCs w:val="18"/>
              </w:rPr>
              <w:t xml:space="preserve">One-way</w:t>
            </w:r>
          </w:p>
        </w:tc>
        <w:tc>
          <w:tcPr>
            <w:tcW w:type="dxa" w:w="242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sz w:val="18"/>
                <w:szCs w:val="18"/>
              </w:rPr>
              <w:t xml:space="preserve">Implied / OPA commissioning + JNS-01 baseline</w:t>
            </w:r>
          </w:p>
        </w:tc>
        <w:tc>
          <w:tcPr>
            <w:tcW w:type="dxa" w:w="130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b/>
                <w:bCs/>
                <w:color w:val="B85C00"/>
                <w:sz w:val="18"/>
                <w:szCs w:val="18"/>
              </w:rPr>
              <w:t xml:space="preserve">🔄 UNDER DEVELOPMENT</w:t>
            </w:r>
          </w:p>
        </w:tc>
      </w:tr>
      <w:tr>
        <w:tc>
          <w:tcPr>
            <w:tcW w:type="dxa" w:w="52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b/>
                <w:bCs/>
                <w:sz w:val="18"/>
                <w:szCs w:val="18"/>
              </w:rPr>
              <w:t xml:space="preserve">4th</w:t>
            </w:r>
          </w:p>
        </w:tc>
        <w:tc>
          <w:tcPr>
            <w:tcW w:type="dxa" w:w="68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b/>
                <w:bCs/>
                <w:sz w:val="18"/>
                <w:szCs w:val="18"/>
              </w:rPr>
              <w:t xml:space="preserve">Flow 1</w:t>
            </w:r>
          </w:p>
        </w:tc>
        <w:tc>
          <w:tcPr>
            <w:tcW w:type="dxa" w:w="210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sz w:val="18"/>
                <w:szCs w:val="18"/>
              </w:rPr>
              <w:t xml:space="preserve">NetSuite Tasks → Jira Issues</w:t>
            </w:r>
          </w:p>
        </w:tc>
        <w:tc>
          <w:tcPr>
            <w:tcW w:type="dxa" w:w="134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sz w:val="18"/>
                <w:szCs w:val="18"/>
              </w:rPr>
              <w:t xml:space="preserve">One-way (NS → Jira)</w:t>
            </w:r>
          </w:p>
        </w:tc>
        <w:tc>
          <w:tcPr>
            <w:tcW w:type="dxa" w:w="242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sz w:val="18"/>
                <w:szCs w:val="18"/>
              </w:rPr>
              <w:t xml:space="preserve">JNS-02, JNS-05, JNS-06, JNS-07</w:t>
            </w:r>
          </w:p>
        </w:tc>
        <w:tc>
          <w:tcPr>
            <w:tcW w:type="dxa" w:w="130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b/>
                <w:bCs/>
                <w:color w:val="1F3864"/>
                <w:sz w:val="18"/>
                <w:szCs w:val="18"/>
              </w:rPr>
              <w:t xml:space="preserve">📅 SCHEDULED Sep 7–13</w:t>
            </w:r>
          </w:p>
        </w:tc>
      </w:tr>
      <w:tr>
        <w:tc>
          <w:tcPr>
            <w:tcW w:type="dxa" w:w="52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b/>
                <w:bCs/>
                <w:sz w:val="18"/>
                <w:szCs w:val="18"/>
              </w:rPr>
              <w:t xml:space="preserve">5th</w:t>
            </w:r>
          </w:p>
        </w:tc>
        <w:tc>
          <w:tcPr>
            <w:tcW w:type="dxa" w:w="68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b/>
                <w:bCs/>
                <w:sz w:val="18"/>
                <w:szCs w:val="18"/>
              </w:rPr>
              <w:t xml:space="preserve">Flow 2</w:t>
            </w:r>
          </w:p>
        </w:tc>
        <w:tc>
          <w:tcPr>
            <w:tcW w:type="dxa" w:w="210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sz w:val="18"/>
                <w:szCs w:val="18"/>
              </w:rPr>
              <w:t xml:space="preserve">Jira Issues → NetSuite Tasks (bidirectional close-out)</w:t>
            </w:r>
          </w:p>
        </w:tc>
        <w:tc>
          <w:tcPr>
            <w:tcW w:type="dxa" w:w="134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sz w:val="18"/>
                <w:szCs w:val="18"/>
              </w:rPr>
              <w:t xml:space="preserve">One-way (Jira → NS)</w:t>
            </w:r>
          </w:p>
        </w:tc>
        <w:tc>
          <w:tcPr>
            <w:tcW w:type="dxa" w:w="242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sz w:val="18"/>
                <w:szCs w:val="18"/>
              </w:rPr>
              <w:t xml:space="preserve">JNS-01, JNS-03, JNS-04, JNS-06, JNS-08</w:t>
            </w:r>
          </w:p>
        </w:tc>
        <w:tc>
          <w:tcPr>
            <w:tcW w:type="dxa" w:w="130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b/>
                <w:bCs/>
                <w:color w:val="1F3864"/>
                <w:sz w:val="18"/>
                <w:szCs w:val="18"/>
              </w:rPr>
              <w:t xml:space="preserve">📅 SCHEDULED Sep 7–13</w:t>
            </w:r>
          </w:p>
        </w:tc>
      </w:tr>
    </w:tbl>
    <w:p>
      <w:pPr>
        <w:spacing w:after="200"/>
      </w:pPr>
      <w:r>
        <w:rPr>
          <w:rFonts w:ascii="Calibri" w:cs="Calibri" w:eastAsia="Calibri" w:hAnsi="Calibri"/>
          <w:sz w:val="18"/>
          <w:szCs w:val="18"/>
        </w:rPr>
        <w:t xml:space="preserve"/>
      </w:r>
    </w:p>
    <w:p>
      <w:pPr>
        <w:pBdr>
          <w:bottom w:val="single" w:color="2F5496" w:sz="6"/>
        </w:pBdr>
        <w:spacing w:after="160" w:before="360"/>
      </w:pPr>
      <w:r>
        <w:rPr>
          <w:rFonts w:ascii="Calibri" w:cs="Calibri" w:eastAsia="Calibri" w:hAnsi="Calibri"/>
          <w:b/>
          <w:bCs/>
          <w:color w:val="1F3864"/>
          <w:sz w:val="28"/>
          <w:szCs w:val="28"/>
        </w:rPr>
        <w:t xml:space="preserve">3. Week-by-Week Delivery Schedule</w:t>
      </w:r>
    </w:p>
    <w:p>
      <w:pPr>
        <w:spacing w:after="160"/>
      </w:pPr>
      <w:r>
        <w:rPr>
          <w:rFonts w:ascii="Calibri" w:cs="Calibri" w:eastAsia="Calibri" w:hAnsi="Calibri"/>
          <w:sz w:val="18"/>
          <w:szCs w:val="18"/>
        </w:rPr>
        <w:t xml:space="preserve">Completed weeks are shown for record. Active and planned weeks reflect the revised schedule as of August 30,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920"/>
        <w:gridCol w:w="1380"/>
        <w:gridCol w:w="2840"/>
        <w:gridCol w:w="2280"/>
        <w:gridCol w:w="1300"/>
      </w:tblGrid>
      <w:tr>
        <w:tc>
          <w:tcPr>
            <w:tcW w:type="dxa" w:w="64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Week</w:t>
            </w:r>
          </w:p>
        </w:tc>
        <w:tc>
          <w:tcPr>
            <w:tcW w:type="dxa" w:w="92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Dates</w:t>
            </w:r>
          </w:p>
        </w:tc>
        <w:tc>
          <w:tcPr>
            <w:tcW w:type="dxa" w:w="138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Focus / Flow</w:t>
            </w:r>
          </w:p>
        </w:tc>
        <w:tc>
          <w:tcPr>
            <w:tcW w:type="dxa" w:w="284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Deliverables</w:t>
            </w:r>
          </w:p>
        </w:tc>
        <w:tc>
          <w:tcPr>
            <w:tcW w:type="dxa" w:w="228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Testing &amp; Acceptance Criteria</w:t>
            </w:r>
          </w:p>
        </w:tc>
        <w:tc>
          <w:tcPr>
            <w:tcW w:type="dxa" w:w="13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Status</w:t>
            </w:r>
          </w:p>
        </w:tc>
      </w:tr>
      <w:tr>
        <w:tc>
          <w:tcPr>
            <w:tcW w:type="dxa" w:w="64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sz w:val="18"/>
                <w:szCs w:val="18"/>
              </w:rPr>
              <w:t xml:space="preserve">W1</w:t>
            </w:r>
          </w:p>
        </w:tc>
        <w:tc>
          <w:tcPr>
            <w:tcW w:type="dxa" w:w="92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Jun 9–13</w:t>
            </w:r>
          </w:p>
        </w:tc>
        <w:tc>
          <w:tcPr>
            <w:tcW w:type="dxa" w:w="138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sz w:val="18"/>
                <w:szCs w:val="18"/>
              </w:rPr>
              <w:t xml:space="preserve">Environment Access &amp; Kickoff</w:t>
            </w:r>
          </w:p>
        </w:tc>
        <w:tc>
          <w:tcPr>
            <w:tcW w:type="dxa" w:w="284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NetSuite sandbox confirmed · Jira DC non-prod + PAT issued · Dayforce sandbox confirmed · Celigo tenant provisioned · OPA installed · All connectors tested</w:t>
            </w:r>
          </w:p>
        </w:tc>
        <w:tc>
          <w:tcPr>
            <w:tcW w:type="dxa" w:w="228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All 3 connectors authenticate · OPA heartbeat green in Celigo dashboard · Prerequisite milestone only</w:t>
            </w:r>
          </w:p>
        </w:tc>
        <w:tc>
          <w:tcPr>
            <w:tcW w:type="dxa" w:w="130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color w:val="1E6B1E"/>
                <w:sz w:val="18"/>
                <w:szCs w:val="18"/>
              </w:rPr>
              <w:t xml:space="preserve">✅ COMPLETE</w:t>
            </w:r>
          </w:p>
        </w:tc>
      </w:tr>
      <w:tr>
        <w:tc>
          <w:tcPr>
            <w:tcW w:type="dxa" w:w="64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sz w:val="18"/>
                <w:szCs w:val="18"/>
              </w:rPr>
              <w:t xml:space="preserve">W2</w:t>
            </w:r>
          </w:p>
        </w:tc>
        <w:tc>
          <w:tcPr>
            <w:tcW w:type="dxa" w:w="92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Jun 16–20</w:t>
            </w:r>
          </w:p>
        </w:tc>
        <w:tc>
          <w:tcPr>
            <w:tcW w:type="dxa" w:w="138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sz w:val="18"/>
                <w:szCs w:val="18"/>
              </w:rPr>
              <w:t xml:space="preserve">Flow 3: Dayforce PTO → NetSuite Timesheets</w:t>
            </w:r>
          </w:p>
        </w:tc>
        <w:tc>
          <w:tcPr>
            <w:tcW w:type="dxa" w:w="284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Flow 3 end-to-end · Approved PTO syncs as NS timesheet rows · PTO cancellation removes/corrects NS row · Date/duration changes propagate · &gt;2x daily sync · Timesheet rows read-only in NS</w:t>
            </w:r>
          </w:p>
        </w:tc>
        <w:tc>
          <w:tcPr>
            <w:tcW w:type="dxa" w:w="228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DNS-01: PTO → NS row with correct employee, dates, hours · DNS-02: update and cancel propagation · DNS-03: sync fires &gt;2x daily · NS row non-editable manually · Sign-off: DNS-01, DNS-02, DNS-03</w:t>
            </w:r>
          </w:p>
        </w:tc>
        <w:tc>
          <w:tcPr>
            <w:tcW w:type="dxa" w:w="130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color w:val="1E6B1E"/>
                <w:sz w:val="18"/>
                <w:szCs w:val="18"/>
              </w:rPr>
              <w:t xml:space="preserve">✅ COMPLETE</w:t>
            </w:r>
          </w:p>
        </w:tc>
      </w:tr>
      <w:tr>
        <w:tc>
          <w:tcPr>
            <w:tcW w:type="dxa" w:w="64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sz w:val="18"/>
                <w:szCs w:val="18"/>
              </w:rPr>
              <w:t xml:space="preserve">W3</w:t>
            </w:r>
          </w:p>
        </w:tc>
        <w:tc>
          <w:tcPr>
            <w:tcW w:type="dxa" w:w="92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Jun 23–27</w:t>
            </w:r>
          </w:p>
        </w:tc>
        <w:tc>
          <w:tcPr>
            <w:tcW w:type="dxa" w:w="138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sz w:val="18"/>
                <w:szCs w:val="18"/>
              </w:rPr>
              <w:t xml:space="preserve">Flow 4: Conditional Routing (Dayforce → NetSuite by Employee Group)</w:t>
            </w:r>
          </w:p>
        </w:tc>
        <w:tc>
          <w:tcPr>
            <w:tcW w:type="dxa" w:w="284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Conditional branching logic built · ≥2 routing branches configured and tested · Unmatched employee group handled gracefully (no silent failure) · Routing rules documented in plain language</w:t>
            </w:r>
          </w:p>
        </w:tc>
        <w:tc>
          <w:tcPr>
            <w:tcW w:type="dxa" w:w="228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Each employee group routes to correct NS project · Edge case: unrecognized group → graceful error, not silent drop · No cross-contamination between branches · Routing rules configurable without redevelopment · Sign-off: DNS-01, DNS-02 conditional extension</w:t>
            </w:r>
          </w:p>
        </w:tc>
        <w:tc>
          <w:tcPr>
            <w:tcW w:type="dxa" w:w="130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color w:val="1E6B1E"/>
                <w:sz w:val="18"/>
                <w:szCs w:val="18"/>
              </w:rPr>
              <w:t xml:space="preserve">✅ COMPLETE</w:t>
            </w:r>
          </w:p>
        </w:tc>
      </w:tr>
      <w:tr>
        <w:tc>
          <w:tcPr>
            <w:tcW w:type="dxa" w:w="64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b/>
                <w:bCs/>
                <w:sz w:val="18"/>
                <w:szCs w:val="18"/>
              </w:rPr>
              <w:t xml:space="preserve">CURRENT</w:t>
            </w:r>
          </w:p>
        </w:tc>
        <w:tc>
          <w:tcPr>
            <w:tcW w:type="dxa" w:w="920"/>
            <w:tcBorders>
              <w:top w:val="single" w:color="BFBFBF" w:sz="4"/>
              <w:left w:val="single" w:color="BFBFBF" w:sz="4"/>
              <w:bottom w:val="single" w:color="BFBFBF" w:sz="4"/>
              <w:right w:val="single" w:color="BFBFBF" w:sz="4"/>
            </w:tcBorders>
            <w:shd w:fill="FFF2CC" w:color="auto" w:val="clear"/>
          </w:tcPr>
          <w:p>
            <w:pPr>
              <w:spacing w:after="60" w:before="60"/>
            </w:pPr>
            <w:p>
              <w:pPr>
                <w:spacing w:after="60" w:before="60"/>
              </w:pPr>
              <w:r>
                <w:rPr>
                  <w:rFonts w:ascii="Calibri" w:cs="Calibri" w:eastAsia="Calibri" w:hAnsi="Calibri"/>
                  <w:b/>
                  <w:bCs/>
                  <w:sz w:val="18"/>
                  <w:szCs w:val="18"/>
                </w:rPr>
                <w:t xml:space="preserve">Aug 31–Sep 6</w:t>
              </w:r>
              <w:r>
                <w:rPr>
                  <w:rFonts w:ascii="Calibri" w:cs="Calibri" w:eastAsia="Calibri" w:hAnsi="Calibri"/>
                  <w:sz w:val="18"/>
                  <w:szCs w:val="18"/>
                </w:rPr>
                <w:t xml:space="preserve"/>
              </w:r>
              <w:r>
                <w:rPr>
                  <w:rFonts w:ascii="Calibri" w:cs="Calibri" w:eastAsia="Calibri" w:hAnsi="Calibri"/>
                  <w:b/>
                  <w:bCs/>
                  <w:color w:val="B85C00"/>
                  <w:sz w:val="18"/>
                  <w:szCs w:val="18"/>
                </w:rPr>
                <w:t xml:space="preserve">Due: Sun Sep 6</w:t>
              </w:r>
            </w:p>
          </w:p>
        </w:tc>
        <w:tc>
          <w:tcPr>
            <w:tcW w:type="dxa" w:w="138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b/>
                <w:bCs/>
                <w:sz w:val="18"/>
                <w:szCs w:val="18"/>
              </w:rPr>
              <w:t xml:space="preserve">Flow 5: NetSuite Projects → Jira Projects (OPA)</w:t>
            </w:r>
          </w:p>
        </w:tc>
        <w:tc>
          <w:tcPr>
            <w:tcW w:type="dxa" w:w="284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sz w:val="18"/>
                <w:szCs w:val="18"/>
              </w:rPr>
              <w:t xml:space="preserve">Flow 5 end-to-end via OPA · NS Project fields mapped to Jira equivalents · Scheduled trigger configured and confirmed firing · Per-project sync enable/disable control (JNS-01 baseline) · Field mapping document updated and shared. See Section 4 for open prerequisites.</w:t>
            </w:r>
          </w:p>
        </w:tc>
        <w:tc>
          <w:tcPr>
            <w:tcW w:type="dxa" w:w="228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sz w:val="18"/>
                <w:szCs w:val="18"/>
              </w:rPr>
              <w:t xml:space="preserve">Create 2–3 test projects in NS sandbox → confirm Jira projects created with correct name, key, metadata · Confirm excluded projects do not appear in Jira (JNS-01) · OPA stable under repeated runs · Sign-off: Flow 5 accepted; OPA + Jira DC connection validated for Flows 1 &amp; 2</w:t>
            </w:r>
          </w:p>
        </w:tc>
        <w:tc>
          <w:tcPr>
            <w:tcW w:type="dxa" w:w="130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b/>
                <w:bCs/>
                <w:color w:val="B85C00"/>
                <w:sz w:val="18"/>
                <w:szCs w:val="18"/>
              </w:rPr>
              <w:t xml:space="preserve">🔄 UNDER DEVELOPMENT</w:t>
            </w:r>
          </w:p>
        </w:tc>
      </w:tr>
      <w:tr>
        <w:tc>
          <w:tcPr>
            <w:tcW w:type="dxa" w:w="64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b/>
                <w:bCs/>
                <w:sz w:val="18"/>
                <w:szCs w:val="18"/>
              </w:rPr>
              <w:t xml:space="preserve">W5</w:t>
            </w:r>
          </w:p>
        </w:tc>
        <w:tc>
          <w:tcPr>
            <w:tcW w:type="dxa" w:w="920"/>
            <w:tcBorders>
              <w:top w:val="single" w:color="BFBFBF" w:sz="4"/>
              <w:left w:val="single" w:color="BFBFBF" w:sz="4"/>
              <w:bottom w:val="single" w:color="BFBFBF" w:sz="4"/>
              <w:right w:val="single" w:color="BFBFBF" w:sz="4"/>
            </w:tcBorders>
            <w:shd w:fill="DEEAF1" w:color="auto" w:val="clear"/>
          </w:tcPr>
          <w:p>
            <w:pPr>
              <w:spacing w:after="60" w:before="60"/>
            </w:pPr>
            <w:p>
              <w:pPr>
                <w:spacing w:after="60" w:before="60"/>
              </w:pPr>
              <w:r>
                <w:rPr>
                  <w:rFonts w:ascii="Calibri" w:cs="Calibri" w:eastAsia="Calibri" w:hAnsi="Calibri"/>
                  <w:b/>
                  <w:bCs/>
                  <w:sz w:val="18"/>
                  <w:szCs w:val="18"/>
                </w:rPr>
                <w:t xml:space="preserve">Sep 7–13</w:t>
              </w:r>
              <w:r>
                <w:rPr>
                  <w:rFonts w:ascii="Calibri" w:cs="Calibri" w:eastAsia="Calibri" w:hAnsi="Calibri"/>
                  <w:sz w:val="18"/>
                  <w:szCs w:val="18"/>
                </w:rPr>
                <w:t xml:space="preserve"/>
              </w:r>
              <w:r>
                <w:rPr>
                  <w:rFonts w:ascii="Calibri" w:cs="Calibri" w:eastAsia="Calibri" w:hAnsi="Calibri"/>
                  <w:b/>
                  <w:bCs/>
                  <w:color w:val="1F3864"/>
                  <w:sz w:val="18"/>
                  <w:szCs w:val="18"/>
                </w:rPr>
                <w:t xml:space="preserve">Delivery: Sat Sep 13</w:t>
              </w:r>
            </w:p>
          </w:p>
        </w:tc>
        <w:tc>
          <w:tcPr>
            <w:tcW w:type="dxa" w:w="138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b/>
                <w:bCs/>
                <w:sz w:val="18"/>
                <w:szCs w:val="18"/>
              </w:rPr>
              <w:t xml:space="preserve">Flows 1 &amp; 2: NetSuite ↔ Jira Tasks (Bidirectional)</w:t>
            </w:r>
          </w:p>
        </w:tc>
        <w:tc>
          <w:tcPr>
            <w:tcW w:type="dxa" w:w="284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sz w:val="18"/>
                <w:szCs w:val="18"/>
              </w:rPr>
              <w:t xml:space="preserve">Flow 1: NS task → Jira Issue creation · Jira ticket ID written back to NS custom field · Sync-suppression flag (custbody_exclude_from_jira_sync) implemented · preSavePage anti-loop hook deployed.  Flow 2: Jira issue → NS task sync · One-way name sync (Jira → NS only, per JNS-04) · Per-project JQL queries configured · Collision / loop suppression validated across both flows · Status mapping configured.</w:t>
            </w:r>
          </w:p>
        </w:tc>
        <w:tc>
          <w:tcPr>
            <w:tcW w:type="dxa" w:w="228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sz w:val="18"/>
                <w:szCs w:val="18"/>
              </w:rPr>
              <w:t xml:space="preserve">Flow 1: create NS task → confirm Jira Issue + correct type (JNS-02) · Jira ticket ID stored in NS field (JNS-05) · Admin-flagged task excluded from sync (JNS-07) · Mapping config change applies without redevelopment (JNS-06). Flow 2: update Jira name → NS task name updates (JNS-04) · Update NS name → Jira unchanged · Per-project JQL filters issues correctly (JNS-08) · Simultaneous trigger in both systems → confirm no loop or duplicate records.</w:t>
            </w:r>
          </w:p>
        </w:tc>
        <w:tc>
          <w:tcPr>
            <w:tcW w:type="dxa" w:w="1300"/>
            <w:tcBorders>
              <w:top w:val="single" w:color="BFBFBF" w:sz="4"/>
              <w:left w:val="single" w:color="BFBFBF" w:sz="4"/>
              <w:bottom w:val="single" w:color="BFBFBF" w:sz="4"/>
              <w:right w:val="single" w:color="BFBFBF" w:sz="4"/>
            </w:tcBorders>
            <w:shd w:fill="DEEAF1" w:color="auto" w:val="clear"/>
          </w:tcPr>
          <w:p>
            <w:pPr>
              <w:spacing w:after="60" w:before="60"/>
            </w:pPr>
            <w:r>
              <w:rPr>
                <w:rFonts w:ascii="Calibri" w:cs="Calibri" w:eastAsia="Calibri" w:hAnsi="Calibri"/>
                <w:b/>
                <w:bCs/>
                <w:color w:val="1F3864"/>
                <w:sz w:val="18"/>
                <w:szCs w:val="18"/>
              </w:rPr>
              <w:t xml:space="preserve">📅 PLANNED</w:t>
            </w:r>
          </w:p>
        </w:tc>
      </w:tr>
      <w:tr>
        <w:tc>
          <w:tcPr>
            <w:tcW w:type="dxa" w:w="640"/>
            <w:tcBorders>
              <w:top w:val="single" w:color="BFBFBF" w:sz="4"/>
              <w:left w:val="single" w:color="BFBFBF" w:sz="4"/>
              <w:bottom w:val="single" w:color="BFBFBF" w:sz="4"/>
              <w:right w:val="single" w:color="BFBFBF" w:sz="4"/>
            </w:tcBorders>
            <w:shd w:fill="EBF3FB" w:color="auto" w:val="clear"/>
          </w:tcPr>
          <w:p>
            <w:pPr>
              <w:spacing w:after="60" w:before="60"/>
            </w:pPr>
            <w:r>
              <w:rPr>
                <w:rFonts w:ascii="Calibri" w:cs="Calibri" w:eastAsia="Calibri" w:hAnsi="Calibri"/>
                <w:b/>
                <w:bCs/>
                <w:sz w:val="18"/>
                <w:szCs w:val="18"/>
              </w:rPr>
              <w:t xml:space="preserve">W6</w:t>
            </w:r>
          </w:p>
        </w:tc>
        <w:tc>
          <w:tcPr>
            <w:tcW w:type="dxa" w:w="920"/>
            <w:tcBorders>
              <w:top w:val="single" w:color="BFBFBF" w:sz="4"/>
              <w:left w:val="single" w:color="BFBFBF" w:sz="4"/>
              <w:bottom w:val="single" w:color="BFBFBF" w:sz="4"/>
              <w:right w:val="single" w:color="BFBFBF" w:sz="4"/>
            </w:tcBorders>
            <w:shd w:fill="EBF3FB" w:color="auto" w:val="clear"/>
          </w:tcPr>
          <w:p>
            <w:pPr>
              <w:spacing w:after="60" w:before="60"/>
            </w:pPr>
            <w:p>
              <w:pPr>
                <w:spacing w:after="60" w:before="60"/>
              </w:pPr>
              <w:r>
                <w:rPr>
                  <w:rFonts w:ascii="Calibri" w:cs="Calibri" w:eastAsia="Calibri" w:hAnsi="Calibri"/>
                  <w:b/>
                  <w:bCs/>
                  <w:sz w:val="18"/>
                  <w:szCs w:val="18"/>
                </w:rPr>
                <w:t xml:space="preserve">Sep 14–20</w:t>
              </w:r>
              <w:r>
                <w:rPr>
                  <w:rFonts w:ascii="Calibri" w:cs="Calibri" w:eastAsia="Calibri" w:hAnsi="Calibri"/>
                  <w:sz w:val="18"/>
                  <w:szCs w:val="18"/>
                </w:rPr>
                <w:t xml:space="preserve"/>
              </w:r>
              <w:r>
                <w:rPr>
                  <w:rFonts w:ascii="Calibri" w:cs="Calibri" w:eastAsia="Calibri" w:hAnsi="Calibri"/>
                  <w:b/>
                  <w:bCs/>
                  <w:color w:val="1F3864"/>
                  <w:sz w:val="18"/>
                  <w:szCs w:val="18"/>
                </w:rPr>
                <w:t xml:space="preserve">UAT Complete: Sun Sep 20</w:t>
              </w:r>
            </w:p>
          </w:p>
        </w:tc>
        <w:tc>
          <w:tcPr>
            <w:tcW w:type="dxa" w:w="1380"/>
            <w:tcBorders>
              <w:top w:val="single" w:color="BFBFBF" w:sz="4"/>
              <w:left w:val="single" w:color="BFBFBF" w:sz="4"/>
              <w:bottom w:val="single" w:color="BFBFBF" w:sz="4"/>
              <w:right w:val="single" w:color="BFBFBF" w:sz="4"/>
            </w:tcBorders>
            <w:shd w:fill="EBF3FB" w:color="auto" w:val="clear"/>
          </w:tcPr>
          <w:p>
            <w:pPr>
              <w:spacing w:after="60" w:before="60"/>
            </w:pPr>
            <w:r>
              <w:rPr>
                <w:rFonts w:ascii="Calibri" w:cs="Calibri" w:eastAsia="Calibri" w:hAnsi="Calibri"/>
                <w:b/>
                <w:bCs/>
                <w:sz w:val="18"/>
                <w:szCs w:val="18"/>
              </w:rPr>
              <w:t xml:space="preserve">UAT — User Acceptance Testing &amp; Handover</w:t>
            </w:r>
          </w:p>
        </w:tc>
        <w:tc>
          <w:tcPr>
            <w:tcW w:type="dxa" w:w="2840"/>
            <w:tcBorders>
              <w:top w:val="single" w:color="BFBFBF" w:sz="4"/>
              <w:left w:val="single" w:color="BFBFBF" w:sz="4"/>
              <w:bottom w:val="single" w:color="BFBFBF" w:sz="4"/>
              <w:right w:val="single" w:color="BFBFBF" w:sz="4"/>
            </w:tcBorders>
            <w:shd w:fill="EBF3FB" w:color="auto" w:val="clear"/>
          </w:tcPr>
          <w:p>
            <w:pPr>
              <w:spacing w:after="60" w:before="60"/>
            </w:pPr>
            <w:r>
              <w:rPr>
                <w:rFonts w:ascii="Calibri" w:cs="Calibri" w:eastAsia="Calibri" w:hAnsi="Calibri"/>
                <w:sz w:val="18"/>
                <w:szCs w:val="18"/>
              </w:rPr>
              <w:t xml:space="preserve">Full end-to-end regression across all 5 flows · Celigo error queue reviewed · Error handling confirmed visible · Plain-language configuration documentation delivered · Requirements Traceability Matrix (RTM) completed and signed off · Production deployment checklist prepared · Handover walkthrough session delivered · Go/no-go decision confirmed</w:t>
            </w:r>
          </w:p>
        </w:tc>
        <w:tc>
          <w:tcPr>
            <w:tcW w:type="dxa" w:w="2280"/>
            <w:tcBorders>
              <w:top w:val="single" w:color="BFBFBF" w:sz="4"/>
              <w:left w:val="single" w:color="BFBFBF" w:sz="4"/>
              <w:bottom w:val="single" w:color="BFBFBF" w:sz="4"/>
              <w:right w:val="single" w:color="BFBFBF" w:sz="4"/>
            </w:tcBorders>
            <w:shd w:fill="EBF3FB" w:color="auto" w:val="clear"/>
          </w:tcPr>
          <w:p>
            <w:pPr>
              <w:spacing w:after="60" w:before="60"/>
            </w:pPr>
            <w:r>
              <w:rPr>
                <w:rFonts w:ascii="Calibri" w:cs="Calibri" w:eastAsia="Calibri" w:hAnsi="Calibri"/>
                <w:sz w:val="18"/>
                <w:szCs w:val="18"/>
              </w:rPr>
              <w:t xml:space="preserve">All JNS-01 through JNS-08 and DNS-01 through DNS-03 validated against RTM · Simulate single flow failure → error visible in Celigo queue, does not halt other records · Auditability confirmed (§4.7) · All synchronized data traceable to source (§6) · Client sign-off obtained on all flows · Production go/no-go decision confirmed</w:t>
            </w:r>
          </w:p>
        </w:tc>
        <w:tc>
          <w:tcPr>
            <w:tcW w:type="dxa" w:w="1300"/>
            <w:tcBorders>
              <w:top w:val="single" w:color="BFBFBF" w:sz="4"/>
              <w:left w:val="single" w:color="BFBFBF" w:sz="4"/>
              <w:bottom w:val="single" w:color="BFBFBF" w:sz="4"/>
              <w:right w:val="single" w:color="BFBFBF" w:sz="4"/>
            </w:tcBorders>
            <w:shd w:fill="EBF3FB" w:color="auto" w:val="clear"/>
          </w:tcPr>
          <w:p>
            <w:pPr>
              <w:spacing w:after="60" w:before="60"/>
            </w:pPr>
            <w:r>
              <w:rPr>
                <w:rFonts w:ascii="Calibri" w:cs="Calibri" w:eastAsia="Calibri" w:hAnsi="Calibri"/>
                <w:b/>
                <w:bCs/>
                <w:color w:val="1F3864"/>
                <w:sz w:val="18"/>
                <w:szCs w:val="18"/>
              </w:rPr>
              <w:t xml:space="preserve">📅 PLANNED</w:t>
            </w:r>
          </w:p>
        </w:tc>
      </w:tr>
    </w:tbl>
    <w:p>
      <w:pPr>
        <w:spacing w:after="200"/>
      </w:pPr>
      <w:r>
        <w:rPr>
          <w:rFonts w:ascii="Calibri" w:cs="Calibri" w:eastAsia="Calibri" w:hAnsi="Calibri"/>
          <w:sz w:val="18"/>
          <w:szCs w:val="18"/>
        </w:rPr>
        <w:t xml:space="preserve"/>
      </w:r>
    </w:p>
    <w:p>
      <w:pPr>
        <w:pBdr>
          <w:bottom w:val="single" w:color="2F5496" w:sz="6"/>
        </w:pBdr>
        <w:spacing w:after="160" w:before="360"/>
      </w:pPr>
      <w:r>
        <w:rPr>
          <w:rFonts w:ascii="Calibri" w:cs="Calibri" w:eastAsia="Calibri" w:hAnsi="Calibri"/>
          <w:b/>
          <w:bCs/>
          <w:color w:val="1F3864"/>
          <w:sz w:val="28"/>
          <w:szCs w:val="28"/>
        </w:rPr>
        <w:t xml:space="preserve">4. Flow 5 — Open Prerequisites &amp; Requirements</w:t>
      </w:r>
    </w:p>
    <w:p>
      <w:pPr>
        <w:spacing w:after="160"/>
      </w:pPr>
      <w:r>
        <w:rPr>
          <w:rFonts w:ascii="Calibri" w:cs="Calibri" w:eastAsia="Calibri" w:hAnsi="Calibri"/>
          <w:sz w:val="18"/>
          <w:szCs w:val="18"/>
        </w:rPr>
        <w:t xml:space="preserve">Flow 5 connects NetSuite Projects to Jira Projects via the On-Premise Agent. Two prerequisites govern acceptance. Both must be resolved before the September 6 completion date can be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60"/>
        <w:gridCol w:w="3840"/>
        <w:gridCol w:w="1800"/>
        <w:gridCol w:w="1400"/>
      </w:tblGrid>
      <w:tr>
        <w:tc>
          <w:tcPr>
            <w:tcW w:type="dxa" w:w="36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w:t>
            </w:r>
          </w:p>
        </w:tc>
        <w:tc>
          <w:tcPr>
            <w:tcW w:type="dxa" w:w="196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Requirement</w:t>
            </w:r>
          </w:p>
        </w:tc>
        <w:tc>
          <w:tcPr>
            <w:tcW w:type="dxa" w:w="384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Detail</w:t>
            </w:r>
          </w:p>
        </w:tc>
        <w:tc>
          <w:tcPr>
            <w:tcW w:type="dxa" w:w="18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Owner</w:t>
            </w:r>
          </w:p>
        </w:tc>
        <w:tc>
          <w:tcPr>
            <w:tcW w:type="dxa" w:w="14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Status</w:t>
            </w:r>
          </w:p>
        </w:tc>
      </w:tr>
      <w:tr>
        <w:tc>
          <w:tcPr>
            <w:tcW w:type="dxa" w:w="36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b/>
                <w:bCs/>
                <w:sz w:val="18"/>
                <w:szCs w:val="18"/>
              </w:rPr>
              <w:t xml:space="preserve">1</w:t>
            </w:r>
          </w:p>
        </w:tc>
        <w:tc>
          <w:tcPr>
            <w:tcW w:type="dxa" w:w="196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b/>
                <w:bCs/>
                <w:sz w:val="18"/>
                <w:szCs w:val="18"/>
              </w:rPr>
              <w:t xml:space="preserve">NetSuite Saved Search for Project Sync Scope</w:t>
            </w:r>
          </w:p>
        </w:tc>
        <w:tc>
          <w:tcPr>
            <w:tcW w:type="dxa" w:w="384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sz w:val="18"/>
                <w:szCs w:val="18"/>
              </w:rPr>
              <w:t xml:space="preserve">A NetSuite saved search (proposed ID: customsearch_jira_proj_sync) must be created returning exactly the projects Bluedrop wants synced to Jira. Required criteria: Sync to Jira = true AND Jira Project ID is empty AND Inactive = false. This search is the source list Flow 5 queries every run to determine which projects to create or update in Jira. Without it, the scope of sync is undefined and Flow 5 cannot be accepted. Defining which projects sync is a Bluedrop business decision — the contractor cannot make this determination.</w:t>
            </w:r>
          </w:p>
        </w:tc>
        <w:tc>
          <w:tcPr>
            <w:tcW w:type="dxa" w:w="180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b/>
                <w:bCs/>
                <w:sz w:val="18"/>
                <w:szCs w:val="18"/>
              </w:rPr>
              <w:t xml:space="preserve">Bluedrop NetSuite Admin (Brad)</w:t>
            </w:r>
          </w:p>
        </w:tc>
        <w:tc>
          <w:tcPr>
            <w:tcW w:type="dxa" w:w="140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b/>
                <w:bCs/>
                <w:color w:val="B85C00"/>
                <w:sz w:val="18"/>
                <w:szCs w:val="18"/>
              </w:rPr>
              <w:t xml:space="preserve">⚠️ OPEN — blocks acceptance</w:t>
            </w:r>
          </w:p>
        </w:tc>
      </w:tr>
      <w:tr>
        <w:tc>
          <w:tcPr>
            <w:tcW w:type="dxa" w:w="36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sz w:val="18"/>
                <w:szCs w:val="18"/>
              </w:rPr>
              <w:t xml:space="preserve">2</w:t>
            </w:r>
          </w:p>
        </w:tc>
        <w:tc>
          <w:tcPr>
            <w:tcW w:type="dxa" w:w="196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sz w:val="18"/>
                <w:szCs w:val="18"/>
              </w:rPr>
              <w:t xml:space="preserve">Jira DC OPA Connection — Fix and Confirm Stable</w:t>
            </w:r>
          </w:p>
        </w:tc>
        <w:tc>
          <w:tcPr>
            <w:tcW w:type="dxa" w:w="384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The On-Premise Agent connection to Jira Data Centre has been restored and confirmed stable. Celigo OPA heartbeat is green and the Jira DC REST API is reachable through the agent (/rest/api/2/myself returns HTTP 200). This is the network bridge that Flows 1 and 2 also depend on — its validation here is a prerequisite gate for the entire Jira-side integration.</w:t>
            </w:r>
          </w:p>
        </w:tc>
        <w:tc>
          <w:tcPr>
            <w:tcW w:type="dxa" w:w="180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sz w:val="18"/>
                <w:szCs w:val="18"/>
              </w:rPr>
              <w:t xml:space="preserve">Contractor / Bluedrop IT</w:t>
            </w:r>
          </w:p>
        </w:tc>
        <w:tc>
          <w:tcPr>
            <w:tcW w:type="dxa" w:w="140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color w:val="1E6B1E"/>
                <w:sz w:val="18"/>
                <w:szCs w:val="18"/>
              </w:rPr>
              <w:t xml:space="preserve">✅ COMPLETE</w:t>
            </w:r>
          </w:p>
        </w:tc>
      </w:tr>
    </w:tbl>
    <w:p>
      <w:pPr>
        <w:spacing w:after="120"/>
      </w:pPr>
      <w:r>
        <w:rPr>
          <w:rFonts w:ascii="Calibri" w:cs="Calibri" w:eastAsia="Calibri" w:hAnsi="Calibri"/>
          <w:sz w:val="18"/>
          <w:szCs w:val="18"/>
        </w:rPr>
        <w:t xml:space="preserve"/>
      </w:r>
    </w:p>
    <w:p>
      <w:pPr>
        <w:shd w:fill="FFF2CC" w:color="auto" w:val="clear"/>
        <w:spacing w:after="100" w:before="100"/>
        <w:ind w:left="200" w:right="200"/>
      </w:pPr>
      <w:r>
        <w:rPr>
          <w:rFonts w:ascii="Calibri" w:cs="Calibri" w:eastAsia="Calibri" w:hAnsi="Calibri"/>
          <w:b/>
          <w:bCs/>
          <w:color w:val="B85C00"/>
          <w:sz w:val="18"/>
          <w:szCs w:val="18"/>
        </w:rPr>
        <w:t xml:space="preserve">⚠️  Note: </w:t>
      </w:r>
      <w:r>
        <w:rPr>
          <w:rFonts w:ascii="Calibri" w:cs="Calibri" w:eastAsia="Calibri" w:hAnsi="Calibri"/>
          <w:sz w:val="18"/>
          <w:szCs w:val="18"/>
        </w:rPr>
        <w:t xml:space="preserve">Item 1 above is a client-owned deliverable. Brad must create the saved search and provide its internal ID to the contractor before Flow 5 acceptance testing can occur. If this is not delivered by September 4, Flow 5 sign-off will slip past September 6, which will push the Flows 1 &amp; 2 start date.</w:t>
      </w:r>
    </w:p>
    <w:p>
      <w:pPr>
        <w:spacing w:after="200"/>
      </w:pPr>
      <w:r>
        <w:rPr>
          <w:rFonts w:ascii="Calibri" w:cs="Calibri" w:eastAsia="Calibri" w:hAnsi="Calibri"/>
          <w:sz w:val="18"/>
          <w:szCs w:val="18"/>
        </w:rPr>
        <w:t xml:space="preserve"/>
      </w:r>
    </w:p>
    <w:p>
      <w:pPr>
        <w:pBdr>
          <w:bottom w:val="single" w:color="2F5496" w:sz="6"/>
        </w:pBdr>
        <w:spacing w:after="160" w:before="360"/>
      </w:pPr>
      <w:r>
        <w:rPr>
          <w:rFonts w:ascii="Calibri" w:cs="Calibri" w:eastAsia="Calibri" w:hAnsi="Calibri"/>
          <w:b/>
          <w:bCs/>
          <w:color w:val="1F3864"/>
          <w:sz w:val="28"/>
          <w:szCs w:val="28"/>
        </w:rPr>
        <w:t xml:space="preserve">5. Admin Prework — Required Before Flows 1 &amp; 2 (Due by September 6)</w:t>
      </w:r>
    </w:p>
    <w:p>
      <w:pPr>
        <w:spacing w:after="180"/>
      </w:pPr>
      <w:r>
        <w:rPr>
          <w:rFonts w:ascii="Calibri" w:cs="Calibri" w:eastAsia="Calibri" w:hAnsi="Calibri"/>
          <w:sz w:val="18"/>
          <w:szCs w:val="18"/>
        </w:rPr>
        <w:t xml:space="preserve">The following actions must be completed by Bluedrop's NetSuite and Jira administrators </w:t>
      </w:r>
      <w:r>
        <w:rPr>
          <w:rFonts w:ascii="Calibri" w:cs="Calibri" w:eastAsia="Calibri" w:hAnsi="Calibri"/>
          <w:b/>
          <w:bCs/>
          <w:sz w:val="18"/>
          <w:szCs w:val="18"/>
        </w:rPr>
        <w:t xml:space="preserve">before September 7, 2026</w:t>
      </w:r>
      <w:r>
        <w:rPr>
          <w:rFonts w:ascii="Calibri" w:cs="Calibri" w:eastAsia="Calibri" w:hAnsi="Calibri"/>
          <w:sz w:val="18"/>
          <w:szCs w:val="18"/>
        </w:rPr>
        <w:t xml:space="preserve">. The contractor cannot begin the Flow 1 and Flow 2 build without these inputs. Treat this section as a hard gate checklist — items should be confirmed before end of day Sunday, September 6.</w:t>
      </w:r>
    </w:p>
    <w:p>
      <w:pPr>
        <w:spacing w:after="120" w:before="240"/>
      </w:pPr>
      <w:r>
        <w:rPr>
          <w:rFonts w:ascii="Calibri" w:cs="Calibri" w:eastAsia="Calibri" w:hAnsi="Calibri"/>
          <w:b/>
          <w:bCs/>
          <w:color w:val="2F5496"/>
          <w:sz w:val="22"/>
          <w:szCs w:val="22"/>
        </w:rPr>
        <w:t xml:space="preserve">5.1  NetSuite Administrator (Brad) — Required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5000"/>
        <w:gridCol w:w="1200"/>
        <w:gridCol w:w="600"/>
      </w:tblGrid>
      <w:tr>
        <w:tc>
          <w:tcPr>
            <w:tcW w:type="dxa" w:w="36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w:t>
            </w:r>
          </w:p>
        </w:tc>
        <w:tc>
          <w:tcPr>
            <w:tcW w:type="dxa" w:w="22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Action Required</w:t>
            </w:r>
          </w:p>
        </w:tc>
        <w:tc>
          <w:tcPr>
            <w:tcW w:type="dxa" w:w="50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Purpose &amp; Detail</w:t>
            </w:r>
          </w:p>
        </w:tc>
        <w:tc>
          <w:tcPr>
            <w:tcW w:type="dxa" w:w="12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Req. ID</w:t>
            </w:r>
          </w:p>
        </w:tc>
        <w:tc>
          <w:tcPr>
            <w:tcW w:type="dxa" w:w="6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Done?</w:t>
            </w:r>
          </w:p>
        </w:tc>
      </w:tr>
      <w:tr>
        <w:tc>
          <w:tcPr>
            <w:tcW w:type="dxa" w:w="3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1</w:t>
            </w:r>
          </w:p>
        </w:tc>
        <w:tc>
          <w:tcPr>
            <w:tcW w:type="dxa" w:w="2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Create custom field on NetSuite Task record to store the Jira ticket number</w:t>
            </w:r>
          </w:p>
        </w:tc>
        <w:tc>
          <w:tcPr>
            <w:tcW w:type="dxa" w:w="50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Suggested field ID: custbody_jira_ticket_id. Free-text or URL field, mandatory, non-editable by end users. Flow 1 writes the Jira ticket ID back to this field immediately after creating the Jira issue. Without this field, the flow errors on the write-back step and no cross-reference can be maintained between systems.</w:t>
            </w:r>
          </w:p>
        </w:tc>
        <w:tc>
          <w:tcPr>
            <w:tcW w:type="dxa" w:w="1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JNS-05</w:t>
            </w:r>
          </w:p>
        </w:tc>
        <w:tc>
          <w:tcPr>
            <w:tcW w:type="dxa" w:w="6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w:t>
            </w:r>
          </w:p>
        </w:tc>
      </w:tr>
      <w:tr>
        <w:tc>
          <w:tcPr>
            <w:tcW w:type="dxa" w:w="3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2</w:t>
            </w:r>
          </w:p>
        </w:tc>
        <w:tc>
          <w:tcPr>
            <w:tcW w:type="dxa" w:w="2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Create sync-suppression checkbox field on NetSuite Task record</w:t>
            </w:r>
          </w:p>
        </w:tc>
        <w:tc>
          <w:tcPr>
            <w:tcW w:type="dxa" w:w="50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Suggested field ID: custbody_exclude_from_jira_sync. Checkbox (default unchecked). Used to mark admin, internal-only, or planning tasks that must NOT sync to Jira. Flow 1 checks this flag before processing any record — a checked record is skipped entirely and never creates a Jira issue.</w:t>
            </w:r>
          </w:p>
        </w:tc>
        <w:tc>
          <w:tcPr>
            <w:tcW w:type="dxa" w:w="1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JNS-07</w:t>
            </w:r>
          </w:p>
        </w:tc>
        <w:tc>
          <w:tcPr>
            <w:tcW w:type="dxa" w:w="6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w:t>
            </w:r>
          </w:p>
        </w:tc>
      </w:tr>
      <w:tr>
        <w:tc>
          <w:tcPr>
            <w:tcW w:type="dxa" w:w="3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3</w:t>
            </w:r>
          </w:p>
        </w:tc>
        <w:tc>
          <w:tcPr>
            <w:tcW w:type="dxa" w:w="2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Create or confirm the per-project sync-enable field on the NetSuite Project record</w:t>
            </w:r>
          </w:p>
        </w:tc>
        <w:tc>
          <w:tcPr>
            <w:tcW w:type="dxa" w:w="50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Can reuse the custentity_jira_sync_enabled checkbox created for Flow 5, or a separate configuration record. JNS-01 requires that Projects not explicitly enabled do NOT exchange data with Jira. The contractor needs the confirmed field ID to filter which projects are in scope for Flows 1 and 2.</w:t>
            </w:r>
          </w:p>
        </w:tc>
        <w:tc>
          <w:tcPr>
            <w:tcW w:type="dxa" w:w="1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JNS-01</w:t>
            </w:r>
          </w:p>
        </w:tc>
        <w:tc>
          <w:tcPr>
            <w:tcW w:type="dxa" w:w="6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w:t>
            </w:r>
          </w:p>
        </w:tc>
      </w:tr>
      <w:tr>
        <w:tc>
          <w:tcPr>
            <w:tcW w:type="dxa" w:w="3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4</w:t>
            </w:r>
          </w:p>
        </w:tc>
        <w:tc>
          <w:tcPr>
            <w:tcW w:type="dxa" w:w="2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Grant Celigo integration role SuiteScript deployment rights — or commit to deploying the anti-loop hook on request</w:t>
            </w:r>
          </w:p>
        </w:tc>
        <w:tc>
          <w:tcPr>
            <w:tcW w:type="dxa" w:w="50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The bidirectional loop-suppression mechanism requires a preSavePage/beforeLoad SuiteScript deployed to the Task record. If the contractor does not have SuiteScript deployment rights (common restriction), Brad must be available during Flow 1 build week to deploy scripts on request with short turnaround. Without this hook, bidirectional sync will create an infinite update loop in production. This is non-negotiable.</w:t>
            </w:r>
          </w:p>
        </w:tc>
        <w:tc>
          <w:tcPr>
            <w:tcW w:type="dxa" w:w="1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JNS-02, JNS-03</w:t>
            </w:r>
          </w:p>
        </w:tc>
        <w:tc>
          <w:tcPr>
            <w:tcW w:type="dxa" w:w="6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w:t>
            </w:r>
          </w:p>
        </w:tc>
      </w:tr>
      <w:tr>
        <w:tc>
          <w:tcPr>
            <w:tcW w:type="dxa" w:w="3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5</w:t>
            </w:r>
          </w:p>
        </w:tc>
        <w:tc>
          <w:tcPr>
            <w:tcW w:type="dxa" w:w="2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Provide the complete list of NetSuite Task Types and Status values in use</w:t>
            </w:r>
          </w:p>
        </w:tc>
        <w:tc>
          <w:tcPr>
            <w:tcW w:type="dxa" w:w="50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Include all task types and status values in the sandbox, specifically the operational categories: Lessons, EC/PC, Technical Publications, Courseware, and any others. JNS-06 requires configurable mapping — the contractor cannot build mappings without the source values. A spreadsheet or plain text list is sufficient.</w:t>
            </w:r>
          </w:p>
        </w:tc>
        <w:tc>
          <w:tcPr>
            <w:tcW w:type="dxa" w:w="1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JNS-06</w:t>
            </w:r>
          </w:p>
        </w:tc>
        <w:tc>
          <w:tcPr>
            <w:tcW w:type="dxa" w:w="6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w:t>
            </w:r>
          </w:p>
        </w:tc>
      </w:tr>
      <w:tr>
        <w:tc>
          <w:tcPr>
            <w:tcW w:type="dxa" w:w="3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6</w:t>
            </w:r>
          </w:p>
        </w:tc>
        <w:tc>
          <w:tcPr>
            <w:tcW w:type="dxa" w:w="2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Confirm the NetSuite sandbox has representative project and task data</w:t>
            </w:r>
          </w:p>
        </w:tc>
        <w:tc>
          <w:tcPr>
            <w:tcW w:type="dxa" w:w="50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Sandbox should include examples of each task type, at least one admin/internal task with the suppression flag checked, and tasks distributed across multiple projects. Acceptance testing against an empty or unrepresentative sandbox does not validate production behaviour.</w:t>
            </w:r>
          </w:p>
        </w:tc>
        <w:tc>
          <w:tcPr>
            <w:tcW w:type="dxa" w:w="1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General</w:t>
            </w:r>
          </w:p>
        </w:tc>
        <w:tc>
          <w:tcPr>
            <w:tcW w:type="dxa" w:w="6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w:t>
            </w:r>
          </w:p>
        </w:tc>
      </w:tr>
      <w:tr>
        <w:tc>
          <w:tcPr>
            <w:tcW w:type="dxa" w:w="3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7</w:t>
            </w:r>
          </w:p>
        </w:tc>
        <w:tc>
          <w:tcPr>
            <w:tcW w:type="dxa" w:w="2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Confirm integration user TBA credentials and role permissions are current</w:t>
            </w:r>
          </w:p>
        </w:tc>
        <w:tc>
          <w:tcPr>
            <w:tcW w:type="dxa" w:w="50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Verify Token-Based Authentication credentials for the Celigo integration role remain valid from W1. The role must have read/write access to Projects, Tasks, and Timesheets, plus SuiteScript rights per Item 4 above. If any credential has rotated since W1, new tokens must be issued before build starts on September 7.</w:t>
            </w:r>
          </w:p>
        </w:tc>
        <w:tc>
          <w:tcPr>
            <w:tcW w:type="dxa" w:w="1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General</w:t>
            </w:r>
          </w:p>
        </w:tc>
        <w:tc>
          <w:tcPr>
            <w:tcW w:type="dxa" w:w="6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w:t>
            </w:r>
          </w:p>
        </w:tc>
      </w:tr>
    </w:tbl>
    <w:p>
      <w:pPr>
        <w:spacing w:after="160"/>
      </w:pPr>
      <w:r>
        <w:rPr>
          <w:rFonts w:ascii="Calibri" w:cs="Calibri" w:eastAsia="Calibri" w:hAnsi="Calibri"/>
          <w:sz w:val="18"/>
          <w:szCs w:val="18"/>
        </w:rPr>
        <w:t xml:space="preserve"/>
      </w:r>
    </w:p>
    <w:p>
      <w:pPr>
        <w:spacing w:after="120" w:before="240"/>
      </w:pPr>
      <w:r>
        <w:rPr>
          <w:rFonts w:ascii="Calibri" w:cs="Calibri" w:eastAsia="Calibri" w:hAnsi="Calibri"/>
          <w:b/>
          <w:bCs/>
          <w:color w:val="2F5496"/>
          <w:sz w:val="22"/>
          <w:szCs w:val="22"/>
        </w:rPr>
        <w:t xml:space="preserve">5.2  Jira Administrator — Required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5000"/>
        <w:gridCol w:w="1200"/>
        <w:gridCol w:w="600"/>
      </w:tblGrid>
      <w:tr>
        <w:tc>
          <w:tcPr>
            <w:tcW w:type="dxa" w:w="36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w:t>
            </w:r>
          </w:p>
        </w:tc>
        <w:tc>
          <w:tcPr>
            <w:tcW w:type="dxa" w:w="22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Action Required</w:t>
            </w:r>
          </w:p>
        </w:tc>
        <w:tc>
          <w:tcPr>
            <w:tcW w:type="dxa" w:w="50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Purpose &amp; Detail</w:t>
            </w:r>
          </w:p>
        </w:tc>
        <w:tc>
          <w:tcPr>
            <w:tcW w:type="dxa" w:w="12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Req. ID</w:t>
            </w:r>
          </w:p>
        </w:tc>
        <w:tc>
          <w:tcPr>
            <w:tcW w:type="dxa" w:w="6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Done?</w:t>
            </w:r>
          </w:p>
        </w:tc>
      </w:tr>
      <w:tr>
        <w:tc>
          <w:tcPr>
            <w:tcW w:type="dxa" w:w="3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1</w:t>
            </w:r>
          </w:p>
        </w:tc>
        <w:tc>
          <w:tcPr>
            <w:tcW w:type="dxa" w:w="2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Confirm Jira DC non-production project is available with a valid PAT</w:t>
            </w:r>
          </w:p>
        </w:tc>
        <w:tc>
          <w:tcPr>
            <w:tcW w:type="dxa" w:w="50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The service account (svc-celigo-integration) must have a current Personal Access Token with create/edit/read permissions on Issues. If the PAT was set with an expiry, regenerate before September 7. The contractor must be able to create and update Jira Issues without Jira UI access — the PAT is the only credential.</w:t>
            </w:r>
          </w:p>
        </w:tc>
        <w:tc>
          <w:tcPr>
            <w:tcW w:type="dxa" w:w="1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JNS-02, JNS-03</w:t>
            </w:r>
          </w:p>
        </w:tc>
        <w:tc>
          <w:tcPr>
            <w:tcW w:type="dxa" w:w="6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w:t>
            </w:r>
          </w:p>
        </w:tc>
      </w:tr>
      <w:tr>
        <w:tc>
          <w:tcPr>
            <w:tcW w:type="dxa" w:w="3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2</w:t>
            </w:r>
          </w:p>
        </w:tc>
        <w:tc>
          <w:tcPr>
            <w:tcW w:type="dxa" w:w="2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Provide the complete list of Jira issue types for all in-scope projects</w:t>
            </w:r>
          </w:p>
        </w:tc>
        <w:tc>
          <w:tcPr>
            <w:tcW w:type="dxa" w:w="50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List all issue types in the non-prod project (e.g., Task, Story, Bug, Sub-task, Epic) and confirm which types are in scope for sync from NetSuite. JNS-06 requires configurable mapping between NetSuite task types and Jira issue types. Without the target values, mappings cannot be built and the flow will error on type resolution.</w:t>
            </w:r>
          </w:p>
        </w:tc>
        <w:tc>
          <w:tcPr>
            <w:tcW w:type="dxa" w:w="1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JNS-06</w:t>
            </w:r>
          </w:p>
        </w:tc>
        <w:tc>
          <w:tcPr>
            <w:tcW w:type="dxa" w:w="6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w:t>
            </w:r>
          </w:p>
        </w:tc>
      </w:tr>
      <w:tr>
        <w:tc>
          <w:tcPr>
            <w:tcW w:type="dxa" w:w="3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3</w:t>
            </w:r>
          </w:p>
        </w:tc>
        <w:tc>
          <w:tcPr>
            <w:tcW w:type="dxa" w:w="2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Provide the complete list of Jira status values for all in-scope projects</w:t>
            </w:r>
          </w:p>
        </w:tc>
        <w:tc>
          <w:tcPr>
            <w:tcW w:type="dxa" w:w="50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List all status values in the workflow for each in-scope project type (e.g., To Do, In Progress, In Review, Done, Closed). Status values are workflow-specific and must match the exact strings Jira returns in its API — guessing yields silent mapping failures in production.</w:t>
            </w:r>
          </w:p>
        </w:tc>
        <w:tc>
          <w:tcPr>
            <w:tcW w:type="dxa" w:w="1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JNS-06</w:t>
            </w:r>
          </w:p>
        </w:tc>
        <w:tc>
          <w:tcPr>
            <w:tcW w:type="dxa" w:w="6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w:t>
            </w:r>
          </w:p>
        </w:tc>
      </w:tr>
      <w:tr>
        <w:tc>
          <w:tcPr>
            <w:tcW w:type="dxa" w:w="3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4</w:t>
            </w:r>
          </w:p>
        </w:tc>
        <w:tc>
          <w:tcPr>
            <w:tcW w:type="dxa" w:w="2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Define the project-specific JQL queries for each Jira project in scope (Flow 2)</w:t>
            </w:r>
          </w:p>
        </w:tc>
        <w:tc>
          <w:tcPr>
            <w:tcW w:type="dxa" w:w="50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JNS-08 requires each Jira project to apply different query criteria determining which Jira issues sync back to NetSuite. The admin / PM must define these queries per project before Flow 2 can be configured. Example: 'project = BDPTO AND issuetype = Task AND status != Done'. Defining the queries is the client's responsibility — the contractor implements them verbatim.</w:t>
            </w:r>
          </w:p>
        </w:tc>
        <w:tc>
          <w:tcPr>
            <w:tcW w:type="dxa" w:w="1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JNS-08</w:t>
            </w:r>
          </w:p>
        </w:tc>
        <w:tc>
          <w:tcPr>
            <w:tcW w:type="dxa" w:w="6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w:t>
            </w:r>
          </w:p>
        </w:tc>
      </w:tr>
      <w:tr>
        <w:tc>
          <w:tcPr>
            <w:tcW w:type="dxa" w:w="3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5</w:t>
            </w:r>
          </w:p>
        </w:tc>
        <w:tc>
          <w:tcPr>
            <w:tcW w:type="dxa" w:w="2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Confirm REST API accessibility through OPA — no new blocking firewall or NSG rules</w:t>
            </w:r>
          </w:p>
        </w:tc>
        <w:tc>
          <w:tcPr>
            <w:tcW w:type="dxa" w:w="50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Jira DC's REST API endpoint must remain reachable from the OPA host VM after the OPA was restored during Flow 5. Any new firewall rules, NSG changes, or VPN policy changes since Flow 5 commissioning must be identified before September 7. Test: from the OPA VM, run: curl -k {jira-base}/rest/api/2/myself and confirm HTTP 200.</w:t>
            </w:r>
          </w:p>
        </w:tc>
        <w:tc>
          <w:tcPr>
            <w:tcW w:type="dxa" w:w="1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All Jira flows</w:t>
            </w:r>
          </w:p>
        </w:tc>
        <w:tc>
          <w:tcPr>
            <w:tcW w:type="dxa" w:w="6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w:t>
            </w:r>
          </w:p>
        </w:tc>
      </w:tr>
      <w:tr>
        <w:tc>
          <w:tcPr>
            <w:tcW w:type="dxa" w:w="3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6</w:t>
            </w:r>
          </w:p>
        </w:tc>
        <w:tc>
          <w:tcPr>
            <w:tcW w:type="dxa" w:w="2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Provide the list of in-scope Jira project keys authorized for NetSuite sync</w:t>
            </w:r>
          </w:p>
        </w:tc>
        <w:tc>
          <w:tcPr>
            <w:tcW w:type="dxa" w:w="50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JNS-01 requires per-project sync enable/disable. The contractor needs the list of Jira project keys that should start as sync-enabled so the correct projects are configured in both Celigo and the NetSuite per-project control field. Without this list, JNS-01 compliance cannot be configured.</w:t>
            </w:r>
          </w:p>
        </w:tc>
        <w:tc>
          <w:tcPr>
            <w:tcW w:type="dxa" w:w="1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JNS-01</w:t>
            </w:r>
          </w:p>
        </w:tc>
        <w:tc>
          <w:tcPr>
            <w:tcW w:type="dxa" w:w="6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w:t>
            </w:r>
          </w:p>
        </w:tc>
      </w:tr>
    </w:tbl>
    <w:p>
      <w:pPr>
        <w:spacing w:after="200"/>
      </w:pPr>
      <w:r>
        <w:rPr>
          <w:rFonts w:ascii="Calibri" w:cs="Calibri" w:eastAsia="Calibri" w:hAnsi="Calibri"/>
          <w:sz w:val="18"/>
          <w:szCs w:val="18"/>
        </w:rPr>
        <w:t xml:space="preserve"/>
      </w:r>
    </w:p>
    <w:p>
      <w:pPr>
        <w:pBdr>
          <w:bottom w:val="single" w:color="2F5496" w:sz="6"/>
        </w:pBdr>
        <w:spacing w:after="160" w:before="360"/>
      </w:pPr>
      <w:r>
        <w:rPr>
          <w:rFonts w:ascii="Calibri" w:cs="Calibri" w:eastAsia="Calibri" w:hAnsi="Calibri"/>
          <w:b/>
          <w:bCs/>
          <w:color w:val="1F3864"/>
          <w:sz w:val="28"/>
          <w:szCs w:val="28"/>
        </w:rPr>
        <w:t xml:space="preserve">6. Requirements Traceability — Flow Coverage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1960"/>
        <w:gridCol w:w="1840"/>
        <w:gridCol w:w="2000"/>
      </w:tblGrid>
      <w:tr>
        <w:tc>
          <w:tcPr>
            <w:tcW w:type="dxa" w:w="76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Req. ID</w:t>
            </w:r>
          </w:p>
        </w:tc>
        <w:tc>
          <w:tcPr>
            <w:tcW w:type="dxa" w:w="28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Requirement Summary</w:t>
            </w:r>
          </w:p>
        </w:tc>
        <w:tc>
          <w:tcPr>
            <w:tcW w:type="dxa" w:w="196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Implementing Flow</w:t>
            </w:r>
          </w:p>
        </w:tc>
        <w:tc>
          <w:tcPr>
            <w:tcW w:type="dxa" w:w="184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Acceptance Week</w:t>
            </w:r>
          </w:p>
        </w:tc>
        <w:tc>
          <w:tcPr>
            <w:tcW w:type="dxa" w:w="20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Status</w:t>
            </w:r>
          </w:p>
        </w:tc>
      </w:tr>
      <w:tr>
        <w:tc>
          <w:tcPr>
            <w:tcW w:type="dxa" w:w="76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b/>
                <w:bCs/>
                <w:sz w:val="18"/>
                <w:szCs w:val="18"/>
              </w:rPr>
              <w:t xml:space="preserve">JNS-01</w:t>
            </w:r>
          </w:p>
        </w:tc>
        <w:tc>
          <w:tcPr>
            <w:tcW w:type="dxa" w:w="280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sz w:val="18"/>
                <w:szCs w:val="18"/>
              </w:rPr>
              <w:t xml:space="preserve">Per-project Jira sync enable/disable</w:t>
            </w:r>
          </w:p>
        </w:tc>
        <w:tc>
          <w:tcPr>
            <w:tcW w:type="dxa" w:w="196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sz w:val="18"/>
                <w:szCs w:val="18"/>
              </w:rPr>
              <w:t xml:space="preserve">Flow 5 (baseline) + Flow 2</w:t>
            </w:r>
          </w:p>
        </w:tc>
        <w:tc>
          <w:tcPr>
            <w:tcW w:type="dxa" w:w="184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sz w:val="18"/>
                <w:szCs w:val="18"/>
              </w:rPr>
              <w:t xml:space="preserve">Aug 31–Sep 6 + Sep 7–13</w:t>
            </w:r>
          </w:p>
        </w:tc>
        <w:tc>
          <w:tcPr>
            <w:tcW w:type="dxa" w:w="2000"/>
            <w:tcBorders>
              <w:top w:val="single" w:color="BFBFBF" w:sz="4"/>
              <w:left w:val="single" w:color="BFBFBF" w:sz="4"/>
              <w:bottom w:val="single" w:color="BFBFBF" w:sz="4"/>
              <w:right w:val="single" w:color="BFBFBF" w:sz="4"/>
            </w:tcBorders>
            <w:shd w:fill="FFF2CC" w:color="auto" w:val="clear"/>
          </w:tcPr>
          <w:p>
            <w:pPr>
              <w:spacing w:after="60" w:before="60"/>
            </w:pPr>
            <w:r>
              <w:rPr>
                <w:rFonts w:ascii="Calibri" w:cs="Calibri" w:eastAsia="Calibri" w:hAnsi="Calibri"/>
                <w:b/>
                <w:bCs/>
                <w:color w:val="B85C00"/>
                <w:sz w:val="18"/>
                <w:szCs w:val="18"/>
              </w:rPr>
              <w:t xml:space="preserve">🔄 / 📅 In Progress / Planned</w:t>
            </w:r>
          </w:p>
        </w:tc>
      </w:tr>
      <w:tr>
        <w:tc>
          <w:tcPr>
            <w:tcW w:type="dxa" w:w="7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JNS-02</w:t>
            </w:r>
          </w:p>
        </w:tc>
        <w:tc>
          <w:tcPr>
            <w:tcW w:type="dxa" w:w="28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NetSuite → Jira task creation</w:t>
            </w:r>
          </w:p>
        </w:tc>
        <w:tc>
          <w:tcPr>
            <w:tcW w:type="dxa" w:w="19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Flow 1</w:t>
            </w:r>
          </w:p>
        </w:tc>
        <w:tc>
          <w:tcPr>
            <w:tcW w:type="dxa" w:w="184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Sep 7–13</w:t>
            </w:r>
          </w:p>
        </w:tc>
        <w:tc>
          <w:tcPr>
            <w:tcW w:type="dxa" w:w="20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 Planned</w:t>
            </w:r>
          </w:p>
        </w:tc>
      </w:tr>
      <w:tr>
        <w:tc>
          <w:tcPr>
            <w:tcW w:type="dxa" w:w="7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JNS-03</w:t>
            </w:r>
          </w:p>
        </w:tc>
        <w:tc>
          <w:tcPr>
            <w:tcW w:type="dxa" w:w="28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Jira → NetSuite task creation</w:t>
            </w:r>
          </w:p>
        </w:tc>
        <w:tc>
          <w:tcPr>
            <w:tcW w:type="dxa" w:w="19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Flow 2</w:t>
            </w:r>
          </w:p>
        </w:tc>
        <w:tc>
          <w:tcPr>
            <w:tcW w:type="dxa" w:w="184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Sep 7–13</w:t>
            </w:r>
          </w:p>
        </w:tc>
        <w:tc>
          <w:tcPr>
            <w:tcW w:type="dxa" w:w="20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 Planned</w:t>
            </w:r>
          </w:p>
        </w:tc>
      </w:tr>
      <w:tr>
        <w:tc>
          <w:tcPr>
            <w:tcW w:type="dxa" w:w="7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JNS-04</w:t>
            </w:r>
          </w:p>
        </w:tc>
        <w:tc>
          <w:tcPr>
            <w:tcW w:type="dxa" w:w="28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One-way name sync (Jira → NetSuite only)</w:t>
            </w:r>
          </w:p>
        </w:tc>
        <w:tc>
          <w:tcPr>
            <w:tcW w:type="dxa" w:w="19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Flow 2</w:t>
            </w:r>
          </w:p>
        </w:tc>
        <w:tc>
          <w:tcPr>
            <w:tcW w:type="dxa" w:w="184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Sep 7–13</w:t>
            </w:r>
          </w:p>
        </w:tc>
        <w:tc>
          <w:tcPr>
            <w:tcW w:type="dxa" w:w="20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 Planned</w:t>
            </w:r>
          </w:p>
        </w:tc>
      </w:tr>
      <w:tr>
        <w:tc>
          <w:tcPr>
            <w:tcW w:type="dxa" w:w="7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JNS-05</w:t>
            </w:r>
          </w:p>
        </w:tc>
        <w:tc>
          <w:tcPr>
            <w:tcW w:type="dxa" w:w="28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Jira ticket ID stored in NetSuite</w:t>
            </w:r>
          </w:p>
        </w:tc>
        <w:tc>
          <w:tcPr>
            <w:tcW w:type="dxa" w:w="19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Flow 1</w:t>
            </w:r>
          </w:p>
        </w:tc>
        <w:tc>
          <w:tcPr>
            <w:tcW w:type="dxa" w:w="184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Sep 7–13</w:t>
            </w:r>
          </w:p>
        </w:tc>
        <w:tc>
          <w:tcPr>
            <w:tcW w:type="dxa" w:w="20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 Planned</w:t>
            </w:r>
          </w:p>
        </w:tc>
      </w:tr>
      <w:tr>
        <w:tc>
          <w:tcPr>
            <w:tcW w:type="dxa" w:w="7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JNS-06</w:t>
            </w:r>
          </w:p>
        </w:tc>
        <w:tc>
          <w:tcPr>
            <w:tcW w:type="dxa" w:w="28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Configurable issue-type &amp; status mapping</w:t>
            </w:r>
          </w:p>
        </w:tc>
        <w:tc>
          <w:tcPr>
            <w:tcW w:type="dxa" w:w="19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Flow 1 + Flow 2</w:t>
            </w:r>
          </w:p>
        </w:tc>
        <w:tc>
          <w:tcPr>
            <w:tcW w:type="dxa" w:w="184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Sep 7–13</w:t>
            </w:r>
          </w:p>
        </w:tc>
        <w:tc>
          <w:tcPr>
            <w:tcW w:type="dxa" w:w="20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 Planned</w:t>
            </w:r>
          </w:p>
        </w:tc>
      </w:tr>
      <w:tr>
        <w:tc>
          <w:tcPr>
            <w:tcW w:type="dxa" w:w="7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JNS-07</w:t>
            </w:r>
          </w:p>
        </w:tc>
        <w:tc>
          <w:tcPr>
            <w:tcW w:type="dxa" w:w="28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Admin / non-sync task exclusion</w:t>
            </w:r>
          </w:p>
        </w:tc>
        <w:tc>
          <w:tcPr>
            <w:tcW w:type="dxa" w:w="19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Flow 1</w:t>
            </w:r>
          </w:p>
        </w:tc>
        <w:tc>
          <w:tcPr>
            <w:tcW w:type="dxa" w:w="184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Sep 7–13</w:t>
            </w:r>
          </w:p>
        </w:tc>
        <w:tc>
          <w:tcPr>
            <w:tcW w:type="dxa" w:w="20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 Planned</w:t>
            </w:r>
          </w:p>
        </w:tc>
      </w:tr>
      <w:tr>
        <w:tc>
          <w:tcPr>
            <w:tcW w:type="dxa" w:w="7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JNS-08</w:t>
            </w:r>
          </w:p>
        </w:tc>
        <w:tc>
          <w:tcPr>
            <w:tcW w:type="dxa" w:w="28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Project-specific Jira query control</w:t>
            </w:r>
          </w:p>
        </w:tc>
        <w:tc>
          <w:tcPr>
            <w:tcW w:type="dxa" w:w="19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Flow 2</w:t>
            </w:r>
          </w:p>
        </w:tc>
        <w:tc>
          <w:tcPr>
            <w:tcW w:type="dxa" w:w="184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Sep 7–13</w:t>
            </w:r>
          </w:p>
        </w:tc>
        <w:tc>
          <w:tcPr>
            <w:tcW w:type="dxa" w:w="20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 Planned</w:t>
            </w:r>
          </w:p>
        </w:tc>
      </w:tr>
      <w:tr>
        <w:tc>
          <w:tcPr>
            <w:tcW w:type="dxa" w:w="76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sz w:val="18"/>
                <w:szCs w:val="18"/>
              </w:rPr>
              <w:t xml:space="preserve">DNS-01</w:t>
            </w:r>
          </w:p>
        </w:tc>
        <w:tc>
          <w:tcPr>
            <w:tcW w:type="dxa" w:w="280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Approved PTO sync to NS timesheets</w:t>
            </w:r>
          </w:p>
        </w:tc>
        <w:tc>
          <w:tcPr>
            <w:tcW w:type="dxa" w:w="196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Flow 3</w:t>
            </w:r>
          </w:p>
        </w:tc>
        <w:tc>
          <w:tcPr>
            <w:tcW w:type="dxa" w:w="184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Jun 16–20</w:t>
            </w:r>
          </w:p>
        </w:tc>
        <w:tc>
          <w:tcPr>
            <w:tcW w:type="dxa" w:w="200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color w:val="1E6B1E"/>
                <w:sz w:val="18"/>
                <w:szCs w:val="18"/>
              </w:rPr>
              <w:t xml:space="preserve">✅ Complete</w:t>
            </w:r>
          </w:p>
        </w:tc>
      </w:tr>
      <w:tr>
        <w:tc>
          <w:tcPr>
            <w:tcW w:type="dxa" w:w="76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sz w:val="18"/>
                <w:szCs w:val="18"/>
              </w:rPr>
              <w:t xml:space="preserve">DNS-02</w:t>
            </w:r>
          </w:p>
        </w:tc>
        <w:tc>
          <w:tcPr>
            <w:tcW w:type="dxa" w:w="280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PTO change propagation (update / cancel)</w:t>
            </w:r>
          </w:p>
        </w:tc>
        <w:tc>
          <w:tcPr>
            <w:tcW w:type="dxa" w:w="196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Flow 3 + Flow 4</w:t>
            </w:r>
          </w:p>
        </w:tc>
        <w:tc>
          <w:tcPr>
            <w:tcW w:type="dxa" w:w="184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Jun 16–27</w:t>
            </w:r>
          </w:p>
        </w:tc>
        <w:tc>
          <w:tcPr>
            <w:tcW w:type="dxa" w:w="200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color w:val="1E6B1E"/>
                <w:sz w:val="18"/>
                <w:szCs w:val="18"/>
              </w:rPr>
              <w:t xml:space="preserve">✅ Complete</w:t>
            </w:r>
          </w:p>
        </w:tc>
      </w:tr>
      <w:tr>
        <w:tc>
          <w:tcPr>
            <w:tcW w:type="dxa" w:w="76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sz w:val="18"/>
                <w:szCs w:val="18"/>
              </w:rPr>
              <w:t xml:space="preserve">DNS-03</w:t>
            </w:r>
          </w:p>
        </w:tc>
        <w:tc>
          <w:tcPr>
            <w:tcW w:type="dxa" w:w="280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Sync frequency &gt; 2x daily</w:t>
            </w:r>
          </w:p>
        </w:tc>
        <w:tc>
          <w:tcPr>
            <w:tcW w:type="dxa" w:w="196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Flow 3</w:t>
            </w:r>
          </w:p>
        </w:tc>
        <w:tc>
          <w:tcPr>
            <w:tcW w:type="dxa" w:w="184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sz w:val="18"/>
                <w:szCs w:val="18"/>
              </w:rPr>
              <w:t xml:space="preserve">Jun 16–20</w:t>
            </w:r>
          </w:p>
        </w:tc>
        <w:tc>
          <w:tcPr>
            <w:tcW w:type="dxa" w:w="2000"/>
            <w:tcBorders>
              <w:top w:val="single" w:color="BFBFBF" w:sz="4"/>
              <w:left w:val="single" w:color="BFBFBF" w:sz="4"/>
              <w:bottom w:val="single" w:color="BFBFBF" w:sz="4"/>
              <w:right w:val="single" w:color="BFBFBF" w:sz="4"/>
            </w:tcBorders>
            <w:shd w:fill="E2EFDA" w:color="auto" w:val="clear"/>
          </w:tcPr>
          <w:p>
            <w:pPr>
              <w:spacing w:after="60" w:before="60"/>
            </w:pPr>
            <w:r>
              <w:rPr>
                <w:rFonts w:ascii="Calibri" w:cs="Calibri" w:eastAsia="Calibri" w:hAnsi="Calibri"/>
                <w:b/>
                <w:bCs/>
                <w:color w:val="1E6B1E"/>
                <w:sz w:val="18"/>
                <w:szCs w:val="18"/>
              </w:rPr>
              <w:t xml:space="preserve">✅ Complete</w:t>
            </w:r>
          </w:p>
        </w:tc>
      </w:tr>
      <w:tr>
        <w:tc>
          <w:tcPr>
            <w:tcW w:type="dxa" w:w="7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§4.7</w:t>
            </w:r>
          </w:p>
        </w:tc>
        <w:tc>
          <w:tcPr>
            <w:tcW w:type="dxa" w:w="28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Auditability — deterministic sync decisions</w:t>
            </w:r>
          </w:p>
        </w:tc>
        <w:tc>
          <w:tcPr>
            <w:tcW w:type="dxa" w:w="19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All Flows</w:t>
            </w:r>
          </w:p>
        </w:tc>
        <w:tc>
          <w:tcPr>
            <w:tcW w:type="dxa" w:w="184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Sep 14–20 (UAT)</w:t>
            </w:r>
          </w:p>
        </w:tc>
        <w:tc>
          <w:tcPr>
            <w:tcW w:type="dxa" w:w="20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 Planned</w:t>
            </w:r>
          </w:p>
        </w:tc>
      </w:tr>
      <w:tr>
        <w:tc>
          <w:tcPr>
            <w:tcW w:type="dxa" w:w="7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§6</w:t>
            </w:r>
          </w:p>
        </w:tc>
        <w:tc>
          <w:tcPr>
            <w:tcW w:type="dxa" w:w="28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Error logging visible for troubleshooting</w:t>
            </w:r>
          </w:p>
        </w:tc>
        <w:tc>
          <w:tcPr>
            <w:tcW w:type="dxa" w:w="19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All Flows (Celigo error queue)</w:t>
            </w:r>
          </w:p>
        </w:tc>
        <w:tc>
          <w:tcPr>
            <w:tcW w:type="dxa" w:w="184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Sep 14–20 (UAT)</w:t>
            </w:r>
          </w:p>
        </w:tc>
        <w:tc>
          <w:tcPr>
            <w:tcW w:type="dxa" w:w="20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 Planned</w:t>
            </w:r>
          </w:p>
        </w:tc>
      </w:tr>
    </w:tbl>
    <w:p>
      <w:pPr>
        <w:spacing w:after="200"/>
      </w:pPr>
      <w:r>
        <w:rPr>
          <w:rFonts w:ascii="Calibri" w:cs="Calibri" w:eastAsia="Calibri" w:hAnsi="Calibri"/>
          <w:sz w:val="18"/>
          <w:szCs w:val="18"/>
        </w:rPr>
        <w:t xml:space="preserve"/>
      </w:r>
    </w:p>
    <w:p>
      <w:pPr>
        <w:pBdr>
          <w:bottom w:val="single" w:color="2F5496" w:sz="6"/>
        </w:pBdr>
        <w:spacing w:after="160" w:before="360"/>
      </w:pPr>
      <w:r>
        <w:rPr>
          <w:rFonts w:ascii="Calibri" w:cs="Calibri" w:eastAsia="Calibri" w:hAnsi="Calibri"/>
          <w:b/>
          <w:bCs/>
          <w:color w:val="1F3864"/>
          <w:sz w:val="28"/>
          <w:szCs w:val="28"/>
        </w:rPr>
        <w:t xml:space="preserve">7. Assumptions &amp; Risks</w:t>
      </w:r>
    </w:p>
    <w:p>
      <w:pPr>
        <w:spacing w:after="120" w:before="240"/>
      </w:pPr>
      <w:r>
        <w:rPr>
          <w:rFonts w:ascii="Calibri" w:cs="Calibri" w:eastAsia="Calibri" w:hAnsi="Calibri"/>
          <w:b/>
          <w:bCs/>
          <w:color w:val="2F5496"/>
          <w:sz w:val="22"/>
          <w:szCs w:val="22"/>
        </w:rPr>
        <w:t xml:space="preserve">7.1  Ongoing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Assumption</w:t>
            </w:r>
          </w:p>
        </w:tc>
      </w:tr>
      <w:tr>
        <w:tc>
          <w:tcPr>
            <w:tcW w:type="dxa" w:w="93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NetSuite sandbox credentials remain valid and accessible through September 2026.</w:t>
            </w:r>
          </w:p>
        </w:tc>
      </w:tr>
      <w:tr>
        <w:tc>
          <w:tcPr>
            <w:tcW w:type="dxa" w:w="93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Bluedrop admin (Brad) installs and maintains the Celigo On-Premise Agent (OPA) on a dedicated, stable VM through project completion.</w:t>
            </w:r>
          </w:p>
        </w:tc>
      </w:tr>
      <w:tr>
        <w:tc>
          <w:tcPr>
            <w:tcW w:type="dxa" w:w="93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Employee group routing criteria for Flow 4 were confirmed prior to the Week 3 build — this assumption is now retired; Flow 4 is complete.</w:t>
            </w:r>
          </w:p>
        </w:tc>
      </w:tr>
      <w:tr>
        <w:tc>
          <w:tcPr>
            <w:tcW w:type="dxa" w:w="93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All admin prework in Section 5 (custom fields, JQL queries, Jira issue types, status values) is delivered by Bluedrop before September 7.</w:t>
            </w:r>
          </w:p>
        </w:tc>
      </w:tr>
      <w:tr>
        <w:tc>
          <w:tcPr>
            <w:tcW w:type="dxa" w:w="93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Celigo's native error queue satisfies Section 6 logging requirements. No external audit log is in scope.</w:t>
            </w:r>
          </w:p>
        </w:tc>
      </w:tr>
      <w:tr>
        <w:tc>
          <w:tcPr>
            <w:tcW w:type="dxa" w:w="93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Scope is strictly limited to requirements JNS-01 through JNS-08 and DNS-01 through DNS-03 as defined in the SOW.</w:t>
            </w:r>
          </w:p>
        </w:tc>
      </w:tr>
      <w:tr>
        <w:tc>
          <w:tcPr>
            <w:tcW w:type="dxa" w:w="93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The NetSuite saved search for Flow 5 (Section 4, Item 1) is provided by Bluedrop's NetSuite admin before Flow 5 acceptance testing.</w:t>
            </w:r>
          </w:p>
        </w:tc>
      </w:tr>
      <w:tr>
        <w:tc>
          <w:tcPr>
            <w:tcW w:type="dxa" w:w="93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Dayforce sandbox licensing remains available if Dayforce flows require re-testing during UAT (Flows 3 &amp; 4 are complete; re-test is unlikely).</w:t>
            </w:r>
          </w:p>
        </w:tc>
      </w:tr>
    </w:tbl>
    <w:p>
      <w:pPr>
        <w:spacing w:after="160"/>
      </w:pPr>
      <w:r>
        <w:rPr>
          <w:rFonts w:ascii="Calibri" w:cs="Calibri" w:eastAsia="Calibri" w:hAnsi="Calibri"/>
          <w:sz w:val="18"/>
          <w:szCs w:val="18"/>
        </w:rPr>
        <w:t xml:space="preserve"/>
      </w:r>
    </w:p>
    <w:p>
      <w:pPr>
        <w:spacing w:after="120" w:before="240"/>
      </w:pPr>
      <w:r>
        <w:rPr>
          <w:rFonts w:ascii="Calibri" w:cs="Calibri" w:eastAsia="Calibri" w:hAnsi="Calibri"/>
          <w:b/>
          <w:bCs/>
          <w:color w:val="2F5496"/>
          <w:sz w:val="22"/>
          <w:szCs w:val="22"/>
        </w:rPr>
        <w:t xml:space="preserve">7.2  Active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Risk</w:t>
            </w:r>
          </w:p>
        </w:tc>
        <w:tc>
          <w:tcPr>
            <w:tcW w:type="dxa" w:w="9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Likelihood</w:t>
            </w:r>
          </w:p>
        </w:tc>
        <w:tc>
          <w:tcPr>
            <w:tcW w:type="dxa" w:w="9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Impact</w:t>
            </w:r>
          </w:p>
        </w:tc>
        <w:tc>
          <w:tcPr>
            <w:tcW w:type="dxa" w:w="516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Mitigation</w:t>
            </w:r>
          </w:p>
        </w:tc>
      </w:tr>
      <w:tr>
        <w:tc>
          <w:tcPr>
            <w:tcW w:type="dxa" w:w="24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Admin prework (Section 5) not complete before Sep 7</w:t>
            </w:r>
          </w:p>
        </w:tc>
        <w:tc>
          <w:tcPr>
            <w:tcW w:type="dxa" w:w="9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color w:val="C00000"/>
                <w:sz w:val="18"/>
                <w:szCs w:val="18"/>
              </w:rPr>
              <w:t xml:space="preserve">High</w:t>
            </w:r>
          </w:p>
        </w:tc>
        <w:tc>
          <w:tcPr>
            <w:tcW w:type="dxa" w:w="9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color w:val="C00000"/>
                <w:sz w:val="18"/>
                <w:szCs w:val="18"/>
              </w:rPr>
              <w:t xml:space="preserve">High</w:t>
            </w:r>
          </w:p>
        </w:tc>
        <w:tc>
          <w:tcPr>
            <w:tcW w:type="dxa" w:w="51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Contractor cannot begin Flows 1 &amp; 2 without custom fields, JQL queries, and mapping values. Treat the Section 5 checklist as a hard gate. Gaps should be identified by September 3 to allow resolution time.</w:t>
            </w:r>
          </w:p>
        </w:tc>
      </w:tr>
      <w:tr>
        <w:tc>
          <w:tcPr>
            <w:tcW w:type="dxa" w:w="24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NetSuite saved search for Flow 5 not provided before Sep 6</w:t>
            </w:r>
          </w:p>
        </w:tc>
        <w:tc>
          <w:tcPr>
            <w:tcW w:type="dxa" w:w="9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color w:val="B85C00"/>
                <w:sz w:val="18"/>
                <w:szCs w:val="18"/>
              </w:rPr>
              <w:t xml:space="preserve">Medium</w:t>
            </w:r>
          </w:p>
        </w:tc>
        <w:tc>
          <w:tcPr>
            <w:tcW w:type="dxa" w:w="9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color w:val="B85C00"/>
                <w:sz w:val="18"/>
                <w:szCs w:val="18"/>
              </w:rPr>
              <w:t xml:space="preserve">Medium</w:t>
            </w:r>
          </w:p>
        </w:tc>
        <w:tc>
          <w:tcPr>
            <w:tcW w:type="dxa" w:w="51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Flow 5 can be built but not accepted without the saved search ID. If acceptance slips past Sep 6, it delays the Flows 1 &amp; 2 start. Brad should prioritize this before end of week September 5.</w:t>
            </w:r>
          </w:p>
        </w:tc>
      </w:tr>
      <w:tr>
        <w:tc>
          <w:tcPr>
            <w:tcW w:type="dxa" w:w="24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OPA instability resurfaces during Flows 1 &amp; 2 build</w:t>
            </w:r>
          </w:p>
        </w:tc>
        <w:tc>
          <w:tcPr>
            <w:tcW w:type="dxa" w:w="9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color w:val="1E6B1E"/>
                <w:sz w:val="18"/>
                <w:szCs w:val="18"/>
              </w:rPr>
              <w:t xml:space="preserve">Low</w:t>
            </w:r>
          </w:p>
        </w:tc>
        <w:tc>
          <w:tcPr>
            <w:tcW w:type="dxa" w:w="9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color w:val="C00000"/>
                <w:sz w:val="18"/>
                <w:szCs w:val="18"/>
              </w:rPr>
              <w:t xml:space="preserve">High</w:t>
            </w:r>
          </w:p>
        </w:tc>
        <w:tc>
          <w:tcPr>
            <w:tcW w:type="dxa" w:w="51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OPA confirmed stable during Flow 5. Monitor agent heartbeat at start of each day during Sep 7–12. Any offline event escalated to Bluedrop IT immediately.</w:t>
            </w:r>
          </w:p>
        </w:tc>
      </w:tr>
      <w:tr>
        <w:tc>
          <w:tcPr>
            <w:tcW w:type="dxa" w:w="24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SuiteScript deployment rights not granted to contractor</w:t>
            </w:r>
          </w:p>
        </w:tc>
        <w:tc>
          <w:tcPr>
            <w:tcW w:type="dxa" w:w="9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color w:val="B85C00"/>
                <w:sz w:val="18"/>
                <w:szCs w:val="18"/>
              </w:rPr>
              <w:t xml:space="preserve">Medium</w:t>
            </w:r>
          </w:p>
        </w:tc>
        <w:tc>
          <w:tcPr>
            <w:tcW w:type="dxa" w:w="9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color w:val="C00000"/>
                <w:sz w:val="18"/>
                <w:szCs w:val="18"/>
              </w:rPr>
              <w:t xml:space="preserve">High</w:t>
            </w:r>
          </w:p>
        </w:tc>
        <w:tc>
          <w:tcPr>
            <w:tcW w:type="dxa" w:w="51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Contractor cannot deploy the loop-suppression preSavePage hook without NS admin rights. Brad must either grant rights or commit to deploying scripts on request during Flow 1 build week. This hook is not optional — without it, bidirectional sync will loop.</w:t>
            </w:r>
          </w:p>
        </w:tc>
      </w:tr>
      <w:tr>
        <w:tc>
          <w:tcPr>
            <w:tcW w:type="dxa" w:w="24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Bidirectional loop between Flows 1 &amp; 2 if suppression logic fails</w:t>
            </w:r>
          </w:p>
        </w:tc>
        <w:tc>
          <w:tcPr>
            <w:tcW w:type="dxa" w:w="9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color w:val="1E6B1E"/>
                <w:sz w:val="18"/>
                <w:szCs w:val="18"/>
              </w:rPr>
              <w:t xml:space="preserve">Low</w:t>
            </w:r>
          </w:p>
        </w:tc>
        <w:tc>
          <w:tcPr>
            <w:tcW w:type="dxa" w:w="9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color w:val="C00000"/>
                <w:sz w:val="18"/>
                <w:szCs w:val="18"/>
              </w:rPr>
              <w:t xml:space="preserve">Critical</w:t>
            </w:r>
          </w:p>
        </w:tc>
        <w:tc>
          <w:tcPr>
            <w:tcW w:type="dxa" w:w="51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preSavePage hook is a hard prerequisite before go-live. Loop testing (simultaneous trigger in both systems) is a mandatory acceptance criterion in Week 5. Do not approve production go-live until this test passes.</w:t>
            </w:r>
          </w:p>
        </w:tc>
      </w:tr>
      <w:tr>
        <w:tc>
          <w:tcPr>
            <w:tcW w:type="dxa" w:w="24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Flows 1 &amp; 2 compressed into one week</w:t>
            </w:r>
          </w:p>
        </w:tc>
        <w:tc>
          <w:tcPr>
            <w:tcW w:type="dxa" w:w="9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color w:val="C00000"/>
                <w:sz w:val="18"/>
                <w:szCs w:val="18"/>
              </w:rPr>
              <w:t xml:space="preserve">High</w:t>
            </w:r>
          </w:p>
        </w:tc>
        <w:tc>
          <w:tcPr>
            <w:tcW w:type="dxa" w:w="9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color w:val="B85C00"/>
                <w:sz w:val="18"/>
                <w:szCs w:val="18"/>
              </w:rPr>
              <w:t xml:space="preserve">Medium</w:t>
            </w:r>
          </w:p>
        </w:tc>
        <w:tc>
          <w:tcPr>
            <w:tcW w:type="dxa" w:w="51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Original plan allocated two separate weeks. Compressing both into Sep 7–12 is aggressive given interdependency and bidirectional collision complexity. If admin prework gaps are discovered early in the week, escalate immediately. Consider daily contractor check-ins this week.</w:t>
            </w:r>
          </w:p>
        </w:tc>
      </w:tr>
    </w:tbl>
    <w:p>
      <w:pPr>
        <w:spacing w:after="160"/>
      </w:pPr>
      <w:r>
        <w:rPr>
          <w:rFonts w:ascii="Calibri" w:cs="Calibri" w:eastAsia="Calibri" w:hAnsi="Calibri"/>
          <w:sz w:val="18"/>
          <w:szCs w:val="18"/>
        </w:rPr>
        <w:t xml:space="preserve"/>
      </w:r>
    </w:p>
    <w:p>
      <w:pPr>
        <w:spacing w:after="120" w:before="240"/>
      </w:pPr>
      <w:r>
        <w:rPr>
          <w:rFonts w:ascii="Calibri" w:cs="Calibri" w:eastAsia="Calibri" w:hAnsi="Calibri"/>
          <w:b/>
          <w:bCs/>
          <w:color w:val="2F5496"/>
          <w:sz w:val="22"/>
          <w:szCs w:val="22"/>
        </w:rPr>
        <w:t xml:space="preserve">7.3  SOW Risk Analysis — Issues with the Statement of Work as Written</w:t>
      </w:r>
    </w:p>
    <w:p>
      <w:pPr>
        <w:spacing w:after="160"/>
      </w:pPr>
      <w:r>
        <w:rPr>
          <w:rFonts w:ascii="Calibri" w:cs="Calibri" w:eastAsia="Calibri" w:hAnsi="Calibri"/>
          <w:sz w:val="18"/>
          <w:szCs w:val="18"/>
        </w:rPr>
        <w:t xml:space="preserve">The following issues were identified in the SOW that could create disputes, delays, or cost overruns. These are flagged for awareness before final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5800"/>
      </w:tblGrid>
      <w:tr>
        <w:tc>
          <w:tcPr>
            <w:tcW w:type="dxa" w:w="36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w:t>
            </w:r>
          </w:p>
        </w:tc>
        <w:tc>
          <w:tcPr>
            <w:tcW w:type="dxa" w:w="32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Issue / Risk</w:t>
            </w:r>
          </w:p>
        </w:tc>
        <w:tc>
          <w:tcPr>
            <w:tcW w:type="dxa" w:w="5800"/>
            <w:tcBorders>
              <w:top w:val="single" w:color="2F5496" w:sz="4"/>
              <w:left w:val="single" w:color="2F5496" w:sz="4"/>
              <w:bottom w:val="single" w:color="2F5496" w:sz="4"/>
              <w:right w:val="single" w:color="2F5496" w:sz="4"/>
            </w:tcBorders>
            <w:shd w:fill="2F5496" w:color="auto" w:val="clear"/>
          </w:tcPr>
          <w:p>
            <w:pPr>
              <w:spacing w:after="60" w:before="60"/>
            </w:pPr>
            <w:r>
              <w:rPr>
                <w:rFonts w:ascii="Calibri" w:cs="Calibri" w:eastAsia="Calibri" w:hAnsi="Calibri"/>
                <w:b/>
                <w:bCs/>
                <w:color w:val="FFFFFF"/>
                <w:sz w:val="18"/>
                <w:szCs w:val="18"/>
              </w:rPr>
              <w:t xml:space="preserve">Detail &amp; Recommendation</w:t>
            </w:r>
          </w:p>
        </w:tc>
      </w:tr>
      <w:tr>
        <w:tc>
          <w:tcPr>
            <w:tcW w:type="dxa" w:w="3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1</w:t>
            </w:r>
          </w:p>
        </w:tc>
        <w:tc>
          <w:tcPr>
            <w:tcW w:type="dxa" w:w="3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No change-order mechanism defined</w:t>
            </w:r>
          </w:p>
        </w:tc>
        <w:tc>
          <w:tcPr>
            <w:tcW w:type="dxa" w:w="58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The SOW is fixed at 80 hours with no defined process for scope additions, requirement changes, or additional flows. If Bluedrop requests anything beyond the requirements as written, there is no agreed mechanism to handle it — no change approval process, no defined rate for additional work, and no written acknowledgment that the fixed budget is exhausted. Recommendation: Define a change-order clause before final delivery — who approves changes, what the billing rate is for out-of-scope work, and what constitutes a signed change order.</w:t>
            </w:r>
          </w:p>
        </w:tc>
      </w:tr>
      <w:tr>
        <w:tc>
          <w:tcPr>
            <w:tcW w:type="dxa" w:w="3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2</w:t>
            </w:r>
          </w:p>
        </w:tc>
        <w:tc>
          <w:tcPr>
            <w:tcW w:type="dxa" w:w="3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"All projects desired to sync" is undefined</w:t>
            </w:r>
          </w:p>
        </w:tc>
        <w:tc>
          <w:tcPr>
            <w:tcW w:type="dxa" w:w="58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Flow 5 and the Jira-side flows imply syncing NetSuite Projects to Jira, but neither the SOW nor the requirements explicitly define which projects are in scope. Without a saved search, an explicit list, or written criteria, there is no contractual basis for determining the sync population. If Bluedrop later disputes which projects were or were not included, the undefined scope makes this indefensible for either party. Recommendation: The saved search (Section 4, Item 1) becomes the contractual scope boundary for project sync. Both parties should sign off on the saved search criteria before Flow 5 acceptance.</w:t>
            </w:r>
          </w:p>
        </w:tc>
      </w:tr>
      <w:tr>
        <w:tc>
          <w:tcPr>
            <w:tcW w:type="dxa" w:w="3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3</w:t>
            </w:r>
          </w:p>
        </w:tc>
        <w:tc>
          <w:tcPr>
            <w:tcW w:type="dxa" w:w="3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Azure deployment requirement is ambiguous (§6 Non-Functional Requirements)</w:t>
            </w:r>
          </w:p>
        </w:tc>
        <w:tc>
          <w:tcPr>
            <w:tcW w:type="dxa" w:w="58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The requirements state: 'The API solutions should be deployable within Microsoft Azure cloud environment.' Celigo is a SaaS iPaaS platform — it is not deployed within Azure. Three possible interpretations: (a) the OPA VM runs on an Azure-hosted VM (achievable and already assumed), (b) the integration must use Azure Integration Services (a fundamentally different platform and not what was quoted), or (c) the clause is aspirational/non-binding. Recommendation: Get written clarification from Bluedrop on which interpretation applies before UAT begins. If interpretation (b) is intended, this is a scope change requiring a change order.</w:t>
            </w:r>
          </w:p>
        </w:tc>
      </w:tr>
      <w:tr>
        <w:tc>
          <w:tcPr>
            <w:tcW w:type="dxa" w:w="3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4</w:t>
            </w:r>
          </w:p>
        </w:tc>
        <w:tc>
          <w:tcPr>
            <w:tcW w:type="dxa" w:w="3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OPA maintenance responsibility not contractually assigned post-handover</w:t>
            </w:r>
          </w:p>
        </w:tc>
        <w:tc>
          <w:tcPr>
            <w:tcW w:type="dxa" w:w="58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The SOW states OPA installation as an assumption, not a contractual obligation, and says nothing about post-handover maintenance. If the OPA goes down after delivery, Flows 5, 1, and 2 all stop working. There is no defined SLA, support responsibility, or escalation path for OPA incidents after the project closes. Recommendation: Add a handover clause explicitly assigning OPA maintenance to Bluedrop IT, with a defined escalation path and a contact if OPA issues turn out to be Celigo-configuration-related rather than infrastructure.</w:t>
            </w:r>
          </w:p>
        </w:tc>
      </w:tr>
      <w:tr>
        <w:tc>
          <w:tcPr>
            <w:tcW w:type="dxa" w:w="3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5</w:t>
            </w:r>
          </w:p>
        </w:tc>
        <w:tc>
          <w:tcPr>
            <w:tcW w:type="dxa" w:w="3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No acceptance authority named in the SOW</w:t>
            </w:r>
          </w:p>
        </w:tc>
        <w:tc>
          <w:tcPr>
            <w:tcW w:type="dxa" w:w="58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The SOW references client sign-off but does not name who at Bluedrop has authority to accept deliverables. This creates a risk of contested acceptance — if the wrong stakeholder signs off, it may not be binding, or the actual decision-maker may request changes after delivery is formally accepted. Recommendation: Name the Bluedrop acceptance authority by name and title before UAT begins, and confirm in writing that their sign-off constitutes contractual acceptance.</w:t>
            </w:r>
          </w:p>
        </w:tc>
      </w:tr>
      <w:tr>
        <w:tc>
          <w:tcPr>
            <w:tcW w:type="dxa" w:w="3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6</w:t>
            </w:r>
          </w:p>
        </w:tc>
        <w:tc>
          <w:tcPr>
            <w:tcW w:type="dxa" w:w="3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SuiteScript deployment rights not addressed</w:t>
            </w:r>
          </w:p>
        </w:tc>
        <w:tc>
          <w:tcPr>
            <w:tcW w:type="dxa" w:w="58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The loop-suppression preSavePage hook is a NetSuite SuiteScript that must be deployed to the Task record. The SOW does not address who deploys custom scripts, what permissions the contractor holds in the NetSuite environment, or what the approval process is for deploying custom scripts. If the contractor lacks deployment rights, every script iteration during build requires Brad's availability and creates a bottleneck that directly impacts the one-week Flow 1 &amp; 2 window. Recommendation: Confirm before September 7 whether the contractor has SuiteScript deployment rights or whether Brad deploys on request, and document this decision in the Section 5.1 admin prework sign-off.</w:t>
            </w:r>
          </w:p>
        </w:tc>
      </w:tr>
      <w:tr>
        <w:tc>
          <w:tcPr>
            <w:tcW w:type="dxa" w:w="3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7</w:t>
            </w:r>
          </w:p>
        </w:tc>
        <w:tc>
          <w:tcPr>
            <w:tcW w:type="dxa" w:w="3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Data residency: Celigo cloud data path vs. Canadian server requirement</w:t>
            </w:r>
          </w:p>
        </w:tc>
        <w:tc>
          <w:tcPr>
            <w:tcW w:type="dxa" w:w="58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The SOW states Jira DC is 'hosted on Canadian servers.' Celigo as a cloud platform orchestrates data flows through its own cloud infrastructure (US-based data centers) before writing to target systems — the OPA relays individual API calls, but integration logic and data transformation occur in Celigo's cloud. If Canadian data residency is a compliance requirement (PIPEDA, federal contract terms, or other), data flowing through Celigo's US infrastructure in transit may require legal review. Recommendation: Confirm with Bluedrop's compliance team whether in-transit data processed by Celigo constitutes a residency concern. If it does, this may require a Celigo tenant provisioned in a Canadian or EU region — a commercial change.</w:t>
            </w:r>
          </w:p>
        </w:tc>
      </w:tr>
      <w:tr>
        <w:tc>
          <w:tcPr>
            <w:tcW w:type="dxa" w:w="3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8</w:t>
            </w:r>
          </w:p>
        </w:tc>
        <w:tc>
          <w:tcPr>
            <w:tcW w:type="dxa" w:w="3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No post-handover support period or break-glass procedure</w:t>
            </w:r>
          </w:p>
        </w:tc>
        <w:tc>
          <w:tcPr>
            <w:tcW w:type="dxa" w:w="58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The SOW has no provision for what happens if a flow malfunctions in production after handover. There is no defined support window, no break-glass contact, and no rollback procedure for production incidents. This creates risk for both parties: Bluedrop has no remedy if something breaks, and the contractor has no defined scope (or compensation) for post-delivery support. Recommendation: Define a post-handover support window (minimum two to four weeks) and a break-glass procedure for production incidents before go-live. At minimum: how to disable all flows in Celigo quickly, and who is responsible for data remediation if bad records are created.</w:t>
            </w:r>
          </w:p>
        </w:tc>
      </w:tr>
      <w:tr>
        <w:tc>
          <w:tcPr>
            <w:tcW w:type="dxa" w:w="36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9</w:t>
            </w:r>
          </w:p>
        </w:tc>
        <w:tc>
          <w:tcPr>
            <w:tcW w:type="dxa" w:w="32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b/>
                <w:bCs/>
                <w:sz w:val="18"/>
                <w:szCs w:val="18"/>
              </w:rPr>
              <w:t xml:space="preserve">No production rollback plan</w:t>
            </w:r>
          </w:p>
        </w:tc>
        <w:tc>
          <w:tcPr>
            <w:tcW w:type="dxa" w:w="5800"/>
            <w:tcBorders>
              <w:top w:val="single" w:color="BFBFBF" w:sz="4"/>
              <w:left w:val="single" w:color="BFBFBF" w:sz="4"/>
              <w:bottom w:val="single" w:color="BFBFBF" w:sz="4"/>
              <w:right w:val="single" w:color="BFBFBF" w:sz="4"/>
            </w:tcBorders>
            <w:shd w:fill="FFFFFF" w:color="auto" w:val="clear"/>
          </w:tcPr>
          <w:p>
            <w:pPr>
              <w:spacing w:after="60" w:before="60"/>
            </w:pPr>
            <w:r>
              <w:rPr>
                <w:rFonts w:ascii="Calibri" w:cs="Calibri" w:eastAsia="Calibri" w:hAnsi="Calibri"/>
                <w:sz w:val="18"/>
                <w:szCs w:val="18"/>
              </w:rPr>
              <w:t xml:space="preserve">The delivery plan includes a go/no-go decision but no rollback plan if the production deployment fails or flows create data issues. NetSuite and Jira records written by a faulty flow may be difficult to undo at scale, particularly if the bidirectional sync creates duplicate tasks before the loop-suppression is confirmed working. Recommendation: Define a production rollback procedure and identify who owns data remediation before go-live is approved.</w:t>
            </w:r>
          </w:p>
        </w:tc>
      </w:tr>
      <w:tr>
        <w:tc>
          <w:tcPr>
            <w:tcW w:type="dxa" w:w="36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10</w:t>
            </w:r>
          </w:p>
        </w:tc>
        <w:tc>
          <w:tcPr>
            <w:tcW w:type="dxa" w:w="32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b/>
                <w:bCs/>
                <w:sz w:val="18"/>
                <w:szCs w:val="18"/>
              </w:rPr>
              <w:t xml:space="preserve">Flows 1 &amp; 2 compressed into one week may exhaust remaining hour budget</w:t>
            </w:r>
          </w:p>
        </w:tc>
        <w:tc>
          <w:tcPr>
            <w:tcW w:type="dxa" w:w="5800"/>
            <w:tcBorders>
              <w:top w:val="single" w:color="BFBFBF" w:sz="4"/>
              <w:left w:val="single" w:color="BFBFBF" w:sz="4"/>
              <w:bottom w:val="single" w:color="BFBFBF" w:sz="4"/>
              <w:right w:val="single" w:color="BFBFBF" w:sz="4"/>
            </w:tcBorders>
            <w:shd w:fill="F2F2F2" w:color="auto" w:val="clear"/>
          </w:tcPr>
          <w:p>
            <w:pPr>
              <w:spacing w:after="60" w:before="60"/>
            </w:pPr>
            <w:r>
              <w:rPr>
                <w:rFonts w:ascii="Calibri" w:cs="Calibri" w:eastAsia="Calibri" w:hAnsi="Calibri"/>
                <w:sz w:val="18"/>
                <w:szCs w:val="18"/>
              </w:rPr>
              <w:t xml:space="preserve">The original plan allocated two separate weeks for Flows 1 and 2 (approximately 12–14 hours each). Compressing both into Sep 7–12, combined with the bidirectional collision-suppression complexity, the preSavePage hook, and per-project JQL configuration, creates a high risk of exceeding the remaining hour allocation. Any rework from unclear requirements or late admin inputs directly reduces UAT and handover time. Recommendation: Track hours actively during Sep 7–12. If Flow 1 alone consumes more than 60% of the week by mid-Wednesday, surface a budget concern immediately. A documented scope decision at that point is better than a rushed UAT.</w:t>
            </w:r>
          </w:p>
        </w:tc>
      </w:tr>
    </w:tbl>
    <w:p>
      <w:pPr>
        <w:spacing w:after="400"/>
      </w:pPr>
      <w:r>
        <w:rPr>
          <w:rFonts w:ascii="Calibri" w:cs="Calibri" w:eastAsia="Calibri" w:hAnsi="Calibri"/>
          <w:sz w:val="18"/>
          <w:szCs w:val="18"/>
        </w:rPr>
        <w:t xml:space="preserve"/>
      </w:r>
    </w:p>
    <w:p>
      <w:pPr>
        <w:pBdr>
          <w:top w:val="single" w:color="BFBFBF" w:sz="4"/>
        </w:pBdr>
        <w:spacing w:before="200"/>
        <w:jc w:val="center"/>
      </w:pPr>
      <w:r>
        <w:rPr>
          <w:rFonts w:ascii="Calibri" w:cs="Calibri" w:eastAsia="Calibri" w:hAnsi="Calibri"/>
          <w:i/>
          <w:iCs/>
          <w:color w:val="777777"/>
          <w:sz w:val="18"/>
          <w:szCs w:val="18"/>
        </w:rPr>
        <w:t xml:space="preserve">— End of Delivery Plan —   </w:t>
      </w:r>
      <w:r>
        <w:rPr>
          <w:rFonts w:ascii="Calibri" w:cs="Calibri" w:eastAsia="Calibri" w:hAnsi="Calibri"/>
          <w:color w:val="777777"/>
          <w:sz w:val="18"/>
          <w:szCs w:val="18"/>
        </w:rPr>
        <w:t xml:space="preserve">Version 3.0  ·  Updated August 30, 2026  ·  Based on SOW v03252025  ·  Buma Technology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2026-08-30T14:50:52.862Z</dcterms:created>
  <dcterms:modified xsi:type="dcterms:W3CDTF">2026-08-30T14:50:52.862Z</dcterms:modified>
</cp:coreProperties>
</file>

<file path=docProps/custom.xml><?xml version="1.0" encoding="utf-8"?>
<Properties xmlns="http://schemas.openxmlformats.org/officeDocument/2006/custom-properties" xmlns:vt="http://schemas.openxmlformats.org/officeDocument/2006/docPropsVTypes"/>
</file>