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864"/>
          <w:sz w:val="40"/>
          <w:szCs w:val="40"/>
        </w:rPr>
        <w:t xml:space="preserve">Bluedrop TAFW Hybrid Architecture Review</w:t>
      </w:r>
    </w:p>
    <w:p>
      <w:pPr>
        <w:spacing w:after="60"/>
      </w:pPr>
      <w:r>
        <w:rPr>
          <w:i/>
          <w:iCs/>
          <w:color w:val="595959"/>
          <w:sz w:val="26"/>
          <w:szCs w:val="26"/>
        </w:rPr>
        <w:t xml:space="preserve">Meeting Talking Points and Design Summary</w:t>
      </w:r>
    </w:p>
    <w:p>
      <w:pPr>
        <w:spacing w:after="300"/>
      </w:pPr>
      <w:r>
        <w:rPr>
          <w:color w:val="595959"/>
          <w:sz w:val="20"/>
          <w:szCs w:val="20"/>
        </w:rPr>
        <w:t xml:space="preserve">Prepared by Mike, Buma Technology  |  Mavenlink Replacement Program  |  SOW v03252025</w:t>
      </w:r>
    </w:p>
    <w:p>
      <w:pPr>
        <w:pStyle w:val="Heading1"/>
        <w:spacing w:after="120" w:before="300"/>
      </w:pPr>
      <w:r>
        <w:t xml:space="preserve">Purpose of This Meeting</w:t>
      </w:r>
    </w:p>
    <w:p>
      <w:pPr>
        <w:spacing w:after="160"/>
      </w:pPr>
      <w:r>
        <w:t xml:space="preserve">This session walks the Bluedrop team through the proposed hybrid architecture for syncing Time Away From Work (TAFW) data from Dayforce into NetSuite. Each section below covers one design decision: a plain-language summary first, followed by talking points to guide the discussion and questions we should expect.</w:t>
      </w:r>
    </w:p>
    <w:p>
      <w:pPr>
        <w:pStyle w:val="Heading1"/>
        <w:spacing w:after="120" w:before="300"/>
      </w:pPr>
      <w:r>
        <w:t xml:space="preserve">1. Why We're Proposing a Change</w:t>
      </w:r>
    </w:p>
    <w:p>
      <w:pPr>
        <w:shd w:fill="F2F2F2" w:val="clear"/>
        <w:spacing w:after="120"/>
      </w:pPr>
      <w:r>
        <w:rPr>
          <w:i/>
          <w:iCs/>
          <w:color w:val="595959"/>
        </w:rPr>
        <w:t xml:space="preserve">Bluedrop confirmed that the Dayforce Report Writer approach cannot fully meet requirements, so the integration needs to pull TAFW data directly from the Dayforce API instead. This is the trigger for everything that follows.</w:t>
      </w:r>
    </w:p>
    <w:p>
      <w:pPr>
        <w:spacing w:after="60" w:before="200"/>
      </w:pPr>
      <w:r>
        <w:rPr>
          <w:b/>
          <w:bCs/>
          <w:color w:val="1F3864"/>
          <w:sz w:val="22"/>
          <w:szCs w:val="22"/>
        </w:rPr>
        <w:t xml:space="preserve">Talking Points</w:t>
      </w:r>
    </w:p>
    <w:p>
      <w:pPr>
        <w:pStyle w:val="ListParagraph"/>
        <w:numPr>
          <w:ilvl w:val="0"/>
          <w:numId w:val="2"/>
        </w:numPr>
        <w:spacing w:after="80"/>
      </w:pPr>
      <w:r>
        <w:rPr>
          <w:b w:val="false"/>
          <w:bCs w:val="false"/>
        </w:rPr>
        <w:t xml:space="preserve">Confirm alignment: Bluedrop has determined the report-based approach has limitations we can't design around, so we are moving to the Dayforce API as the source of TAFW data.</w:t>
      </w:r>
    </w:p>
    <w:p>
      <w:pPr>
        <w:pStyle w:val="ListParagraph"/>
        <w:numPr>
          <w:ilvl w:val="0"/>
          <w:numId w:val="2"/>
        </w:numPr>
        <w:spacing w:after="80"/>
      </w:pPr>
      <w:r>
        <w:rPr>
          <w:b w:val="false"/>
          <w:bCs w:val="false"/>
        </w:rPr>
        <w:t xml:space="preserve">This is a architecture change, not a scope change to the underlying requirement. DNS-01, DNS-02, and DNS-03 (approved PTO sync, change propagation, and sync frequency) still apply, we are simply changing how we source the data that satisfies them.</w:t>
      </w:r>
    </w:p>
    <w:p>
      <w:pPr>
        <w:pStyle w:val="ListParagraph"/>
        <w:numPr>
          <w:ilvl w:val="0"/>
          <w:numId w:val="2"/>
        </w:numPr>
        <w:spacing w:after="80"/>
      </w:pPr>
      <w:r>
        <w:rPr>
          <w:b w:val="false"/>
          <w:bCs w:val="false"/>
        </w:rPr>
        <w:t xml:space="preserve">Frame the rest of the meeting: every design choice below exists to make the API-based approach reliable, controllable, and auditable.</w:t>
      </w:r>
    </w:p>
    <w:p>
      <w:pPr>
        <w:pStyle w:val="Heading1"/>
        <w:spacing w:after="120" w:before="300"/>
      </w:pPr>
      <w:r>
        <w:t xml:space="preserve">2. The Python Ingestion Service</w:t>
      </w:r>
    </w:p>
    <w:p>
      <w:pPr>
        <w:shd w:fill="F2F2F2" w:val="clear"/>
        <w:spacing w:after="120"/>
      </w:pPr>
      <w:r>
        <w:rPr>
          <w:i/>
          <w:iCs/>
          <w:color w:val="595959"/>
        </w:rPr>
        <w:t xml:space="preserve">A dedicated, lightweight service polls the Dayforce API on a schedule, paces its requests to stay within Dayforce's rate limits, and normalizes the results before anything reaches Celigo or NetSuite.</w:t>
      </w:r>
    </w:p>
    <w:p>
      <w:pPr>
        <w:spacing w:after="60" w:before="200"/>
      </w:pPr>
      <w:r>
        <w:rPr>
          <w:b/>
          <w:bCs/>
          <w:color w:val="1F3864"/>
          <w:sz w:val="22"/>
          <w:szCs w:val="22"/>
        </w:rPr>
        <w:t xml:space="preserve">Talking Points</w:t>
      </w:r>
    </w:p>
    <w:p>
      <w:pPr>
        <w:pStyle w:val="ListParagraph"/>
        <w:numPr>
          <w:ilvl w:val="0"/>
          <w:numId w:val="2"/>
        </w:numPr>
        <w:spacing w:after="80"/>
      </w:pPr>
      <w:r>
        <w:rPr>
          <w:b w:val="false"/>
          <w:bCs w:val="false"/>
        </w:rPr>
        <w:t xml:space="preserve">The Dayforce TAFW API requires a per-employee call with no bulk retrieval option, so a full sync touches many individual endpoints every cycle.</w:t>
      </w:r>
    </w:p>
    <w:p>
      <w:pPr>
        <w:pStyle w:val="ListParagraph"/>
        <w:numPr>
          <w:ilvl w:val="0"/>
          <w:numId w:val="2"/>
        </w:numPr>
        <w:spacing w:after="80"/>
      </w:pPr>
      <w:r>
        <w:rPr>
          <w:b w:val="false"/>
          <w:bCs w:val="false"/>
        </w:rPr>
        <w:t xml:space="preserve">A dedicated ingestion layer gives us precise control over request pacing and retry behavior, keeping total call volume predictable and comfortably within Dayforce's published limits (roughly 100 calls per minute).</w:t>
      </w:r>
    </w:p>
    <w:p>
      <w:pPr>
        <w:pStyle w:val="ListParagraph"/>
        <w:numPr>
          <w:ilvl w:val="0"/>
          <w:numId w:val="2"/>
        </w:numPr>
        <w:spacing w:after="80"/>
      </w:pPr>
      <w:r>
        <w:rPr>
          <w:b w:val="false"/>
          <w:bCs w:val="false"/>
        </w:rPr>
        <w:t xml:space="preserve">This service runs independently of Celigo, so the pacing logic isn't tied to how often or how many flows need the data.</w:t>
      </w:r>
    </w:p>
    <w:p>
      <w:pPr>
        <w:pStyle w:val="ListParagraph"/>
        <w:numPr>
          <w:ilvl w:val="0"/>
          <w:numId w:val="2"/>
        </w:numPr>
        <w:spacing w:after="80"/>
      </w:pPr>
      <w:r>
        <w:rPr>
          <w:b w:val="false"/>
          <w:bCs w:val="false"/>
        </w:rPr>
        <w:t xml:space="preserve">Expect a question on hosting: we recommend Azure Functions (serverless, pay only for execution time), covered in the cost estimate.</w:t>
      </w:r>
    </w:p>
    <w:p>
      <w:pPr>
        <w:pStyle w:val="Heading1"/>
        <w:spacing w:after="120" w:before="300"/>
      </w:pPr>
      <w:r>
        <w:t xml:space="preserve">3. Deterministic Hash-Based Record Identity</w:t>
      </w:r>
    </w:p>
    <w:p>
      <w:pPr>
        <w:shd w:fill="F2F2F2" w:val="clear"/>
        <w:spacing w:after="120"/>
      </w:pPr>
      <w:r>
        <w:rPr>
          <w:i/>
          <w:iCs/>
          <w:color w:val="595959"/>
        </w:rPr>
        <w:t xml:space="preserve">Every TAFW day-record gets a unique fingerprint built from the employee ID, PTO date, approval type, and hours requested. Comparing fingerprints tells us exactly what's new, changed, or cancelled.</w:t>
      </w:r>
    </w:p>
    <w:p>
      <w:pPr>
        <w:spacing w:after="60" w:before="200"/>
      </w:pPr>
      <w:r>
        <w:rPr>
          <w:b/>
          <w:bCs/>
          <w:color w:val="1F3864"/>
          <w:sz w:val="22"/>
          <w:szCs w:val="22"/>
        </w:rPr>
        <w:t xml:space="preserve">Talking Points</w:t>
      </w:r>
    </w:p>
    <w:p>
      <w:pPr>
        <w:pStyle w:val="ListParagraph"/>
        <w:numPr>
          <w:ilvl w:val="0"/>
          <w:numId w:val="2"/>
        </w:numPr>
        <w:spacing w:after="80"/>
      </w:pPr>
      <w:r>
        <w:rPr>
          <w:b w:val="false"/>
          <w:bCs w:val="false"/>
        </w:rPr>
        <w:t xml:space="preserve">The hash is built from four fields: EmployeeXRefCode, PTO date, approval/type code, and hours requested.</w:t>
      </w:r>
    </w:p>
    <w:p>
      <w:pPr>
        <w:pStyle w:val="ListParagraph"/>
        <w:numPr>
          <w:ilvl w:val="0"/>
          <w:numId w:val="2"/>
        </w:numPr>
        <w:spacing w:after="80"/>
      </w:pPr>
      <w:r>
        <w:rPr>
          <w:b w:val="false"/>
          <w:bCs w:val="false"/>
        </w:rPr>
        <w:t xml:space="preserve">If any of those four values changes, the hash changes, which is exactly the signal we want for detecting an update (e.g., hours or type changed for the same request).</w:t>
      </w:r>
    </w:p>
    <w:p>
      <w:pPr>
        <w:pStyle w:val="ListParagraph"/>
        <w:numPr>
          <w:ilvl w:val="0"/>
          <w:numId w:val="2"/>
        </w:numPr>
        <w:spacing w:after="80"/>
      </w:pPr>
      <w:r>
        <w:rPr>
          <w:b w:val="false"/>
          <w:bCs w:val="false"/>
        </w:rPr>
        <w:t xml:space="preserve">If a hash that existed on the last cycle no longer appears, that record was cancelled or denied and should be removed from NetSuite.</w:t>
      </w:r>
    </w:p>
    <w:p>
      <w:pPr>
        <w:pStyle w:val="ListParagraph"/>
        <w:numPr>
          <w:ilvl w:val="0"/>
          <w:numId w:val="2"/>
        </w:numPr>
        <w:spacing w:after="80"/>
      </w:pPr>
      <w:r>
        <w:rPr>
          <w:b w:val="false"/>
          <w:bCs w:val="false"/>
        </w:rPr>
        <w:t xml:space="preserve">This replaces a more fragile, two-report reconciliation approach with a single, deterministic comparison, which is easier to test, explain, and troubleshoot.</w:t>
      </w:r>
    </w:p>
    <w:p>
      <w:pPr>
        <w:pStyle w:val="Heading1"/>
        <w:spacing w:after="120" w:before="300"/>
      </w:pPr>
      <w:r>
        <w:t xml:space="preserve">4. The Staging Database</w:t>
      </w:r>
    </w:p>
    <w:p>
      <w:pPr>
        <w:shd w:fill="F2F2F2" w:val="clear"/>
        <w:spacing w:after="120"/>
      </w:pPr>
      <w:r>
        <w:rPr>
          <w:i/>
          <w:iCs/>
          <w:color w:val="595959"/>
        </w:rPr>
        <w:t xml:space="preserve">The ingestion service writes reconciled TAFW data into a small staging database, which becomes the single, trusted system of record that Celigo reads from. We recommend hosting it in the cloud rather than on-premise.</w:t>
      </w:r>
    </w:p>
    <w:p>
      <w:pPr>
        <w:spacing w:after="60" w:before="200"/>
      </w:pPr>
      <w:r>
        <w:rPr>
          <w:b/>
          <w:bCs/>
          <w:color w:val="1F3864"/>
          <w:sz w:val="22"/>
          <w:szCs w:val="22"/>
        </w:rPr>
        <w:t xml:space="preserve">Talking Points</w:t>
      </w:r>
    </w:p>
    <w:p>
      <w:pPr>
        <w:pStyle w:val="ListParagraph"/>
        <w:numPr>
          <w:ilvl w:val="0"/>
          <w:numId w:val="2"/>
        </w:numPr>
        <w:spacing w:after="80"/>
      </w:pPr>
      <w:r>
        <w:rPr>
          <w:b w:val="false"/>
          <w:bCs w:val="false"/>
        </w:rPr>
        <w:t xml:space="preserve">Database engine: PostgreSQL or SQL Server Express, both free (or effectively free at this scale), open, and well-supported, either would work equally well on-premise or in the cloud.</w:t>
      </w:r>
    </w:p>
    <w:p>
      <w:pPr>
        <w:pStyle w:val="ListParagraph"/>
        <w:numPr>
          <w:ilvl w:val="0"/>
          <w:numId w:val="2"/>
        </w:numPr>
        <w:spacing w:after="80"/>
      </w:pPr>
      <w:r>
        <w:rPr>
          <w:b w:val="false"/>
          <w:bCs w:val="false"/>
        </w:rPr>
        <w:t xml:space="preserve">Recommendation: host it in the cloud (Azure, to match Bluedrop's existing Azure footprint). This avoids installing and maintaining another On-Premise Agent purely to reach an on-premise database, the same overhead already required for the Jira Data Centre connection.</w:t>
      </w:r>
    </w:p>
    <w:p>
      <w:pPr>
        <w:pStyle w:val="ListParagraph"/>
        <w:numPr>
          <w:ilvl w:val="0"/>
          <w:numId w:val="2"/>
        </w:numPr>
        <w:spacing w:after="80"/>
      </w:pPr>
      <w:r>
        <w:rPr>
          <w:b w:val="false"/>
          <w:bCs w:val="false"/>
        </w:rPr>
        <w:t xml:space="preserve">This database becomes the one place where current, accurate TAFW state lives, rather than that state being split across raw API responses and whatever logic sits inside Celigo.</w:t>
      </w:r>
    </w:p>
    <w:p>
      <w:pPr>
        <w:pStyle w:val="ListParagraph"/>
        <w:numPr>
          <w:ilvl w:val="0"/>
          <w:numId w:val="2"/>
        </w:numPr>
        <w:spacing w:after="80"/>
      </w:pPr>
      <w:r>
        <w:rPr>
          <w:b w:val="false"/>
          <w:bCs w:val="false"/>
        </w:rPr>
        <w:t xml:space="preserve">Expect a question on data residency or security: be ready to confirm the database would sit in Bluedrop's own Azure subscription (or a subscription Bluedrop approves), not a third-party environment.</w:t>
      </w:r>
    </w:p>
    <w:p>
      <w:pPr>
        <w:pStyle w:val="Heading1"/>
        <w:spacing w:after="120" w:before="300"/>
      </w:pPr>
      <w:r>
        <w:t xml:space="preserve">5. Celigo's Role in the New Architecture</w:t>
      </w:r>
    </w:p>
    <w:p>
      <w:pPr>
        <w:shd w:fill="F2F2F2" w:val="clear"/>
        <w:spacing w:after="120"/>
      </w:pPr>
      <w:r>
        <w:rPr>
          <w:i/>
          <w:iCs/>
          <w:color w:val="595959"/>
        </w:rPr>
        <w:t xml:space="preserve">Celigo's job gets simpler, not smaller: it reads clean, pre-reconciled records from the staging database and handles the create, update, and delete operations into NetSuite. All the heavy comparison logic happens before Celigo ever sees the data.</w:t>
      </w:r>
    </w:p>
    <w:p>
      <w:pPr>
        <w:spacing w:after="60" w:before="200"/>
      </w:pPr>
      <w:r>
        <w:rPr>
          <w:b/>
          <w:bCs/>
          <w:color w:val="1F3864"/>
          <w:sz w:val="22"/>
          <w:szCs w:val="22"/>
        </w:rPr>
        <w:t xml:space="preserve">Talking Points</w:t>
      </w:r>
    </w:p>
    <w:p>
      <w:pPr>
        <w:pStyle w:val="ListParagraph"/>
        <w:numPr>
          <w:ilvl w:val="0"/>
          <w:numId w:val="2"/>
        </w:numPr>
        <w:spacing w:after="80"/>
      </w:pPr>
      <w:r>
        <w:rPr>
          <w:b w:val="false"/>
          <w:bCs w:val="false"/>
        </w:rPr>
        <w:t xml:space="preserve">Celigo remains the system that actually writes to NetSuite. Nothing about NetSuite's side of the integration changes.</w:t>
      </w:r>
    </w:p>
    <w:p>
      <w:pPr>
        <w:pStyle w:val="ListParagraph"/>
        <w:numPr>
          <w:ilvl w:val="0"/>
          <w:numId w:val="2"/>
        </w:numPr>
        <w:spacing w:after="80"/>
      </w:pPr>
      <w:r>
        <w:rPr>
          <w:b w:val="false"/>
          <w:bCs w:val="false"/>
        </w:rPr>
        <w:t xml:space="preserve">What changes is where the 'what needs to sync' decision gets made: in the staging database's hash comparison, not inside a Celigo transformation step.</w:t>
      </w:r>
    </w:p>
    <w:p>
      <w:pPr>
        <w:pStyle w:val="ListParagraph"/>
        <w:numPr>
          <w:ilvl w:val="0"/>
          <w:numId w:val="2"/>
        </w:numPr>
        <w:spacing w:after="80"/>
      </w:pPr>
      <w:r>
        <w:rPr>
          <w:b w:val="false"/>
          <w:bCs w:val="false"/>
        </w:rPr>
        <w:t xml:space="preserve">This keeps the Celigo flow itself simple and easy to troubleshoot, since it's reading a dataset that already reflects exactly what should exist in NetSuite.</w:t>
      </w:r>
    </w:p>
    <w:p>
      <w:pPr>
        <w:pStyle w:val="Heading1"/>
        <w:spacing w:after="120" w:before="300"/>
      </w:pPr>
      <w:r>
        <w:t xml:space="preserve">6. Added Benefit: Audit History and Reporting</w:t>
      </w:r>
    </w:p>
    <w:p>
      <w:pPr>
        <w:shd w:fill="F2F2F2" w:val="clear"/>
        <w:spacing w:after="120"/>
      </w:pPr>
      <w:r>
        <w:rPr>
          <w:i/>
          <w:iCs/>
          <w:color w:val="595959"/>
        </w:rPr>
        <w:t xml:space="preserve">Because the staging database keeps a full history of TAFW records over time, Bluedrop gets a byproduct benefit: a persistent, queryable audit trail that neither Dayforce nor NetSuite retains on its own.</w:t>
      </w:r>
    </w:p>
    <w:p>
      <w:pPr>
        <w:spacing w:after="60" w:before="200"/>
      </w:pPr>
      <w:r>
        <w:rPr>
          <w:b/>
          <w:bCs/>
          <w:color w:val="1F3864"/>
          <w:sz w:val="22"/>
          <w:szCs w:val="22"/>
        </w:rPr>
        <w:t xml:space="preserve">Talking Points</w:t>
      </w:r>
    </w:p>
    <w:p>
      <w:pPr>
        <w:pStyle w:val="ListParagraph"/>
        <w:numPr>
          <w:ilvl w:val="0"/>
          <w:numId w:val="2"/>
        </w:numPr>
        <w:spacing w:after="80"/>
      </w:pPr>
      <w:r>
        <w:rPr>
          <w:b w:val="false"/>
          <w:bCs w:val="false"/>
        </w:rPr>
        <w:t xml:space="preserve">This history is useful for compliance and troubleshooting ("what did this PTO request look like before it was changed").</w:t>
      </w:r>
    </w:p>
    <w:p>
      <w:pPr>
        <w:pStyle w:val="ListParagraph"/>
        <w:numPr>
          <w:ilvl w:val="0"/>
          <w:numId w:val="2"/>
        </w:numPr>
        <w:spacing w:after="80"/>
      </w:pPr>
      <w:r>
        <w:rPr>
          <w:b w:val="false"/>
          <w:bCs w:val="false"/>
        </w:rPr>
        <w:t xml:space="preserve">It's also a dataset Bluedrop could point Power BI at directly for PTO reporting, at no additional integration cost, since the data already exists in a structured database.</w:t>
      </w:r>
    </w:p>
    <w:p>
      <w:pPr>
        <w:pStyle w:val="Heading1"/>
        <w:spacing w:after="120" w:before="300"/>
      </w:pPr>
      <w:r>
        <w:t xml:space="preserve">7. Cost Summary</w:t>
      </w:r>
    </w:p>
    <w:p>
      <w:pPr>
        <w:shd w:fill="F2F2F2" w:val="clear"/>
        <w:spacing w:after="120"/>
      </w:pPr>
      <w:r>
        <w:rPr>
          <w:i/>
          <w:iCs/>
          <w:color w:val="595959"/>
        </w:rPr>
        <w:t xml:space="preserve">The proposed solution has a one-time build cost and a small recurring cloud hosting cost. Full detail is in the accompanying cost estimate workbook.</w:t>
      </w:r>
    </w:p>
    <w:p>
      <w:pPr>
        <w:spacing w:after="60" w:before="200"/>
      </w:pPr>
      <w:r>
        <w:rPr>
          <w:b/>
          <w:bCs/>
          <w:color w:val="1F3864"/>
          <w:sz w:val="22"/>
          <w:szCs w:val="22"/>
        </w:rPr>
        <w:t xml:space="preserve">Talking Points</w:t>
      </w:r>
    </w:p>
    <w:p>
      <w:pPr>
        <w:pStyle w:val="ListParagraph"/>
        <w:numPr>
          <w:ilvl w:val="0"/>
          <w:numId w:val="2"/>
        </w:numPr>
        <w:spacing w:after="80"/>
      </w:pPr>
      <w:r>
        <w:rPr>
          <w:b w:val="false"/>
          <w:bCs w:val="false"/>
        </w:rPr>
        <w:t xml:space="preserve">One-time build cost: approximately $4,800, treated as a change order against SOW v03252025 since this work sits outside the fixed 80-hour scope.</w:t>
      </w:r>
    </w:p>
    <w:p>
      <w:pPr>
        <w:pStyle w:val="ListParagraph"/>
        <w:numPr>
          <w:ilvl w:val="0"/>
          <w:numId w:val="2"/>
        </w:numPr>
        <w:spacing w:after="80"/>
      </w:pPr>
      <w:r>
        <w:rPr>
          <w:b w:val="false"/>
          <w:bCs w:val="false"/>
        </w:rPr>
        <w:t xml:space="preserve">Recurring cloud hosting: approximately $21 per month (about $252 per year) for the database, ingestion service compute, and monitoring.</w:t>
      </w:r>
    </w:p>
    <w:p>
      <w:pPr>
        <w:pStyle w:val="ListParagraph"/>
        <w:numPr>
          <w:ilvl w:val="0"/>
          <w:numId w:val="2"/>
        </w:numPr>
        <w:spacing w:after="80"/>
      </w:pPr>
      <w:r>
        <w:rPr>
          <w:b w:val="false"/>
          <w:bCs w:val="false"/>
        </w:rPr>
        <w:t xml:space="preserve">Year 1 total: approximately $5,052. From Year 2 onward, only the recurring cloud cost applies, roughly $252 per year, assuming no further build work.</w:t>
      </w:r>
    </w:p>
    <w:p>
      <w:pPr>
        <w:pStyle w:val="ListParagraph"/>
        <w:numPr>
          <w:ilvl w:val="0"/>
          <w:numId w:val="2"/>
        </w:numPr>
        <w:spacing w:after="80"/>
      </w:pPr>
      <w:r>
        <w:rPr>
          <w:b w:val="false"/>
          <w:bCs w:val="false"/>
        </w:rPr>
        <w:t xml:space="preserve">No change to Celigo licensing is required. The existing subscription and On-Premise Agent already in place for this engagement are used as-is.</w:t>
      </w:r>
    </w:p>
    <w:p>
      <w:pPr>
        <w:pStyle w:val="Heading1"/>
        <w:spacing w:after="120" w:before="300"/>
      </w:pPr>
      <w:r>
        <w:t xml:space="preserve">8. Decisions We Need From Bluedrop</w:t>
      </w:r>
    </w:p>
    <w:p>
      <w:pPr>
        <w:shd w:fill="F2F2F2" w:val="clear"/>
        <w:spacing w:after="120"/>
      </w:pPr>
      <w:r>
        <w:rPr>
          <w:i/>
          <w:iCs/>
          <w:color w:val="595959"/>
        </w:rPr>
        <w:t xml:space="preserve">A short list of confirmations that let us move from proposal to build.</w:t>
      </w:r>
    </w:p>
    <w:p>
      <w:pPr>
        <w:spacing w:after="60" w:before="200"/>
      </w:pPr>
      <w:r>
        <w:rPr>
          <w:b/>
          <w:bCs/>
          <w:color w:val="1F3864"/>
          <w:sz w:val="22"/>
          <w:szCs w:val="22"/>
        </w:rPr>
        <w:t xml:space="preserve">Talking Points</w:t>
      </w:r>
    </w:p>
    <w:p>
      <w:pPr>
        <w:pStyle w:val="ListParagraph"/>
        <w:numPr>
          <w:ilvl w:val="0"/>
          <w:numId w:val="2"/>
        </w:numPr>
        <w:spacing w:after="80"/>
      </w:pPr>
      <w:r>
        <w:rPr>
          <w:b w:val="false"/>
          <w:bCs w:val="false"/>
        </w:rPr>
        <w:t xml:space="preserve">Approval to proceed with the change order covering the ingestion service build (Section 7).</w:t>
      </w:r>
    </w:p>
    <w:p>
      <w:pPr>
        <w:pStyle w:val="ListParagraph"/>
        <w:numPr>
          <w:ilvl w:val="0"/>
          <w:numId w:val="2"/>
        </w:numPr>
        <w:spacing w:after="80"/>
      </w:pPr>
      <w:r>
        <w:rPr>
          <w:b w:val="false"/>
          <w:bCs w:val="false"/>
        </w:rPr>
        <w:t xml:space="preserve">Confirmation that cloud hosting (Azure) is acceptable for the staging database, versus an on-premise alternative.</w:t>
      </w:r>
    </w:p>
    <w:p>
      <w:pPr>
        <w:pStyle w:val="ListParagraph"/>
        <w:numPr>
          <w:ilvl w:val="0"/>
          <w:numId w:val="2"/>
        </w:numPr>
        <w:spacing w:after="80"/>
      </w:pPr>
      <w:r>
        <w:rPr>
          <w:b w:val="false"/>
          <w:bCs w:val="false"/>
        </w:rPr>
        <w:t xml:space="preserve">Which Azure subscription the database and ingestion service should live in, Bluedrop's existing subscription or one Buma provisions on Bluedrop's behalf.</w:t>
      </w:r>
    </w:p>
    <w:p>
      <w:pPr>
        <w:pStyle w:val="ListParagraph"/>
        <w:numPr>
          <w:ilvl w:val="0"/>
          <w:numId w:val="2"/>
        </w:numPr>
        <w:spacing w:after="80"/>
      </w:pPr>
      <w:r>
        <w:rPr>
          <w:b w:val="false"/>
          <w:bCs w:val="false"/>
        </w:rPr>
        <w:t xml:space="preserve">Any data retention or compliance requirements that should shape how long TAFW history is kept in the staging database.</w:t>
      </w:r>
    </w:p>
    <w:p>
      <w:pPr>
        <w:pStyle w:val="Heading1"/>
        <w:spacing w:after="120" w:before="300"/>
      </w:pPr>
      <w:r>
        <w:t xml:space="preserve">Closing Note</w:t>
      </w:r>
    </w:p>
    <w:p>
      <w:pPr>
        <w:spacing w:after="160"/>
      </w:pPr>
      <w:r>
        <w:t xml:space="preserve">The goal of this architecture is to make the Dayforce-to-NetSuite PTO sync accurate, auditable, and easy to maintain going forward, while keeping Celigo focused on what it does best: moving clean, ready-to-use data between systems. Happy to go deeper on any section above or share the architecture diagram again during the walkthrough.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2026-09-08T16:37:14.680Z</dcterms:created>
  <dcterms:modified xsi:type="dcterms:W3CDTF">2026-09-08T16:37:14.693Z</dcterms:modified>
</cp:coreProperties>
</file>

<file path=docProps/custom.xml><?xml version="1.0" encoding="utf-8"?>
<Properties xmlns="http://schemas.openxmlformats.org/officeDocument/2006/custom-properties" xmlns:vt="http://schemas.openxmlformats.org/officeDocument/2006/docPropsVTypes"/>
</file>