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1FB58" w14:textId="1CAA269F" w:rsidR="00491E8C" w:rsidRDefault="00491E8C" w:rsidP="00491E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1E8C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6986F50" w14:textId="52D0E7C1" w:rsidR="00491E8C" w:rsidRPr="00CC4355" w:rsidRDefault="00491E8C" w:rsidP="00CC435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CC4355">
        <w:rPr>
          <w:rFonts w:ascii="Times New Roman" w:eastAsia="Times New Roman" w:hAnsi="Times New Roman" w:cs="Times New Roman"/>
        </w:rPr>
        <w:t xml:space="preserve">Of the 4000 plus </w:t>
      </w:r>
      <w:proofErr w:type="spellStart"/>
      <w:r w:rsidRPr="00CC4355">
        <w:rPr>
          <w:rFonts w:ascii="Times New Roman" w:eastAsia="Times New Roman" w:hAnsi="Times New Roman" w:cs="Times New Roman"/>
        </w:rPr>
        <w:t>kickstarter</w:t>
      </w:r>
      <w:proofErr w:type="spellEnd"/>
      <w:r w:rsidRPr="00CC4355">
        <w:rPr>
          <w:rFonts w:ascii="Times New Roman" w:eastAsia="Times New Roman" w:hAnsi="Times New Roman" w:cs="Times New Roman"/>
        </w:rPr>
        <w:t xml:space="preserve"> campaigns presented, it could be concluded that in broad terms, </w:t>
      </w:r>
      <w:r w:rsidR="00CC4355">
        <w:rPr>
          <w:rFonts w:ascii="Times New Roman" w:eastAsia="Times New Roman" w:hAnsi="Times New Roman" w:cs="Times New Roman"/>
        </w:rPr>
        <w:t xml:space="preserve">1) </w:t>
      </w:r>
      <w:r w:rsidRPr="00CC4355">
        <w:rPr>
          <w:rFonts w:ascii="Times New Roman" w:eastAsia="Times New Roman" w:hAnsi="Times New Roman" w:cs="Times New Roman"/>
        </w:rPr>
        <w:t xml:space="preserve">theater focused </w:t>
      </w:r>
      <w:proofErr w:type="spellStart"/>
      <w:r w:rsidRPr="00CC4355">
        <w:rPr>
          <w:rFonts w:ascii="Times New Roman" w:eastAsia="Times New Roman" w:hAnsi="Times New Roman" w:cs="Times New Roman"/>
        </w:rPr>
        <w:t>kickstarter</w:t>
      </w:r>
      <w:proofErr w:type="spellEnd"/>
      <w:r w:rsidRPr="00CC4355">
        <w:rPr>
          <w:rFonts w:ascii="Times New Roman" w:eastAsia="Times New Roman" w:hAnsi="Times New Roman" w:cs="Times New Roman"/>
        </w:rPr>
        <w:t xml:space="preserve"> campaigns are more successful than </w:t>
      </w:r>
      <w:r w:rsidR="00CC4355" w:rsidRPr="00CC4355">
        <w:rPr>
          <w:rFonts w:ascii="Times New Roman" w:eastAsia="Times New Roman" w:hAnsi="Times New Roman" w:cs="Times New Roman"/>
        </w:rPr>
        <w:t xml:space="preserve">other campaigns, </w:t>
      </w:r>
      <w:r w:rsidR="00CC4355">
        <w:rPr>
          <w:rFonts w:ascii="Times New Roman" w:eastAsia="Times New Roman" w:hAnsi="Times New Roman" w:cs="Times New Roman"/>
        </w:rPr>
        <w:t>2) within the theater category, plays are more successful than musicals or creating theater spaces, and 3) the second quarter of the year, April through June (with May being a prime opportunity for success) are the best months to start a campaign.</w:t>
      </w:r>
      <w:r w:rsidR="003F60FF">
        <w:rPr>
          <w:rFonts w:ascii="Times New Roman" w:eastAsia="Times New Roman" w:hAnsi="Times New Roman" w:cs="Times New Roman"/>
        </w:rPr>
        <w:t xml:space="preserve">  Additionally, the majority of those pledging are from the United States and pledge in US dollars.</w:t>
      </w:r>
    </w:p>
    <w:p w14:paraId="073438A9" w14:textId="515D0B29" w:rsidR="00491E8C" w:rsidRDefault="00491E8C" w:rsidP="00491E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1E8C">
        <w:rPr>
          <w:rFonts w:ascii="Times New Roman" w:eastAsia="Times New Roman" w:hAnsi="Times New Roman" w:cs="Times New Roman"/>
        </w:rPr>
        <w:t>What are some limitations of this dataset?</w:t>
      </w:r>
    </w:p>
    <w:p w14:paraId="7981F929" w14:textId="34E6981C" w:rsidR="00CC4355" w:rsidRPr="00491E8C" w:rsidRDefault="00CC4355" w:rsidP="00CC435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data represented is limited to only nine categories of data.  To get a better understanding of the true success or failure of </w:t>
      </w:r>
      <w:proofErr w:type="spellStart"/>
      <w:r>
        <w:rPr>
          <w:rFonts w:ascii="Times New Roman" w:eastAsia="Times New Roman" w:hAnsi="Times New Roman" w:cs="Times New Roman"/>
        </w:rPr>
        <w:t>kickstarters</w:t>
      </w:r>
      <w:proofErr w:type="spellEnd"/>
      <w:r>
        <w:rPr>
          <w:rFonts w:ascii="Times New Roman" w:eastAsia="Times New Roman" w:hAnsi="Times New Roman" w:cs="Times New Roman"/>
        </w:rPr>
        <w:t>, more data sources could be sampled.</w:t>
      </w:r>
    </w:p>
    <w:p w14:paraId="796E6F20" w14:textId="3357BA8B" w:rsidR="00491E8C" w:rsidRDefault="00491E8C" w:rsidP="00491E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1E8C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7D32B78" w14:textId="6837EEA4" w:rsidR="003F60FF" w:rsidRDefault="003F60FF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other possible graphs or tables could be as follows:  </w:t>
      </w:r>
    </w:p>
    <w:p w14:paraId="44CAF40D" w14:textId="64CEAB45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 Donation by State and Staff Pick</w:t>
      </w:r>
    </w:p>
    <w:p w14:paraId="07EBEE9E" w14:textId="678D628F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FC47E01" wp14:editId="3022F9E7">
            <wp:extent cx="4572000" cy="2743200"/>
            <wp:effectExtent l="0" t="0" r="12700" b="12700"/>
            <wp:docPr id="3" name="Chart 3" descr="Chart type: Clustered Bar. 'Average Donation' by 'state' and 'staff_pick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39635D-A7D5-2C4E-853D-EC2B5AB4A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0B08C0" w14:textId="2504627E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4433C5D" w14:textId="126F854B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B5948FD" w14:textId="0B51FB56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323DB85" w14:textId="77777777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107C5EC" w14:textId="71A96FE1" w:rsidR="003F60FF" w:rsidRDefault="003F60FF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Goals by Sub-Category</w:t>
      </w:r>
    </w:p>
    <w:p w14:paraId="417BDAF9" w14:textId="4B374DFF" w:rsidR="003F60FF" w:rsidRDefault="003F60FF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99BD8DF" wp14:editId="039D38C4">
            <wp:extent cx="4572000" cy="2743200"/>
            <wp:effectExtent l="0" t="0" r="12700" b="12700"/>
            <wp:docPr id="1" name="Chart 1" descr="Chart type: Clustered Bar. 'Sub-Category': science fiction has noticeably higher 'goal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585753-93FE-9647-BDE2-98E6B6141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EBF0334" w14:textId="77777777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3B7FA58" w14:textId="0C360087" w:rsidR="003F60FF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Currency Pledged</w:t>
      </w:r>
    </w:p>
    <w:p w14:paraId="4049088B" w14:textId="7FABFA7E" w:rsidR="00B95FEC" w:rsidRDefault="00B95FEC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3B5B780" wp14:editId="4197662F">
            <wp:extent cx="4572000" cy="2743200"/>
            <wp:effectExtent l="0" t="0" r="12700" b="12700"/>
            <wp:docPr id="2" name="Chart 2" descr="Chart type: Doughnut. 'currency': USD accounts for the majority of 'goal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1CEC33-9050-A74B-95E9-AAFAF99A40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0366F6" w14:textId="77777777" w:rsidR="003F60FF" w:rsidRPr="00491E8C" w:rsidRDefault="003F60FF" w:rsidP="003F60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DB1BF9C" w14:textId="77777777" w:rsidR="0004412E" w:rsidRDefault="0004412E"/>
    <w:sectPr w:rsidR="0004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7F43"/>
    <w:multiLevelType w:val="hybridMultilevel"/>
    <w:tmpl w:val="A57AC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3313"/>
    <w:multiLevelType w:val="multilevel"/>
    <w:tmpl w:val="C1E4D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E9"/>
    <w:rsid w:val="0004412E"/>
    <w:rsid w:val="003F60FF"/>
    <w:rsid w:val="00491E8C"/>
    <w:rsid w:val="006F65E9"/>
    <w:rsid w:val="00B95FEC"/>
    <w:rsid w:val="00C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2F5BE"/>
  <w15:chartTrackingRefBased/>
  <w15:docId w15:val="{FDCA10E1-22C2-F145-B5FC-2CAA8CB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vinfontaine/Data-Analytics/Homework/01-Excel-Homework/Fontaine-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vinfontaine/Data-Analytics/Homework/01-Excel-Homework/Fontaine-Excel-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vinfontaine/Data-Analytics/Homework/01-Excel-Homework/Fontaine-Excel-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[Fontaine-Excel-Challenge.xlsx]Idea3!PivotTable6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'Average Donation' by 'state' and 'staff_pick'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Idea3!$B$2:$B$3</c:f>
              <c:strCache>
                <c:ptCount val="1"/>
                <c:pt idx="0">
                  <c:v>FALSE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Idea3!$A$4:$A$8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Idea3!$B$4:$B$8</c:f>
              <c:numCache>
                <c:formatCode>0.00</c:formatCode>
                <c:ptCount val="4"/>
                <c:pt idx="0">
                  <c:v>117.45348134595466</c:v>
                </c:pt>
                <c:pt idx="1">
                  <c:v>74.691295138531373</c:v>
                </c:pt>
                <c:pt idx="2">
                  <c:v>113.26571221269248</c:v>
                </c:pt>
                <c:pt idx="3">
                  <c:v>88.987853039273659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31-D744-BB2A-78D5CBB77349}"/>
            </c:ext>
          </c:extLst>
        </c:ser>
        <c:ser>
          <c:idx val="1"/>
          <c:order val="1"/>
          <c:tx>
            <c:strRef>
              <c:f>Idea3!$C$2:$C$3</c:f>
              <c:strCache>
                <c:ptCount val="1"/>
                <c:pt idx="0">
                  <c:v>TRUE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Idea3!$A$4:$A$8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Idea3!$C$4:$C$8</c:f>
              <c:numCache>
                <c:formatCode>0.00</c:formatCode>
                <c:ptCount val="4"/>
                <c:pt idx="0">
                  <c:v>108.25845191858154</c:v>
                </c:pt>
                <c:pt idx="1">
                  <c:v>66.285340661417436</c:v>
                </c:pt>
                <c:pt idx="2">
                  <c:v>132.34615384615384</c:v>
                </c:pt>
                <c:pt idx="3">
                  <c:v>109.98554599024756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31-D744-BB2A-78D5CBB77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overlap val="-30"/>
        <c:axId val="1637462079"/>
        <c:axId val="1637024047"/>
      </c:barChart>
      <c:catAx>
        <c:axId val="16374620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024047"/>
        <c:crosses val="autoZero"/>
        <c:auto val="1"/>
        <c:lblAlgn val="ctr"/>
        <c:lblOffset val="100"/>
        <c:noMultiLvlLbl val="0"/>
      </c:catAx>
      <c:valAx>
        <c:axId val="163702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Donation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462079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[Fontaine-Excel-Challenge.xlsx]Idea1!PivotTable1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'Sub-Category': </a:t>
            </a:r>
            <a:r>
              <a:rPr lang="en-US">
                <a:solidFill>
                  <a:srgbClr val="DD5A13"/>
                </a:solidFill>
              </a:rPr>
              <a:t>science fiction</a:t>
            </a:r>
            <a:r>
              <a:rPr lang="en-US"/>
              <a:t> has noticeably higher 'goal'.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Idea1!$B$2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8A4-EB4D-A82D-B11AB84DF9C6}"/>
              </c:ext>
            </c:extLst>
          </c:dPt>
          <c:cat>
            <c:strRef>
              <c:f>Idea1!$A$3:$A$44</c:f>
              <c:strCache>
                <c:ptCount val="41"/>
                <c:pt idx="0">
                  <c:v>science fiction</c:v>
                </c:pt>
                <c:pt idx="1">
                  <c:v>spaces</c:v>
                </c:pt>
                <c:pt idx="2">
                  <c:v>translations</c:v>
                </c:pt>
                <c:pt idx="3">
                  <c:v>drama</c:v>
                </c:pt>
                <c:pt idx="4">
                  <c:v>animation</c:v>
                </c:pt>
                <c:pt idx="5">
                  <c:v>wearables</c:v>
                </c:pt>
                <c:pt idx="6">
                  <c:v>web</c:v>
                </c:pt>
                <c:pt idx="7">
                  <c:v>makerspaces</c:v>
                </c:pt>
                <c:pt idx="8">
                  <c:v>plays</c:v>
                </c:pt>
                <c:pt idx="9">
                  <c:v>video games</c:v>
                </c:pt>
                <c:pt idx="10">
                  <c:v>musical</c:v>
                </c:pt>
                <c:pt idx="11">
                  <c:v>hardware</c:v>
                </c:pt>
                <c:pt idx="12">
                  <c:v>food trucks</c:v>
                </c:pt>
                <c:pt idx="13">
                  <c:v>documentary</c:v>
                </c:pt>
                <c:pt idx="14">
                  <c:v>space exploration</c:v>
                </c:pt>
                <c:pt idx="15">
                  <c:v>photobooks</c:v>
                </c:pt>
                <c:pt idx="16">
                  <c:v>rock</c:v>
                </c:pt>
                <c:pt idx="17">
                  <c:v>mobile games</c:v>
                </c:pt>
                <c:pt idx="18">
                  <c:v>restaurants</c:v>
                </c:pt>
                <c:pt idx="19">
                  <c:v>gadgets</c:v>
                </c:pt>
                <c:pt idx="20">
                  <c:v>faith</c:v>
                </c:pt>
                <c:pt idx="21">
                  <c:v>indie rock</c:v>
                </c:pt>
                <c:pt idx="22">
                  <c:v>world music</c:v>
                </c:pt>
                <c:pt idx="23">
                  <c:v>tabletop games</c:v>
                </c:pt>
                <c:pt idx="24">
                  <c:v>jazz</c:v>
                </c:pt>
                <c:pt idx="25">
                  <c:v>television</c:v>
                </c:pt>
                <c:pt idx="26">
                  <c:v>small batch</c:v>
                </c:pt>
                <c:pt idx="27">
                  <c:v>people</c:v>
                </c:pt>
                <c:pt idx="28">
                  <c:v>radio &amp; podcasts</c:v>
                </c:pt>
                <c:pt idx="29">
                  <c:v>children's books</c:v>
                </c:pt>
                <c:pt idx="30">
                  <c:v>nonfiction</c:v>
                </c:pt>
                <c:pt idx="31">
                  <c:v>audio</c:v>
                </c:pt>
                <c:pt idx="32">
                  <c:v>places</c:v>
                </c:pt>
                <c:pt idx="33">
                  <c:v>fiction</c:v>
                </c:pt>
                <c:pt idx="34">
                  <c:v>electronic music</c:v>
                </c:pt>
                <c:pt idx="35">
                  <c:v>art books</c:v>
                </c:pt>
                <c:pt idx="36">
                  <c:v>classical music</c:v>
                </c:pt>
                <c:pt idx="37">
                  <c:v>shorts</c:v>
                </c:pt>
                <c:pt idx="38">
                  <c:v>pop</c:v>
                </c:pt>
                <c:pt idx="39">
                  <c:v>nature</c:v>
                </c:pt>
                <c:pt idx="40">
                  <c:v>metal</c:v>
                </c:pt>
              </c:strCache>
            </c:strRef>
          </c:cat>
          <c:val>
            <c:numRef>
              <c:f>Idea1!$B$3:$B$44</c:f>
              <c:numCache>
                <c:formatCode>General</c:formatCode>
                <c:ptCount val="41"/>
                <c:pt idx="0">
                  <c:v>103679559</c:v>
                </c:pt>
                <c:pt idx="1">
                  <c:v>52771463</c:v>
                </c:pt>
                <c:pt idx="2">
                  <c:v>26925473</c:v>
                </c:pt>
                <c:pt idx="3">
                  <c:v>17099233</c:v>
                </c:pt>
                <c:pt idx="4">
                  <c:v>13014052</c:v>
                </c:pt>
                <c:pt idx="5">
                  <c:v>12290575</c:v>
                </c:pt>
                <c:pt idx="6">
                  <c:v>10967433</c:v>
                </c:pt>
                <c:pt idx="7">
                  <c:v>8346788</c:v>
                </c:pt>
                <c:pt idx="8">
                  <c:v>6528576</c:v>
                </c:pt>
                <c:pt idx="9">
                  <c:v>6081674</c:v>
                </c:pt>
                <c:pt idx="10">
                  <c:v>5936731</c:v>
                </c:pt>
                <c:pt idx="11">
                  <c:v>5859808.79</c:v>
                </c:pt>
                <c:pt idx="12">
                  <c:v>4200112</c:v>
                </c:pt>
                <c:pt idx="13">
                  <c:v>3787138</c:v>
                </c:pt>
                <c:pt idx="14">
                  <c:v>3661302</c:v>
                </c:pt>
                <c:pt idx="15">
                  <c:v>2385393</c:v>
                </c:pt>
                <c:pt idx="16">
                  <c:v>1299850.55</c:v>
                </c:pt>
                <c:pt idx="17">
                  <c:v>1055030</c:v>
                </c:pt>
                <c:pt idx="18">
                  <c:v>979000</c:v>
                </c:pt>
                <c:pt idx="19">
                  <c:v>945166</c:v>
                </c:pt>
                <c:pt idx="20">
                  <c:v>870050</c:v>
                </c:pt>
                <c:pt idx="21">
                  <c:v>719943.47</c:v>
                </c:pt>
                <c:pt idx="22">
                  <c:v>703195</c:v>
                </c:pt>
                <c:pt idx="23">
                  <c:v>672426</c:v>
                </c:pt>
                <c:pt idx="24">
                  <c:v>663952</c:v>
                </c:pt>
                <c:pt idx="25">
                  <c:v>542237</c:v>
                </c:pt>
                <c:pt idx="26">
                  <c:v>525907</c:v>
                </c:pt>
                <c:pt idx="27">
                  <c:v>447100</c:v>
                </c:pt>
                <c:pt idx="28">
                  <c:v>379950</c:v>
                </c:pt>
                <c:pt idx="29">
                  <c:v>363032</c:v>
                </c:pt>
                <c:pt idx="30">
                  <c:v>343826</c:v>
                </c:pt>
                <c:pt idx="31">
                  <c:v>320835</c:v>
                </c:pt>
                <c:pt idx="32">
                  <c:v>257491</c:v>
                </c:pt>
                <c:pt idx="33">
                  <c:v>256749</c:v>
                </c:pt>
                <c:pt idx="34">
                  <c:v>202714</c:v>
                </c:pt>
                <c:pt idx="35">
                  <c:v>199080</c:v>
                </c:pt>
                <c:pt idx="36">
                  <c:v>182315</c:v>
                </c:pt>
                <c:pt idx="37">
                  <c:v>170100</c:v>
                </c:pt>
                <c:pt idx="38">
                  <c:v>157080</c:v>
                </c:pt>
                <c:pt idx="39">
                  <c:v>84520</c:v>
                </c:pt>
                <c:pt idx="40">
                  <c:v>79610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A4-EB4D-A82D-B11AB84DF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537763647"/>
        <c:axId val="1533997823"/>
      </c:barChart>
      <c:catAx>
        <c:axId val="1537763647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997823"/>
        <c:crosses val="autoZero"/>
        <c:auto val="1"/>
        <c:lblAlgn val="ctr"/>
        <c:lblOffset val="100"/>
        <c:noMultiLvlLbl val="0"/>
      </c:catAx>
      <c:valAx>
        <c:axId val="153399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763647"/>
        <c:crosses val="max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[Fontaine-Excel-Challenge.xlsx]Idea2!PivotTable5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'currency': </a:t>
            </a:r>
            <a:r>
              <a:rPr lang="en-US">
                <a:solidFill>
                  <a:srgbClr val="DD5A13"/>
                </a:solidFill>
              </a:rPr>
              <a:t>USD</a:t>
            </a:r>
            <a:r>
              <a:rPr lang="en-US"/>
              <a:t> accounts for the majority of 'goal'.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Idea2!$B$2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56F-C64A-BB57-9CAC59F4A986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56F-C64A-BB57-9CAC59F4A986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56F-C64A-BB57-9CAC59F4A986}"/>
              </c:ext>
            </c:extLst>
          </c:dPt>
          <c:dPt>
            <c:idx val="3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56F-C64A-BB57-9CAC59F4A986}"/>
              </c:ext>
            </c:extLst>
          </c:dPt>
          <c:dPt>
            <c:idx val="4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56F-C64A-BB57-9CAC59F4A986}"/>
              </c:ext>
            </c:extLst>
          </c:dPt>
          <c:dPt>
            <c:idx val="5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56F-C64A-BB57-9CAC59F4A986}"/>
              </c:ext>
            </c:extLst>
          </c:dPt>
          <c:dPt>
            <c:idx val="6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56F-C64A-BB57-9CAC59F4A986}"/>
              </c:ext>
            </c:extLst>
          </c:dPt>
          <c:dPt>
            <c:idx val="7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56F-C64A-BB57-9CAC59F4A986}"/>
              </c:ext>
            </c:extLst>
          </c:dPt>
          <c:dPt>
            <c:idx val="8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56F-C64A-BB57-9CAC59F4A986}"/>
              </c:ext>
            </c:extLst>
          </c:dPt>
          <c:dPt>
            <c:idx val="9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56F-C64A-BB57-9CAC59F4A986}"/>
              </c:ext>
            </c:extLst>
          </c:dPt>
          <c:dPt>
            <c:idx val="10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D56F-C64A-BB57-9CAC59F4A986}"/>
              </c:ext>
            </c:extLst>
          </c:dPt>
          <c:dPt>
            <c:idx val="1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D56F-C64A-BB57-9CAC59F4A986}"/>
              </c:ext>
            </c:extLst>
          </c:dPt>
          <c:dPt>
            <c:idx val="1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D56F-C64A-BB57-9CAC59F4A986}"/>
              </c:ext>
            </c:extLst>
          </c:dPt>
          <c:cat>
            <c:strRef>
              <c:f>Idea2!$A$3:$A$16</c:f>
              <c:strCache>
                <c:ptCount val="13"/>
                <c:pt idx="0">
                  <c:v>USD</c:v>
                </c:pt>
                <c:pt idx="1">
                  <c:v>EUR</c:v>
                </c:pt>
                <c:pt idx="2">
                  <c:v>SEK</c:v>
                </c:pt>
                <c:pt idx="3">
                  <c:v>AUD</c:v>
                </c:pt>
                <c:pt idx="4">
                  <c:v>GBP</c:v>
                </c:pt>
                <c:pt idx="5">
                  <c:v>CAD</c:v>
                </c:pt>
                <c:pt idx="6">
                  <c:v>DKK</c:v>
                </c:pt>
                <c:pt idx="7">
                  <c:v>HKD</c:v>
                </c:pt>
                <c:pt idx="8">
                  <c:v>MXN</c:v>
                </c:pt>
                <c:pt idx="9">
                  <c:v>NOK</c:v>
                </c:pt>
                <c:pt idx="10">
                  <c:v>NZD</c:v>
                </c:pt>
                <c:pt idx="11">
                  <c:v>CHF</c:v>
                </c:pt>
                <c:pt idx="12">
                  <c:v>SGD</c:v>
                </c:pt>
              </c:strCache>
            </c:strRef>
          </c:cat>
          <c:val>
            <c:numRef>
              <c:f>Idea2!$B$3:$B$16</c:f>
              <c:numCache>
                <c:formatCode>General</c:formatCode>
                <c:ptCount val="13"/>
                <c:pt idx="0">
                  <c:v>247152380.81</c:v>
                </c:pt>
                <c:pt idx="1">
                  <c:v>15029846</c:v>
                </c:pt>
                <c:pt idx="2">
                  <c:v>13968289</c:v>
                </c:pt>
                <c:pt idx="3">
                  <c:v>9901961</c:v>
                </c:pt>
                <c:pt idx="4">
                  <c:v>4505048</c:v>
                </c:pt>
                <c:pt idx="5">
                  <c:v>2490695</c:v>
                </c:pt>
                <c:pt idx="6">
                  <c:v>865000</c:v>
                </c:pt>
                <c:pt idx="7">
                  <c:v>640000</c:v>
                </c:pt>
                <c:pt idx="8">
                  <c:v>568000</c:v>
                </c:pt>
                <c:pt idx="9">
                  <c:v>555100</c:v>
                </c:pt>
                <c:pt idx="10">
                  <c:v>167035</c:v>
                </c:pt>
                <c:pt idx="11">
                  <c:v>104115</c:v>
                </c:pt>
                <c:pt idx="12">
                  <c:v>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56F-C64A-BB57-9CAC59F4A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Fontaine</dc:creator>
  <cp:keywords/>
  <dc:description/>
  <cp:lastModifiedBy>Marvin Fontaine</cp:lastModifiedBy>
  <cp:revision>2</cp:revision>
  <dcterms:created xsi:type="dcterms:W3CDTF">2020-09-15T01:44:00Z</dcterms:created>
  <dcterms:modified xsi:type="dcterms:W3CDTF">2020-09-15T02:16:00Z</dcterms:modified>
</cp:coreProperties>
</file>