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0AB8" w:rsidRPr="00425B94" w:rsidRDefault="008D4E47">
      <w:pPr>
        <w:spacing w:line="360" w:lineRule="auto"/>
        <w:jc w:val="both"/>
        <w:rPr>
          <w:rFonts w:asciiTheme="majorHAnsi" w:hAnsiTheme="majorHAnsi" w:cstheme="majorHAnsi"/>
        </w:rPr>
      </w:pPr>
      <w:r>
        <w:rPr>
          <w:rFonts w:asciiTheme="majorHAnsi" w:hAnsiTheme="majorHAnsi" w:cstheme="majorHAnsi"/>
          <w:b/>
          <w:bCs/>
          <w:sz w:val="22"/>
          <w:szCs w:val="22"/>
        </w:rPr>
        <w:t>EXCELENTÍSSIMO(A) SENHOR(A) DOUTOR(A) JUIZ(A) DO TRABALHO DA [__ª] VARA DO TRABALHO DE [COMARCA].</w:t>
      </w:r>
    </w:p>
    <w:p w:rsidR="00840AB8" w:rsidRPr="00425B94" w:rsidRDefault="00840AB8">
      <w:pPr>
        <w:spacing w:line="360" w:lineRule="auto"/>
        <w:jc w:val="both"/>
        <w:rPr>
          <w:rFonts w:asciiTheme="majorHAnsi" w:hAnsiTheme="majorHAnsi" w:cstheme="majorHAnsi"/>
          <w:sz w:val="22"/>
        </w:rPr>
      </w:pPr>
    </w:p>
    <w:p w:rsidR="00463491" w:rsidRPr="00425B94" w:rsidRDefault="00463491" w:rsidP="00463491">
      <w:pPr>
        <w:pStyle w:val="Standard"/>
        <w:ind w:left="3402"/>
        <w:jc w:val="both"/>
        <w:rPr>
          <w:rFonts w:asciiTheme="majorHAnsi" w:hAnsiTheme="majorHAnsi" w:cstheme="majorHAnsi"/>
        </w:rPr>
      </w:pPr>
      <w:r>
        <w:rPr>
          <w:rFonts w:asciiTheme="majorHAnsi" w:hAnsiTheme="majorHAnsi" w:cstheme="majorHAnsi"/>
          <w:sz w:val="20"/>
        </w:rPr>
        <w:t>Decisão: Após o voto reajustado do Ministro Nunes Marques (Relator), que dava provimento ao recurso extraordinário para, reformando o acórdão recorrido, afastar a responsabilidade subsidiária da Administração Pública, propondo a fixação da seguinte tese (</w:t>
      </w:r>
      <w:r>
        <w:rPr>
          <w:rFonts w:asciiTheme="majorHAnsi" w:hAnsiTheme="majorHAnsi" w:cstheme="majorHAnsi"/>
          <w:b/>
          <w:sz w:val="20"/>
          <w:u w:val="single"/>
        </w:rPr>
        <w:t>tema 1.118 da repercussão geral</w:t>
      </w:r>
      <w:r>
        <w:rPr>
          <w:rFonts w:asciiTheme="majorHAnsi" w:hAnsiTheme="majorHAnsi" w:cstheme="majorHAnsi"/>
          <w:sz w:val="20"/>
        </w:rPr>
        <w:t xml:space="preserve">): “1. </w:t>
      </w:r>
      <w:r>
        <w:rPr>
          <w:rFonts w:asciiTheme="majorHAnsi" w:hAnsiTheme="majorHAnsi" w:cstheme="majorHAnsi"/>
          <w:b/>
          <w:sz w:val="20"/>
          <w:u w:val="single"/>
        </w:rPr>
        <w:t>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w:t>
      </w:r>
      <w:r>
        <w:rPr>
          <w:rFonts w:asciiTheme="majorHAnsi" w:hAnsiTheme="majorHAnsi" w:cstheme="majorHAnsi"/>
          <w:sz w:val="20"/>
        </w:rPr>
        <w:t xml:space="preserve">. 2. </w:t>
      </w:r>
      <w:r>
        <w:rPr>
          <w:rFonts w:asciiTheme="majorHAnsi" w:hAnsiTheme="majorHAnsi" w:cstheme="majorHAnsi"/>
          <w:b/>
          <w:sz w:val="20"/>
          <w:u w:val="single"/>
        </w:rPr>
        <w:t>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w:t>
      </w:r>
      <w:r>
        <w:rPr>
          <w:rFonts w:asciiTheme="majorHAnsi" w:hAnsiTheme="majorHAnsi" w:cstheme="majorHAnsi"/>
          <w:sz w:val="20"/>
        </w:rPr>
        <w:t xml:space="preserve">. 3. Constitui responsabilidade da Administração Pública garantir as condições de segurança, higiene e salubridade dos trabalhadores, quando o trabalho for realizado em suas dependências ou local previamente convencionado em contrato, nos termos do art. 5º-A, § 3º, da Lei nº 6.019/1974. 4. Nos contratos de terceirização, a Administração Pública deverá: (i) exigir da contratada a comprovação de capital social integralizado compatível com o número de empregados, na forma do art. 4º-B da Lei nº 6.019/1974; e (ii) adotar medidas para assegurar o cumprimento das obrigações trabalhistas pela contratada, na forma do art. 121, § 3º, da Lei nº 14.133/2021, tais como condicionar o pagamento à comprovação de quitação das obrigações trabalhistas do mês anterior”, no que foi acompanhado pelos Ministros Flávio Dino, Cármen Lúcia e Luís Roberto Barroso (Presidente); e do </w:t>
      </w:r>
      <w:r>
        <w:rPr>
          <w:rFonts w:asciiTheme="majorHAnsi" w:hAnsiTheme="majorHAnsi" w:cstheme="majorHAnsi"/>
          <w:b/>
          <w:sz w:val="20"/>
          <w:u w:val="single"/>
        </w:rPr>
        <w:t xml:space="preserve">voto divergente do Ministro Edson Fachin, que negava provimento ao recurso extraordinário e propunha a fixação da seguinte tese: “É da administração pública o ônus de comprovar que se desincumbiu de todas as medidas legais exigidas para fins de se eximir da responsabilidade por ter faltado com o dever de bem contratar e fiscalizar o cumprimento das obrigações trabalhistas por parte da empresa prestadora de serviços contratada”</w:t>
      </w:r>
      <w:r>
        <w:rPr>
          <w:rFonts w:asciiTheme="majorHAnsi" w:hAnsiTheme="majorHAnsi" w:cstheme="majorHAnsi"/>
          <w:sz w:val="20"/>
        </w:rPr>
        <w:t xml:space="preserve">, o julgamento foi suspenso. (...)” (STF – TEMA 1.118; Órgão Julgador: PLENO; Relator: Min. Nunes Marques; Julgado em: 13/02/2025) – d.n.</w:t>
      </w:r>
    </w:p>
    <w:p w:rsidR="00840AB8" w:rsidRPr="00425B94" w:rsidRDefault="00840AB8">
      <w:pPr>
        <w:spacing w:line="360" w:lineRule="auto"/>
        <w:jc w:val="both"/>
        <w:rPr>
          <w:rFonts w:asciiTheme="majorHAnsi" w:hAnsiTheme="majorHAnsi" w:cstheme="majorHAnsi"/>
          <w:sz w:val="22"/>
        </w:rPr>
      </w:pPr>
    </w:p>
    <w:p w:rsidR="00840AB8" w:rsidRPr="00425B94" w:rsidRDefault="008D4E47">
      <w:pPr>
        <w:spacing w:line="360" w:lineRule="auto"/>
        <w:jc w:val="both"/>
        <w:rPr>
          <w:rFonts w:asciiTheme="majorHAnsi" w:hAnsiTheme="majorHAnsi" w:cstheme="majorHAnsi"/>
        </w:rPr>
      </w:pPr>
      <w:r>
        <w:rPr>
          <w:rFonts w:asciiTheme="majorHAnsi" w:hAnsiTheme="majorHAnsi" w:cstheme="majorHAnsi"/>
          <w:b/>
          <w:bCs/>
          <w:sz w:val="22"/>
          <w:szCs w:val="22"/>
        </w:rPr>
        <w:t>Autos nº. [Nº DO PROCESSO].</w:t>
      </w:r>
    </w:p>
    <w:p w:rsidR="00840AB8" w:rsidRPr="00425B94" w:rsidRDefault="008D4E47">
      <w:pPr>
        <w:spacing w:line="360" w:lineRule="auto"/>
        <w:jc w:val="both"/>
        <w:rPr>
          <w:rFonts w:asciiTheme="majorHAnsi" w:hAnsiTheme="majorHAnsi" w:cstheme="majorHAnsi"/>
        </w:rPr>
      </w:pPr>
      <w:r>
        <w:rPr>
          <w:rFonts w:asciiTheme="majorHAnsi" w:hAnsiTheme="majorHAnsi" w:cstheme="majorHAnsi"/>
          <w:b/>
          <w:bCs/>
          <w:sz w:val="22"/>
          <w:szCs w:val="22"/>
        </w:rPr>
        <w:t>RECLAMANTE: [NOME DO RECLAMANTE].</w:t>
      </w:r>
    </w:p>
    <w:p w:rsidR="00840AB8" w:rsidRPr="00425B94" w:rsidRDefault="008D4E47">
      <w:pPr>
        <w:spacing w:line="360" w:lineRule="auto"/>
        <w:jc w:val="both"/>
        <w:rPr>
          <w:rFonts w:asciiTheme="majorHAnsi" w:hAnsiTheme="majorHAnsi" w:cstheme="majorHAnsi"/>
        </w:rPr>
      </w:pPr>
      <w:r>
        <w:rPr>
          <w:rFonts w:asciiTheme="majorHAnsi" w:hAnsiTheme="majorHAnsi" w:cstheme="majorHAnsi"/>
          <w:b/>
          <w:bCs/>
          <w:sz w:val="22"/>
          <w:szCs w:val="22"/>
        </w:rPr>
        <w:lastRenderedPageBreak/>
        <w:t>1ª RECLAMADA: [RAZÃO SOCIAL DA 1ª RECLAMADA].</w:t>
      </w:r>
    </w:p>
    <w:p w:rsidR="00840AB8" w:rsidRPr="00425B94" w:rsidRDefault="008D4E47">
      <w:pPr>
        <w:spacing w:line="360" w:lineRule="auto"/>
        <w:jc w:val="both"/>
        <w:rPr>
          <w:rFonts w:asciiTheme="majorHAnsi" w:hAnsiTheme="majorHAnsi" w:cstheme="majorHAnsi"/>
        </w:rPr>
      </w:pPr>
      <w:r>
        <w:rPr>
          <w:rFonts w:asciiTheme="majorHAnsi" w:hAnsiTheme="majorHAnsi" w:cstheme="majorHAnsi"/>
          <w:b/>
          <w:bCs/>
          <w:sz w:val="22"/>
          <w:szCs w:val="22"/>
        </w:rPr>
        <w:t>2ª RECLAMADA: EMPRESA BRASILEIRA DE CORREIOS E TELÉGRAFOS.</w:t>
      </w:r>
    </w:p>
    <w:p w:rsidR="00840AB8" w:rsidRPr="00425B94" w:rsidRDefault="00840AB8">
      <w:pPr>
        <w:spacing w:line="360" w:lineRule="auto"/>
        <w:jc w:val="both"/>
        <w:rPr>
          <w:rFonts w:asciiTheme="majorHAnsi" w:hAnsiTheme="majorHAnsi" w:cstheme="majorHAnsi"/>
          <w:sz w:val="22"/>
        </w:rPr>
      </w:pP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b/>
          <w:bCs/>
          <w:sz w:val="22"/>
          <w:szCs w:val="22"/>
        </w:rPr>
        <w:t>EMPRESA BRASILEIRA DE CORREIOS E TELÉGRAFOS – ECT</w:t>
      </w:r>
      <w:r>
        <w:rPr>
          <w:rFonts w:asciiTheme="majorHAnsi" w:hAnsiTheme="majorHAnsi" w:cstheme="majorHAnsi"/>
          <w:sz w:val="22"/>
          <w:szCs w:val="22"/>
        </w:rPr>
        <w:t xml:space="preserve">, Empresa Pública Federal instituída pelo Decreto-Lei nº 509, de 20 de março de 1969, estabelecida à Avenida Calógeras, 2309, Centro, Campo Grande/MS, CNPJ nº 34.028.316/0009-60, por seu procurador adiante assinado, com escritório no mesmo endereço, onde recebe as intimações de estilo, procuração anexa, vem, respeitosamente, à presença de V. Exa., com fundamento nos arts. 847 da CLT c/c 336 do CPC, apresentar sua</w:t>
      </w:r>
    </w:p>
    <w:p w:rsidR="00840AB8" w:rsidRPr="00425B94" w:rsidRDefault="008D4E47">
      <w:pPr>
        <w:spacing w:before="240" w:after="240"/>
        <w:jc w:val="center"/>
        <w:rPr>
          <w:rFonts w:asciiTheme="majorHAnsi" w:hAnsiTheme="majorHAnsi" w:cstheme="majorHAnsi"/>
        </w:rPr>
      </w:pPr>
      <w:r>
        <w:rPr>
          <w:rFonts w:asciiTheme="majorHAnsi" w:hAnsiTheme="majorHAnsi" w:cstheme="majorHAnsi"/>
          <w:b/>
          <w:sz w:val="22"/>
          <w:szCs w:val="22"/>
          <w:u w:val="single"/>
        </w:rPr>
        <w:t>CONTESTAÇÃO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à Reclamação Trabalhista que </w:t>
      </w:r>
      <w:r>
        <w:rPr>
          <w:rFonts w:asciiTheme="majorHAnsi" w:hAnsiTheme="majorHAnsi" w:cstheme="majorHAnsi"/>
          <w:b/>
          <w:bCs/>
          <w:sz w:val="22"/>
          <w:szCs w:val="22"/>
        </w:rPr>
        <w:t>[NOME DO RECLAMANTE]</w:t>
      </w:r>
      <w:r>
        <w:rPr>
          <w:rFonts w:asciiTheme="majorHAnsi" w:hAnsiTheme="majorHAnsi" w:cstheme="majorHAnsi"/>
          <w:sz w:val="22"/>
          <w:szCs w:val="22"/>
        </w:rPr>
        <w:t xml:space="preserve"> move em face de </w:t>
      </w:r>
      <w:r>
        <w:rPr>
          <w:rFonts w:asciiTheme="majorHAnsi" w:hAnsiTheme="majorHAnsi" w:cstheme="majorHAnsi"/>
          <w:b/>
          <w:bCs/>
          <w:sz w:val="22"/>
          <w:szCs w:val="22"/>
        </w:rPr>
        <w:t>[RAZÃO SOCIAL DA 1ª RECLAMADA]</w:t>
      </w:r>
      <w:r>
        <w:rPr>
          <w:rFonts w:asciiTheme="majorHAnsi" w:hAnsiTheme="majorHAnsi" w:cstheme="majorHAnsi"/>
          <w:sz w:val="22"/>
          <w:szCs w:val="22"/>
        </w:rPr>
        <w:t xml:space="preserve"> e da ora Contestante, constante do processo acima em epígrafe, nos termos em que, data venia, passa a aduzir.</w:t>
      </w:r>
    </w:p>
    <w:p w:rsidR="00840AB8" w:rsidRPr="00425B94" w:rsidRDefault="008D4E47">
      <w:pPr>
        <w:keepNext/>
        <w:pBdr>
          <w:top w:val="single" w:sz="8" w:space="4" w:color="000000"/>
          <w:left w:val="single" w:sz="8" w:space="4" w:color="000000"/>
          <w:bottom w:val="single" w:sz="8" w:space="4" w:color="000000"/>
          <w:right w:val="single" w:sz="8" w:space="4" w:color="000000"/>
        </w:pBdr>
        <w:spacing w:before="360" w:after="240"/>
        <w:jc w:val="center"/>
        <w:rPr>
          <w:rFonts w:asciiTheme="majorHAnsi" w:hAnsiTheme="majorHAnsi" w:cstheme="majorHAnsi"/>
        </w:rPr>
      </w:pPr>
      <w:r>
        <w:rPr>
          <w:rFonts w:asciiTheme="majorHAnsi" w:hAnsiTheme="majorHAnsi" w:cstheme="majorHAnsi"/>
          <w:b/>
          <w:bCs/>
          <w:sz w:val="22"/>
          <w:szCs w:val="22"/>
        </w:rPr>
        <w:t>SÍNTESE DA INICIAL</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A Reclamante ajuizou a presente demanda em face de sua real empregadora, a 1ª Reclamada, [RAZÃO SOCIAL DA 1ª RECLAMADA], e da ora Contestante, alegando, em apertada síntese, que foi admitida em [DATA DE ADMISSÃO] na função de servente de limpeza, com anotação em CTPS apenas em [DATA DA ANOTAÇÃO EM CTPS], e que teria prestado serviços em unidade da ECT, na condição de empregada de empresa interposta.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Sustenta que as condições de trabalho a que submetida — esforço físico, movimentos repetitivos, supressão de intervalo intrajornada, ambiente úmido e EPI supostamente inadequado — teriam causado ou agravado enfermidades osteomusculares de coluna lombar e ombros, requerendo o reconhecimento da natureza ocupacional das moléstias, a declaração de incapacidade laboral total e permanente, indenização por danos materiais na forma de pensão vitalícia paga em parcela única ([VALOR DA PENSÃO POSTULADA]) e indenização por danos morais não inferior a [VALOR DO DANO MORAL POSTULADO], além do reconhecimento de vínculo no período de [DATA DE ADMISSÃO] a [TERMO FINAL DO PERÍODO SEM REGISTRO].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Quanto à ora Contestante, pretende a Reclamante impor-lhe responsabilidade subsidiária, sob a alegação genérica de que a ECT teria incorrido em culpa </w:t>
      </w:r>
      <w:r>
        <w:rPr>
          <w:rFonts w:asciiTheme="majorHAnsi" w:hAnsiTheme="majorHAnsi" w:cstheme="majorHAnsi"/>
          <w:i/>
          <w:iCs/>
          <w:sz w:val="22"/>
          <w:szCs w:val="22"/>
        </w:rPr>
        <w:t>in vigilando</w:t>
      </w:r>
      <w:r>
        <w:rPr>
          <w:rFonts w:asciiTheme="majorHAnsi" w:hAnsiTheme="majorHAnsi" w:cstheme="majorHAnsi"/>
          <w:sz w:val="22"/>
          <w:szCs w:val="22"/>
        </w:rPr>
        <w:t xml:space="preserve"> na fiscalização do contrato administrativo mantido com a 1ª Reclamada.</w:t>
      </w:r>
    </w:p>
    <w:p w:rsidR="00840AB8" w:rsidRPr="00425B94" w:rsidRDefault="00922290">
      <w:pPr>
        <w:spacing w:line="360" w:lineRule="auto"/>
        <w:ind w:firstLine="1701"/>
        <w:jc w:val="both"/>
        <w:rPr>
          <w:rFonts w:asciiTheme="majorHAnsi" w:hAnsiTheme="majorHAnsi" w:cstheme="majorHAnsi"/>
        </w:rPr>
      </w:pPr>
      <w:r>
        <w:rPr>
          <w:rFonts w:asciiTheme="majorHAnsi" w:hAnsiTheme="majorHAnsi" w:cstheme="majorHAnsi"/>
          <w:sz w:val="22"/>
          <w:szCs w:val="22"/>
        </w:rPr>
        <w:lastRenderedPageBreak/>
        <w:t xml:space="preserve">Todavia, improcede integralmente a pretensão obreira em desfavor da ECT, seja porque inexiste qualquer vínculo jurídico entre as partes, seja porque a inicial não descreve — muito menos comprova — uma única conduta concreta imputável à Contestante, seja, ainda, porque os próprios documentos carreados pela Autora infirmam as teses de mérito deduzidas, conforme se passa a demonstrar.</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Esclareça-se, desde já, que, no que tange ao posto de trabalho ocupado pela Reclamante, a 2ª Reclamada manteve contrato administrativo de prestação de serviços com a 1ª Reclamada, firmado após regular procedimento licitatório, conforme se vê da cópia do contrato e dos termos aditivos firmados, em anexo.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Vê-se do objeto do contrato firmado que os serviços contratados foram única e exclusivamente de prestação de serviços de limpeza predial, asseio e conservação, com fornecimento de material de limpeza e higiene, de máquinas, equipamentos e utensílios em unidades da ECT, sendo de exclusiva responsabilidade da contratada a seleção e contratação dos profissionais disponibilizados para a prestação dos serviços, bem como o cumprimento das obrigações trabalhistas, previdenciárias e de medicina e segurança do trabalho decorrentes dos respectivos contratos de trabalho.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Daí se depreende que a 1ª Reclamada contratou a Reclamante sem qualquer interferência da ora Contestante, jamais tendo havido contrato de trabalho entre a Autora e a ECT, que nunca teve a obreira sob sua subordinação.</w:t>
      </w:r>
    </w:p>
    <w:p w:rsidR="00840AB8" w:rsidRPr="00425B94" w:rsidRDefault="008D4E47">
      <w:pPr>
        <w:keepNext/>
        <w:pBdr>
          <w:top w:val="single" w:sz="8" w:space="4" w:color="000000"/>
          <w:left w:val="single" w:sz="8" w:space="4" w:color="000000"/>
          <w:bottom w:val="single" w:sz="8" w:space="4" w:color="000000"/>
          <w:right w:val="single" w:sz="8" w:space="4" w:color="000000"/>
        </w:pBdr>
        <w:spacing w:before="360" w:after="240"/>
        <w:jc w:val="center"/>
        <w:rPr>
          <w:rFonts w:asciiTheme="majorHAnsi" w:hAnsiTheme="majorHAnsi" w:cstheme="majorHAnsi"/>
        </w:rPr>
      </w:pPr>
      <w:r>
        <w:rPr>
          <w:rFonts w:asciiTheme="majorHAnsi" w:hAnsiTheme="majorHAnsi" w:cstheme="majorHAnsi"/>
          <w:b/>
          <w:bCs/>
          <w:sz w:val="22"/>
          <w:szCs w:val="22"/>
        </w:rPr>
        <w:t>PRELIMINARMENTE</w:t>
      </w:r>
    </w:p>
    <w:p w:rsidR="00840AB8" w:rsidRPr="00425B94" w:rsidRDefault="009C4689">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 xml:space="preserve">1. DA EQUIPARAÇÃO DA ECT À FAZENDA PÚBLICA.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De início, a Reclamada requer sejam-lhe aplicadas as prerrogativas processuais inerentes à Fazenda Pública, tais como processo de execução especial nos termos do que dispõe o art. 100 da Carta Política, e prazo em dobro para contestar e recorrer, bem como isenção das custas processuais e do depósito recursal.</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Esse é o entendimento do E. Supremo Tribunal Federal que, através de reiteradas decisões, pacificou a tese de que a ECT goza das prerrogativas conferidas à Fazenda Pública, senão vejamos:</w:t>
      </w:r>
    </w:p>
    <w:p w:rsidR="00840AB8" w:rsidRPr="00425B94" w:rsidRDefault="008D4E47">
      <w:pPr>
        <w:spacing w:before="120" w:after="120"/>
        <w:ind w:left="1701"/>
        <w:jc w:val="both"/>
        <w:rPr>
          <w:rFonts w:asciiTheme="majorHAnsi" w:hAnsiTheme="majorHAnsi" w:cstheme="majorHAnsi"/>
        </w:rPr>
      </w:pPr>
      <w:r>
        <w:rPr>
          <w:rFonts w:asciiTheme="majorHAnsi" w:hAnsiTheme="majorHAnsi" w:cstheme="majorHAnsi"/>
          <w:sz w:val="20"/>
        </w:rPr>
        <w:t xml:space="preserve">“Empresa Brasileira de Correios e Telégrafos. Execução – Recentemente, ao terminar o julgamento do RE 220.906, que versava a mesma questão, o Plenário desta Corte decidiu que foi recebido pela atual Constituição o Decreto-lei n. 509/69, que estendeu à Empresa Brasileira de Correios e Telégrafos os privilégios conferidos à Fazenda Pública, dentre os quais o da impenhorabilidade de seus bens, rendas e serviços, devendo a execução contra ela fazer-se mediante precatório, sob pena de ofensa ao disposto no artigo 100 da Carta </w:t>
        <w:lastRenderedPageBreak/>
        <w:t xml:space="preserve">Magna – Dessa orientação divergiu o acórdão recorrido. Recurso Extraordinário conhecido e provido.” (RE – 220699/SP. Relator Ministro MOREIRA ALVES; DJ 16/03/2001. Primeira Turma).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Assim, ad argumentandum tantum, em caso de condenação, a execução contra a Reclamada deverá fazer-se por meio de precatório, sendo isenta de custas processuais e de depósito recursal.</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Vale ressaltar que o pronunciamento desse órgão julgador quanto às custas processuais e ao depósito recursal se faz necessário para o preenchimento de todos os pressupostos extrínsecos para viabilização da admissibilidade de eventual recurso.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Ainda, sendo a ECT equiparada à Fazenda Pública, além de gozar de isenção de custas, os juros de mora deverão incidir conforme dispõe o art. 3º da Emenda Constitucional nº 113/2021, verbis:</w:t>
      </w:r>
    </w:p>
    <w:p w:rsidR="00840AB8" w:rsidRPr="00425B94" w:rsidRDefault="008D4E47">
      <w:pPr>
        <w:spacing w:before="120" w:after="120"/>
        <w:ind w:left="1701"/>
        <w:jc w:val="both"/>
        <w:rPr>
          <w:rFonts w:asciiTheme="majorHAnsi" w:hAnsiTheme="majorHAnsi" w:cstheme="majorHAnsi"/>
        </w:rPr>
      </w:pPr>
      <w:r>
        <w:rPr>
          <w:rFonts w:asciiTheme="majorHAnsi" w:hAnsiTheme="majorHAnsi" w:cstheme="majorHAnsi"/>
          <w:sz w:val="20"/>
        </w:rPr>
        <w:t>Art. 3º Nas discussões e nas condenações que envolvam a Fazenda Pública, independentemente de sua natureza e para fins de atualização monetária, de remuneração do capital e de compensação da mora, inclusive do precatório, haverá a incidência, uma única vez, até o efetivo pagamento, do índice da taxa referencial do Sistema Especial de Liquidação e de Custódia (Selic), acumulado mensalmente.</w:t>
      </w:r>
    </w:p>
    <w:p w:rsidR="00840AB8" w:rsidRPr="00425B94" w:rsidRDefault="009C4689">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2. DA ILEGITIMIDADE PASSIVA AD CAUSAM.</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 legitimidade entre as partes é condição que identifica a pessoa do autor com aquela que pretende o reconhecimento, prevenção ou ainda eficácia de determinado elo jurídico. E, por outro lado, traduz a identidade da pessoa do réu com a obrigada, segundo a manifestação do interesse concreto do primeiro.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Empregador é aquele que dirige e assalaria a prestação pessoal de serviços, assumindo os riscos inerentes à atividade econômica. Os serviços, indiscutivelmente, são tomados da empresa e não isoladamente do empregado, pois, do contrário, assumiria o prestador a condição de pessoa interposta, o que é vedado no direito pátrio. O tomador dos serviços não contrata os empregados da prestadora, mas sim os seus serviços de maneira genérica, incluindo até mesmo o fornecimento de produtos a serem utilizados, não importando quem são seus empregados, já que o que se contrata é apenas a prestação dos serviços. Não há, portanto, nenhum tipo de vínculo jurídico entre a empresa tomadora da mão de obra e o trabalhador.</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Destarte, desponta a ilegitimidade passiva da </w:t>
      </w:r>
      <w:r>
        <w:rPr>
          <w:rFonts w:asciiTheme="majorHAnsi" w:hAnsiTheme="majorHAnsi" w:cstheme="majorHAnsi"/>
          <w:b/>
          <w:bCs/>
          <w:sz w:val="22"/>
          <w:szCs w:val="22"/>
        </w:rPr>
        <w:t>EMPRESA BRASILEIRA DE CORREIOS E TELÉGRAFOS</w:t>
      </w:r>
      <w:r>
        <w:rPr>
          <w:rFonts w:asciiTheme="majorHAnsi" w:hAnsiTheme="majorHAnsi" w:cstheme="majorHAnsi"/>
          <w:sz w:val="22"/>
          <w:szCs w:val="22"/>
        </w:rPr>
        <w:t xml:space="preserve"> à causa, pois esta não figurou na relação jurídica de direito material em que se funda a pretensão da Reclamante; vale esclarecer, a relação jurídica existente somente foi estabelecida entre as Reclamadas, oriunda de contrato firmado mediante regular procedimento licitatório.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lastRenderedPageBreak/>
        <w:t xml:space="preserve">A ilegitimidade se revela ainda mais evidente no caso dos autos, em que a pretensão principal é de natureza indenizatória por doença ocupacional. Com efeito, os deveres de gestão do meio ambiente de trabalho, de fornecimento e fiscalização de EPI, de realização de exames médicos ocupacionais (art. 168 da CLT), de elaboração de PGR e PCMSO e de concessão de pausas ergonômicas são deveres </w:t>
      </w:r>
      <w:r>
        <w:rPr>
          <w:rFonts w:asciiTheme="majorHAnsi" w:hAnsiTheme="majorHAnsi" w:cstheme="majorHAnsi"/>
          <w:b/>
          <w:bCs/>
          <w:sz w:val="22"/>
          <w:szCs w:val="22"/>
        </w:rPr>
        <w:t>do empregador</w:t>
      </w:r>
      <w:r>
        <w:rPr>
          <w:rFonts w:asciiTheme="majorHAnsi" w:hAnsiTheme="majorHAnsi" w:cstheme="majorHAnsi"/>
          <w:sz w:val="22"/>
          <w:szCs w:val="22"/>
        </w:rPr>
        <w:t xml:space="preserve">, e apenas dele, nos termos dos arts. 2º e 157 da CLT. A ECT jamais deteve poder diretivo sobre a Autora, não lhe dirigiu ordens, não lhe fixou jornada e não lhe forneceu equipamentos de proteção.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Por amor ao debate, insta salientar que sobre a ECT, por força de texto expresso de lei, não pesa a responsabilidade pelo adimplemento das verbas pleiteadas na exordial, porquanto não se encontra sujeita à responsabilidade solidária e nem mesmo subsidiária, face ao disposto no art. 77, §1º, da Lei 13.303/16, reprodução integral do art. 71, §1º, da Lei 8.666/93, in verbis:</w:t>
      </w:r>
    </w:p>
    <w:p w:rsidR="00840AB8" w:rsidRPr="00425B94" w:rsidRDefault="008D4E47">
      <w:pPr>
        <w:spacing w:before="120" w:after="120"/>
        <w:ind w:left="1701"/>
        <w:jc w:val="both"/>
        <w:rPr>
          <w:rFonts w:asciiTheme="majorHAnsi" w:hAnsiTheme="majorHAnsi" w:cstheme="majorHAnsi"/>
        </w:rPr>
      </w:pPr>
      <w:r>
        <w:rPr>
          <w:rFonts w:asciiTheme="majorHAnsi" w:hAnsiTheme="majorHAnsi" w:cstheme="majorHAnsi"/>
          <w:sz w:val="20"/>
        </w:rPr>
        <w:t>“Art. 77 da Lei 13.303/16. O contratado é responsável pelos encargos trabalhistas, fiscais e comerciais resultantes da execução do contrato.</w:t>
      </w:r>
    </w:p>
    <w:p w:rsidR="00840AB8" w:rsidRPr="00425B94" w:rsidRDefault="008D4E47">
      <w:pPr>
        <w:spacing w:before="120" w:after="120"/>
        <w:ind w:left="1701"/>
        <w:jc w:val="both"/>
        <w:rPr>
          <w:rFonts w:asciiTheme="majorHAnsi" w:hAnsiTheme="majorHAnsi" w:cstheme="majorHAnsi"/>
        </w:rPr>
      </w:pPr>
      <w:r>
        <w:rPr>
          <w:rFonts w:asciiTheme="majorHAnsi" w:hAnsiTheme="majorHAnsi" w:cstheme="majorHAnsi"/>
          <w:sz w:val="20"/>
        </w:rPr>
        <w:t>§ 1º A inadimplência do contratado quanto aos encargos trabalhistas, fiscais e comerciais não transfere à empresa pública ou à sociedade de economia mista a responsabilidade por seu pagamento, nem poderá onerar o objeto do contrato ou restringir a regularização e o uso das obras e edificações, inclusive perante o Registro de Imóveis.”</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Em vista do direito material vigente, não há a menor possibilidade de o ente público se transformar em devedor subsidiário perante os credores do contratado e, consequentemente, sujeito passivo da relação jurídica, já que existe comando normativo que veda tal responsabilidade.</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Insta salientar que a ECT não indica, controla, paga ou mesmo dispensa os empregados da 1ª Reclamada, pois o contrato dispõe que a empresa contratada deve prestar os serviços, independentemente da pessoa dos empregados disponibilizados para tanto. Ora, a própria Reclamante reconhece que seu contrato foi firmado com a 1ª Reclamada, admitindo, portanto, não possuir vínculo empregatício com a ora Contestante.</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Como é notório, a atividade-fim da 2ª Reclamada é a exploração do serviço postal, e para a consecução das atividades-meio é autorizada a contratação de prestadores de serviços com base no Decreto-lei nº 200/67, art. 10, §7º, e no Decreto-lei nº 509/69, art. 18, verbis:</w:t>
      </w:r>
    </w:p>
    <w:p w:rsidR="00840AB8" w:rsidRPr="00425B94" w:rsidRDefault="008D4E47">
      <w:pPr>
        <w:spacing w:before="120" w:after="120"/>
        <w:ind w:left="1701"/>
        <w:jc w:val="both"/>
        <w:rPr>
          <w:rFonts w:asciiTheme="majorHAnsi" w:hAnsiTheme="majorHAnsi" w:cstheme="majorHAnsi"/>
        </w:rPr>
      </w:pPr>
      <w:r>
        <w:rPr>
          <w:rFonts w:asciiTheme="majorHAnsi" w:hAnsiTheme="majorHAnsi" w:cstheme="majorHAnsi"/>
          <w:sz w:val="20"/>
        </w:rPr>
        <w:t>“Artigo 18 - A ECT procurará desobrigar-se da realização material de tarefas executivas recorrendo, sempre que possível, à execução indireta, mediante contratos e convênios, condicionando esse critério aos ditames de interesse público e às conveniências de segurança nacional.”</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lastRenderedPageBreak/>
        <w:t xml:space="preserve">Em favor do referido contrato, de caráter eminentemente administrativo, milita a presunção de legitimidade e legalidade, visando a atender aos interesses da coletividade; consequentemente, inexistindo no referido contrato qualquer vício social ou de consentimento, a ECT não possui legitimidade para figurar no polo passivo do feito, devendo ser excluída da lide.</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 ilegitimidade passiva da ECT, como se nota, é manifesta, do que resulta a carência de ação, o que exige sentença terminativa, extinguindo-se o processo sem julgamento de mérito, na recomendação do artigo 330, II, c/c o artigo 485, VI, ambos do CPC.</w:t>
      </w:r>
    </w:p>
    <w:p w:rsidR="00840AB8" w:rsidRPr="00425B94" w:rsidRDefault="00840AB8">
      <w:pPr>
        <w:spacing w:line="360" w:lineRule="auto"/>
        <w:jc w:val="both"/>
        <w:rPr>
          <w:rFonts w:asciiTheme="majorHAnsi" w:hAnsiTheme="majorHAnsi" w:cstheme="majorHAnsi"/>
          <w:sz w:val="22"/>
        </w:rPr>
      </w:pPr>
    </w:p>
    <w:p w:rsidR="00840AB8" w:rsidRPr="00425B94" w:rsidRDefault="008D4E4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 xml:space="preserve">3. DA PRESCRIÇÃO.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 presente ação foi ajuizada em </w:t>
      </w:r>
      <w:r>
        <w:rPr>
          <w:rFonts w:asciiTheme="majorHAnsi" w:hAnsiTheme="majorHAnsi" w:cstheme="majorHAnsi"/>
          <w:b/>
          <w:bCs/>
          <w:sz w:val="22"/>
          <w:szCs w:val="22"/>
        </w:rPr>
        <w:t>[DATA DO AJUIZAMENTO]</w:t>
      </w:r>
      <w:r>
        <w:rPr>
          <w:rFonts w:asciiTheme="majorHAnsi" w:hAnsiTheme="majorHAnsi" w:cstheme="majorHAnsi"/>
          <w:sz w:val="22"/>
          <w:szCs w:val="22"/>
        </w:rPr>
        <w:t xml:space="preserve">, razão pela qual, nos termos do art. 7º, XXIX, da Constituição Federal e do art. 11 da CLT, encontram-se </w:t>
      </w:r>
      <w:r>
        <w:rPr>
          <w:rFonts w:asciiTheme="majorHAnsi" w:hAnsiTheme="majorHAnsi" w:cstheme="majorHAnsi"/>
          <w:b/>
          <w:bCs/>
          <w:sz w:val="22"/>
          <w:szCs w:val="22"/>
        </w:rPr>
        <w:t>prescritas todas as parcelas anteriores a [MARCO PRESCRICIONAL QUINQUENAL]</w:t>
      </w:r>
      <w:r>
        <w:rPr>
          <w:rFonts w:asciiTheme="majorHAnsi" w:hAnsiTheme="majorHAnsi" w:cstheme="majorHAnsi"/>
          <w:sz w:val="22"/>
          <w:szCs w:val="22"/>
        </w:rPr>
        <w:t>, o que desde já se requer seja pronunciado.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 prejudicial alcança, de forma integral, o pedido de reconhecimento de vínculo de emprego relativo ao período de </w:t>
      </w:r>
      <w:r>
        <w:rPr>
          <w:rFonts w:asciiTheme="majorHAnsi" w:hAnsiTheme="majorHAnsi" w:cstheme="majorHAnsi"/>
          <w:b/>
          <w:bCs/>
          <w:sz w:val="22"/>
          <w:szCs w:val="22"/>
        </w:rPr>
        <w:t>[DATA DE ADMISSÃO] a [TERMO FINAL DO PERÍODO SEM REGISTRO]</w:t>
      </w:r>
      <w:r>
        <w:rPr>
          <w:rFonts w:asciiTheme="majorHAnsi" w:hAnsiTheme="majorHAnsi" w:cstheme="majorHAnsi"/>
          <w:sz w:val="22"/>
          <w:szCs w:val="22"/>
        </w:rPr>
        <w:t xml:space="preserve"> e todas as pretensões condenatórias dele decorrentes, uma vez que o lapso prescricional quinquenal transcorreu por inteiro antes do ajuizamento, impondo-se a extinção do feito, quanto a tais pedidos, com resolução de mérito, na forma do art. 487, II, do CPC.</w:t>
      </w:r>
    </w:p>
    <w:p w:rsidR="00840AB8" w:rsidRPr="00425B94" w:rsidRDefault="008D4E47" w:rsidP="00DE12FB">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No que tange à pretensão indenizatória decorrente da alegada doença ocupacional, o termo inicial do prazo prescricional é a data da ciência inequívoca da lesão e de sua extensão. No caso, a própria inicial informa que a Reclamante se afastou do trabalho em </w:t>
      </w:r>
      <w:r>
        <w:rPr>
          <w:rFonts w:asciiTheme="majorHAnsi" w:hAnsiTheme="majorHAnsi" w:cstheme="majorHAnsi"/>
          <w:b/>
          <w:bCs/>
          <w:sz w:val="22"/>
          <w:szCs w:val="22"/>
        </w:rPr>
        <w:t>[MÊS/ANO DO AFASTAMENTO]</w:t>
      </w:r>
      <w:r>
        <w:rPr>
          <w:rFonts w:asciiTheme="majorHAnsi" w:hAnsiTheme="majorHAnsi" w:cstheme="majorHAnsi"/>
          <w:sz w:val="22"/>
          <w:szCs w:val="22"/>
        </w:rPr>
        <w:t xml:space="preserve">, com concessão de auxílio-doença </w:t>
      </w:r>
      <w:r>
        <w:rPr>
          <w:rFonts w:asciiTheme="majorHAnsi" w:hAnsiTheme="majorHAnsi" w:cstheme="majorHAnsi"/>
          <w:b/>
          <w:bCs/>
          <w:sz w:val="22"/>
          <w:szCs w:val="22"/>
        </w:rPr>
        <w:t xml:space="preserve">acidentário (B91) a partir de [DIB DO BENEFÍCIO]</w:t>
      </w:r>
      <w:r>
        <w:rPr>
          <w:rFonts w:asciiTheme="majorHAnsi" w:hAnsiTheme="majorHAnsi" w:cstheme="majorHAnsi"/>
          <w:sz w:val="22"/>
          <w:szCs w:val="22"/>
        </w:rPr>
        <w:t xml:space="preserve">, e que ajuizou ação previdenciária acidentária em </w:t>
      </w:r>
      <w:r>
        <w:rPr>
          <w:rFonts w:asciiTheme="majorHAnsi" w:hAnsiTheme="majorHAnsi" w:cstheme="majorHAnsi"/>
          <w:b/>
          <w:bCs/>
          <w:sz w:val="22"/>
          <w:szCs w:val="22"/>
        </w:rPr>
        <w:t>[DATA DA AÇÃO PREVIDENCIÁRIA]</w:t>
      </w:r>
      <w:r>
        <w:rPr>
          <w:rFonts w:asciiTheme="majorHAnsi" w:hAnsiTheme="majorHAnsi" w:cstheme="majorHAnsi"/>
          <w:sz w:val="22"/>
          <w:szCs w:val="22"/>
        </w:rPr>
        <w:t>. Qualquer desses marcos evidencia a plena ciência da obreira quanto à alegada origem laboral de suas moléstias em data anterior ao quinquênio, razão pela qual se requer seja igualmente pronunciada a prescrição da pretensão indenizatória.</w:t>
      </w:r>
    </w:p>
    <w:p w:rsidR="00840AB8" w:rsidRPr="00425B94" w:rsidRDefault="008D4E47">
      <w:pPr>
        <w:keepNext/>
        <w:pBdr>
          <w:top w:val="single" w:sz="8" w:space="4" w:color="000000"/>
          <w:left w:val="single" w:sz="8" w:space="4" w:color="000000"/>
          <w:bottom w:val="single" w:sz="8" w:space="4" w:color="000000"/>
          <w:right w:val="single" w:sz="8" w:space="4" w:color="000000"/>
        </w:pBdr>
        <w:spacing w:before="360" w:after="240"/>
        <w:jc w:val="center"/>
        <w:rPr>
          <w:rFonts w:asciiTheme="majorHAnsi" w:hAnsiTheme="majorHAnsi" w:cstheme="majorHAnsi"/>
        </w:rPr>
      </w:pPr>
      <w:r>
        <w:rPr>
          <w:rFonts w:asciiTheme="majorHAnsi" w:hAnsiTheme="majorHAnsi" w:cstheme="majorHAnsi"/>
          <w:b/>
          <w:bCs/>
          <w:sz w:val="22"/>
          <w:szCs w:val="22"/>
        </w:rPr>
        <w:t>MÉRITO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Inicialmente, a 2ª Reclamada ratifica os termos das preliminares arguidas para que seus fundamentos passem a compor também o mérito da presente defesa.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lastRenderedPageBreak/>
        <w:t>Uma vez ultrapassadas, contudo, o que somente se admite em respeito ao princípio da eventualidade, melhor sorte não assiste à Reclamante quanto ao mérito, conforme restará demonstrado a seguir.</w:t>
      </w:r>
    </w:p>
    <w:p w:rsidR="00840AB8" w:rsidRPr="00425B94" w:rsidRDefault="001F746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1. DA AUSÊNCIA DE DOCUMENTOS E DA IMPOSSIBILIDADE MATERIAL DE IMPUGNAÇÃO EXAUSTIVA.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Como já esclarecido, a ECT, ora Contestante, é empresa tomadora dos serviços, razão pela qual não possui nenhum tipo de vínculo com os empregados contratados pela 1ª Reclamada.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Assim, por não dispor de dados detalhados acerca da forma pela qual se dava a contratação e a prestação de serviços da Reclamante — contrato de trabalho, CTPS, controles de jornada, recibos de entrega de EPI, ASO admissional e periódicos, PPP, PGR e PCMSO —, a ECT, data venia, não tem como impugnar especificamente as circunstâncias fáticas narradas na exordial, todas elas afetas exclusivamente à esfera da real empregadora.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 Contestante não pode ser compelida a apresentar, nem penalizada pela falta de apresentação de documentos relativos à Reclamante, já que, na qualidade de tomadora, não tem acesso aos documentos funcionais e médico-ocupacionais dos empregados da 1ª Reclamada.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Nessa esteira, a ora Contestante reporta-se a todos os termos de eventual defesa e documentos a serem trazidos à baila pela 1ª Reclamada, real empregadora da Autora, restando, portanto, integralmente impugnadas as informações contidas na inicial.</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Entretanto, na hipótese de a 1ª Reclamada não apresentar a sua contestação e Vossa Excelência entender que a 2ª Reclamada deva permanecer no polo passivo da presente ação, o que realmente não se espera, requer, desde já, que este MM. Juízo se digne determinar a expedição de ofício à 1ª Reclamada, na pessoa de seu representante legal, para que junte aos autos todos os documentos atinentes à Reclamante e condizentes com o objeto desta reclamação — em especial os controles de jornada, os recibos de entrega de EPI, os ASO admissional, periódicos e de retorno ao trabalho, o PPP e os programas de saúde e segurança do período —, a fim de que se apurem devidamente os fatos, evitando-se o enriquecimento sem causa da Autora e o ferimento do devido processo legal em face da 2ª Reclamada.</w:t>
      </w:r>
    </w:p>
    <w:p w:rsidR="00840AB8" w:rsidRPr="00425B94" w:rsidRDefault="008D4E4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lastRenderedPageBreak/>
        <w:t xml:space="preserve">2. DA IMPOSSIBILIDADE DE CONDENAÇÃO SUBSIDIÁRIA DA ECT.</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Por votação majoritária, o Plenário do Supremo Tribunal Federal, nos autos da Ação Declaratória de Constitucionalidade (ADC) nº 16, declarou, em julgamento realizado em 24/11/2010, a constitucionalidade do artigo 71, §1º, da Lei nº 8.666/93, razão pela qual não há mais motivos para deixar de dar integral aplicação ao art. 77, §1º, da Lei 13.303/16, reprodução integral daquele dispositivo, com aplicação às empresas públicas.</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Ora, não se pode admitir que seja negada vigência a disposições legais simplesmente com base no argumento de que os princípios do Direito do Trabalho abstratamente aplicados sustentariam a condenação subsidiária do ente da Administração Pública Direta e Indireta nos débitos oriundos dos contratos de prestação de serviço licitados, uma vez que a instauração de um modelo jurídico geral e as eventuais modificações e correções da norma competem ao Poder Legislativo. A atividade judicante de uniformização de jurisprudência não pode contrariar a lei.</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Aliás, nesse ponto, é de se destacar que o Pretório Excelso, nos autos da </w:t>
      </w:r>
      <w:r>
        <w:rPr>
          <w:rFonts w:asciiTheme="majorHAnsi" w:hAnsiTheme="majorHAnsi" w:cstheme="majorHAnsi"/>
          <w:b/>
          <w:bCs/>
          <w:sz w:val="22"/>
          <w:szCs w:val="22"/>
        </w:rPr>
        <w:t>Reclamação 17.402/SP</w:t>
      </w:r>
      <w:r>
        <w:rPr>
          <w:rFonts w:asciiTheme="majorHAnsi" w:hAnsiTheme="majorHAnsi" w:cstheme="majorHAnsi"/>
          <w:sz w:val="22"/>
          <w:szCs w:val="22"/>
        </w:rPr>
        <w:t xml:space="preserve">, sob relatoria do Ministro Gilmar Mendes, manifestou-se expressamente pela impossibilidade de responsabilização da Administração Pública por encargos decorrentes do não cumprimento, pelo contratado, de obrigações trabalhistas, fiscais ou comerciais, mesmo que fundada em suposta culpa </w:t>
      </w:r>
      <w:r>
        <w:rPr>
          <w:rFonts w:asciiTheme="majorHAnsi" w:hAnsiTheme="majorHAnsi" w:cstheme="majorHAnsi"/>
          <w:i/>
          <w:iCs/>
          <w:sz w:val="22"/>
          <w:szCs w:val="22"/>
        </w:rPr>
        <w:t>in vigilando</w:t>
      </w:r>
      <w:r>
        <w:rPr>
          <w:rFonts w:asciiTheme="majorHAnsi" w:hAnsiTheme="majorHAnsi" w:cstheme="majorHAnsi"/>
          <w:sz w:val="22"/>
          <w:szCs w:val="22"/>
        </w:rPr>
        <w:t xml:space="preserve"> do ente público, senão vejamos:</w:t>
      </w:r>
    </w:p>
    <w:p w:rsidR="00840AB8" w:rsidRPr="00425B94" w:rsidRDefault="008D4E47">
      <w:pPr>
        <w:spacing w:before="120" w:after="120"/>
        <w:ind w:left="1701"/>
        <w:jc w:val="both"/>
        <w:rPr>
          <w:rFonts w:asciiTheme="majorHAnsi" w:hAnsiTheme="majorHAnsi" w:cstheme="majorHAnsi"/>
        </w:rPr>
      </w:pPr>
      <w:r>
        <w:rPr>
          <w:rFonts w:asciiTheme="majorHAnsi" w:hAnsiTheme="majorHAnsi" w:cstheme="majorHAnsi"/>
          <w:sz w:val="20"/>
        </w:rPr>
        <w:t xml:space="preserve">“Não há dúvidas, portanto, de que a referida decisão encerra contrariedade ao quanto disposto no julgamento da ADC 16, que julgou constitucional o art. 71, § 1º, da Lei 8.666/93, sem tecer qualquer ressalva acerca de sua aplicabilidade. (...) Ante o exposto, julgo procedente a reclamação (...) no ponto em que reconheceu a responsabilidade subsidiária da Empresa Brasileira de Correios e Telégrafos – ECT em face do inadimplemento de obrigações trabalhistas por empresa contratada para a prestação de serviços.” (STF – Rcl 17.402/SP; Relator Ministro Gilmar Mendes; Julgamento: 18/03/2014).</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No mesmo sentido decidiu o Excelentíssimo Ministro Dias Toffoli na </w:t>
      </w:r>
      <w:r>
        <w:rPr>
          <w:rFonts w:asciiTheme="majorHAnsi" w:hAnsiTheme="majorHAnsi" w:cstheme="majorHAnsi"/>
          <w:b/>
          <w:bCs/>
          <w:sz w:val="22"/>
          <w:szCs w:val="22"/>
        </w:rPr>
        <w:t>Reclamação nº 19.871</w:t>
      </w:r>
      <w:r>
        <w:rPr>
          <w:rFonts w:asciiTheme="majorHAnsi" w:hAnsiTheme="majorHAnsi" w:cstheme="majorHAnsi"/>
          <w:sz w:val="22"/>
          <w:szCs w:val="22"/>
        </w:rPr>
        <w:t xml:space="preserve">, ao consignar que somente nos casos em que se lograr comprovar terem sido os atos administrativos praticados em desconformidade com a lei e aptos a interferir no direito pleiteado pelo trabalhador poderá o Poder Público ser responsabilizado, no limite de sua culpa, sendo certo que a adoção, em sentença ou acórdão, de fundamentos dotados de caráter de generalidade evidencia postura que a Suprema Corte pretendeu afastar com o julgamento da ação paradigma (STF – Rcl 19.871; Relator Ministro Dias Toffoli; DJE nº 63, divulgado em 31/03/2015).</w:t>
      </w:r>
    </w:p>
    <w:p w:rsidR="00DA03F4" w:rsidRPr="00425B94" w:rsidRDefault="008D4E47" w:rsidP="00DA03F4">
      <w:pPr>
        <w:spacing w:line="360" w:lineRule="auto"/>
        <w:ind w:firstLine="1701"/>
        <w:jc w:val="both"/>
        <w:rPr>
          <w:rFonts w:asciiTheme="majorHAnsi" w:hAnsiTheme="majorHAnsi" w:cstheme="majorHAnsi"/>
          <w:sz w:val="22"/>
          <w:szCs w:val="22"/>
        </w:rPr>
      </w:pPr>
      <w:r>
        <w:rPr>
          <w:rFonts w:asciiTheme="majorHAnsi" w:hAnsiTheme="majorHAnsi" w:cstheme="majorHAnsi"/>
          <w:sz w:val="22"/>
          <w:szCs w:val="22"/>
        </w:rPr>
        <w:t xml:space="preserve">Registre-se, ainda, que o próprio Supremo Tribunal Federal, no julgamento do </w:t>
      </w:r>
      <w:r>
        <w:rPr>
          <w:rFonts w:asciiTheme="majorHAnsi" w:hAnsiTheme="majorHAnsi" w:cstheme="majorHAnsi"/>
          <w:b/>
          <w:bCs/>
          <w:sz w:val="22"/>
          <w:szCs w:val="22"/>
        </w:rPr>
        <w:t>Tema 246 da Repercussão Geral</w:t>
      </w:r>
      <w:r>
        <w:rPr>
          <w:rFonts w:asciiTheme="majorHAnsi" w:hAnsiTheme="majorHAnsi" w:cstheme="majorHAnsi"/>
          <w:sz w:val="22"/>
          <w:szCs w:val="22"/>
        </w:rPr>
        <w:t xml:space="preserve">, reafirmou a impossibilidade de </w:t>
        <w:lastRenderedPageBreak/>
        <w:t xml:space="preserve">transferência automática ao ente público dos encargos trabalhistas inadimplidos pela contratada — precedente, aliás, expressamente invocado pela própria Reclamante na exordial, o que apenas evidencia a fragilidade da tese autoral.</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Assim sendo, existindo regra legal clara e inequívoca vedando a transferência para a Administração Pública da responsabilidade por encargos trabalhistas resultantes da execução do contrato, cuja constitucionalidade foi expressamente reconhecida pelo STF, o pedido não prospera em relação à ECT.</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 pretensão em questão afronta, ademais, os princípios da legalidade, impessoalidade, moralidade e publicidade insculpidos no art. 37 da Constituição Federal, já que, indiretamente, o que se requer é o reconhecimento da existência de relação de emprego com pessoa jurídica integrante da Administração Pública Indireta, o que não é possível sem a observância do concurso público (art. 37, II e §2º, da CF).</w:t>
      </w:r>
    </w:p>
    <w:p w:rsidR="00840AB8" w:rsidRPr="00425B94" w:rsidRDefault="008D4E4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 xml:space="preserve">3. DA INEXISTÊNCIA DE CULPA IN ELIGENDO.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Cumpre aduzir que a contratação da 1ª Reclamada não foi ato discricionário da Administração. Pelo contrário, a 1ª Reclamada foi vencedora de regular processo licitatório, na forma do inciso XXI do artigo 37 da CF/88, sendo o contrato mera consequência lógica do certame.</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 escolha da empresa prestadora de serviços pela Administração Pública é ato vinculado, no qual as imposições legais absorvem quase por completo a liberdade do administrador, cuja ação fica adstrita aos pressupostos estabelecidos pela norma legal para a validade da atividade administrativa.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Na prática, isso significa dizer que a Administração Pública toma todos os cuidados para a contratação de empresa idônea, desde a habilitação dos interessados até a assinatura do efetivo contrato. E o faz não apenas porque assim deseja, mas por imposição legal, sob pena de responsabilidade civil, administrativa e penal do administrador.</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Assim sendo, uma vez constatado que a Administração procedeu à realização de certame licitatório regular para a contratação da empresa prestadora de serviços, na qual a 1ª Reclamada comprovou estar habilitada econômica e tecnicamente, não há falar em culpa </w:t>
      </w:r>
      <w:r>
        <w:rPr>
          <w:rFonts w:asciiTheme="majorHAnsi" w:hAnsiTheme="majorHAnsi" w:cstheme="majorHAnsi"/>
          <w:i/>
          <w:iCs/>
          <w:sz w:val="22"/>
          <w:szCs w:val="22"/>
        </w:rPr>
        <w:t xml:space="preserve">in eligendo</w:t>
      </w:r>
      <w:r>
        <w:rPr>
          <w:rFonts w:asciiTheme="majorHAnsi" w:hAnsiTheme="majorHAnsi" w:cstheme="majorHAnsi"/>
          <w:sz w:val="22"/>
          <w:szCs w:val="22"/>
        </w:rPr>
        <w:t>.</w:t>
      </w:r>
    </w:p>
    <w:p w:rsidR="00840AB8" w:rsidRPr="00425B94" w:rsidRDefault="008D4E4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 xml:space="preserve">4. DA INEXISTÊNCIA DE CULPA IN VIGILANDO.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Sustentam as Cortes Trabalhistas, com base na Súmula 331, V, do TST, que a responsabilidade subsidiária decorre da ausência de fiscalização do contrato pela </w:t>
        <w:lastRenderedPageBreak/>
        <w:t xml:space="preserve">entidade pública. Ocorre que, na prática, o referido verbete vem sendo aplicado indistintamente, de forma que não raro se atribui responsabilidade aos entes públicos pelo simples inadimplemento de obrigações pelas empresas contratadas, sem que tenha sido minimamente exposta, com base nos elementos dos autos, a conduta culposa </w:t>
      </w:r>
      <w:r>
        <w:rPr>
          <w:rFonts w:asciiTheme="majorHAnsi" w:hAnsiTheme="majorHAnsi" w:cstheme="majorHAnsi"/>
          <w:b/>
          <w:bCs/>
          <w:sz w:val="22"/>
          <w:szCs w:val="22"/>
        </w:rPr>
        <w:t>concretamente imputável</w:t>
      </w:r>
      <w:r>
        <w:rPr>
          <w:rFonts w:asciiTheme="majorHAnsi" w:hAnsiTheme="majorHAnsi" w:cstheme="majorHAnsi"/>
          <w:sz w:val="22"/>
          <w:szCs w:val="22"/>
        </w:rPr>
        <w:t xml:space="preserve"> ao ente público.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Data venia, julgados nesse sentido materializam verdadeira responsabilização objetiva do Poder Público com base na teoria do risco integral, no que basta existir o dano para se exigir da Administração o dever de repará-lo, ainda que não lhe tenha dado causa e que tenha atuado para evitar sua ocorrência — entendimento que não pode prevalecer diante do §6º do art. 37 da CF e do decidido na ADC 16.</w:t>
      </w:r>
    </w:p>
    <w:p w:rsidR="00840AB8" w:rsidRPr="00425B94" w:rsidRDefault="008D4E47">
      <w:pPr>
        <w:spacing w:line="360" w:lineRule="auto"/>
        <w:ind w:firstLine="1701"/>
        <w:jc w:val="both"/>
        <w:rPr>
          <w:rFonts w:asciiTheme="majorHAnsi" w:hAnsiTheme="majorHAnsi" w:cstheme="majorHAnsi"/>
          <w:sz w:val="22"/>
          <w:szCs w:val="22"/>
        </w:rPr>
      </w:pPr>
      <w:r>
        <w:rPr>
          <w:rFonts w:asciiTheme="majorHAnsi" w:hAnsiTheme="majorHAnsi" w:cstheme="majorHAnsi"/>
          <w:sz w:val="22"/>
          <w:szCs w:val="22"/>
        </w:rPr>
        <w:t xml:space="preserve">É precisamente esse o vício da petição inicial. Com efeito, a Autora dedica capítulo próprio à responsabilidade subsidiária da ECT, mas </w:t>
      </w:r>
      <w:r>
        <w:rPr>
          <w:rFonts w:asciiTheme="majorHAnsi" w:hAnsiTheme="majorHAnsi" w:cstheme="majorHAnsi"/>
          <w:b/>
          <w:bCs/>
          <w:sz w:val="22"/>
          <w:szCs w:val="22"/>
        </w:rPr>
        <w:t>não descreve um único ato ou omissão concreta</w:t>
      </w:r>
      <w:r>
        <w:rPr>
          <w:rFonts w:asciiTheme="majorHAnsi" w:hAnsiTheme="majorHAnsi" w:cstheme="majorHAnsi"/>
          <w:sz w:val="22"/>
          <w:szCs w:val="22"/>
        </w:rPr>
        <w:t xml:space="preserve"> atribuível à Contestante: não indica quem seria o gestor ou fiscal do contrato, não aponta notificação desatendida, não menciona irregularidade comunicada e não sanada, não junta o instrumento contratual e não produz qualquer prova documental a respeito. Limita-se a deduzir a suposta culpa da tomadora a partir das irregularidades que atribui à empregadora — exatamente a presunção automática que o Supremo Tribunal Federal afastou no julgamento da ADC 16.</w:t>
      </w:r>
    </w:p>
    <w:p w:rsidR="00AA00E3" w:rsidRPr="00425B94" w:rsidRDefault="00AA00E3" w:rsidP="00AA00E3">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Neste ponto, </w:t>
      </w:r>
      <w:r>
        <w:rPr>
          <w:rFonts w:asciiTheme="majorHAnsi" w:hAnsiTheme="majorHAnsi" w:cstheme="majorHAnsi"/>
          <w:color w:val="000000"/>
          <w:sz w:val="22"/>
          <w:szCs w:val="22"/>
        </w:rPr>
        <w:t xml:space="preserve">cabe destacar que </w:t>
      </w:r>
      <w:r>
        <w:rPr>
          <w:rFonts w:asciiTheme="majorHAnsi" w:hAnsiTheme="majorHAnsi" w:cstheme="majorHAnsi"/>
          <w:b/>
          <w:color w:val="000000"/>
          <w:sz w:val="22"/>
          <w:szCs w:val="22"/>
          <w:u w:val="single"/>
        </w:rPr>
        <w:t>em 13/02/2025 O E. STF JULGOU O TEMA 1.118, E DECIDIU QUE “(...)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w:t>
      </w:r>
      <w:r>
        <w:rPr>
          <w:rFonts w:asciiTheme="majorHAnsi" w:hAnsiTheme="majorHAnsi" w:cstheme="majorHAnsi"/>
          <w:color w:val="000000"/>
          <w:sz w:val="22"/>
          <w:szCs w:val="22"/>
        </w:rPr>
        <w:t xml:space="preserve"> senão vejamos:</w:t>
      </w:r>
    </w:p>
    <w:p w:rsidR="00AA00E3" w:rsidRPr="00425B94" w:rsidRDefault="00AA00E3" w:rsidP="00AA00E3">
      <w:pPr>
        <w:pStyle w:val="Textbodyindent"/>
        <w:ind w:firstLine="1701"/>
        <w:rPr>
          <w:rFonts w:asciiTheme="majorHAnsi" w:hAnsiTheme="majorHAnsi" w:cstheme="majorHAnsi"/>
          <w:color w:val="000000"/>
          <w:sz w:val="22"/>
          <w:szCs w:val="22"/>
        </w:rPr>
      </w:pPr>
    </w:p>
    <w:p w:rsidR="00AA00E3" w:rsidRPr="00425B94" w:rsidRDefault="00AA00E3" w:rsidP="00AA00E3">
      <w:pPr>
        <w:pStyle w:val="Standard"/>
        <w:ind w:left="2268"/>
        <w:jc w:val="both"/>
        <w:rPr>
          <w:rFonts w:asciiTheme="majorHAnsi" w:hAnsiTheme="majorHAnsi" w:cstheme="majorHAnsi"/>
        </w:rPr>
      </w:pPr>
      <w:r>
        <w:rPr>
          <w:rFonts w:asciiTheme="majorHAnsi" w:hAnsiTheme="majorHAnsi" w:cstheme="majorHAnsi"/>
          <w:sz w:val="20"/>
        </w:rPr>
        <w:t>Decisão: Após o voto reajustado do Ministro Nunes Marques (Relator), que dava provimento ao recurso extraordinário para, reformando o acórdão recorrido, afastar a responsabilidade subsidiária da Administração Pública, propondo a fixação da seguinte tese (</w:t>
      </w:r>
      <w:r>
        <w:rPr>
          <w:rFonts w:asciiTheme="majorHAnsi" w:hAnsiTheme="majorHAnsi" w:cstheme="majorHAnsi"/>
          <w:b/>
          <w:sz w:val="20"/>
          <w:u w:val="single"/>
        </w:rPr>
        <w:t>tema 1.118 da repercussão geral</w:t>
      </w:r>
      <w:r>
        <w:rPr>
          <w:rFonts w:asciiTheme="majorHAnsi" w:hAnsiTheme="majorHAnsi" w:cstheme="majorHAnsi"/>
          <w:sz w:val="20"/>
        </w:rPr>
        <w:t xml:space="preserve">): “1. </w:t>
      </w:r>
      <w:r>
        <w:rPr>
          <w:rFonts w:asciiTheme="majorHAnsi" w:hAnsiTheme="majorHAnsi" w:cstheme="majorHAnsi"/>
          <w:b/>
          <w:sz w:val="20"/>
          <w:u w:val="single"/>
        </w:rPr>
        <w:t>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w:t>
      </w:r>
      <w:r>
        <w:rPr>
          <w:rFonts w:asciiTheme="majorHAnsi" w:hAnsiTheme="majorHAnsi" w:cstheme="majorHAnsi"/>
          <w:sz w:val="20"/>
        </w:rPr>
        <w:t xml:space="preserve">. 2. </w:t>
      </w:r>
      <w:r>
        <w:rPr>
          <w:rFonts w:asciiTheme="majorHAnsi" w:hAnsiTheme="majorHAnsi" w:cstheme="majorHAnsi"/>
          <w:b/>
          <w:sz w:val="20"/>
          <w:u w:val="single"/>
        </w:rPr>
        <w:t xml:space="preserve">Haverá comportamento negligente quando a Administração Pública permanecer inerte após o </w:t>
        <w:lastRenderedPageBreak/>
        <w:t>recebimento de notificação formal de que a empresa contratada está descumprindo suas obrigações trabalhistas, enviada pelo trabalhador, sindicato, Ministério do Trabalho, Ministério Público, Defensoria Pública ou outro meio idôneo</w:t>
      </w:r>
      <w:r>
        <w:rPr>
          <w:rFonts w:asciiTheme="majorHAnsi" w:hAnsiTheme="majorHAnsi" w:cstheme="majorHAnsi"/>
          <w:sz w:val="20"/>
        </w:rPr>
        <w:t xml:space="preserve">. 3. Constitui responsabilidade da Administração Pública garantir as condições de segurança, higiene e salubridade dos trabalhadores, quando o trabalho for realizado em suas dependências ou local previamente convencionado em contrato, nos termos do art. 5º-A, § 3º, da Lei nº 6.019/1974. 4. Nos contratos de terceirização, a Administração Pública deverá: (i) exigir da contratada a comprovação de capital social integralizado compatível com o número de empregados, na forma do art. 4º-B da Lei nº 6.019/1974; e (ii) adotar medidas para assegurar o cumprimento das obrigações trabalhistas pela contratada, na forma do art. 121, § 3º, da Lei nº 14.133/2021, tais como condicionar o pagamento à comprovação de quitação das obrigações trabalhistas do mês anterior”, no que foi acompanhado pelos Ministros Flávio Dino, Cármen Lúcia e Luís Roberto Barroso (Presidente); e do </w:t>
      </w:r>
      <w:r>
        <w:rPr>
          <w:rFonts w:asciiTheme="majorHAnsi" w:hAnsiTheme="majorHAnsi" w:cstheme="majorHAnsi"/>
          <w:b/>
          <w:sz w:val="20"/>
          <w:u w:val="single"/>
        </w:rPr>
        <w:t xml:space="preserve">voto divergente do Ministro Edson Fachin, que negava provimento ao recurso extraordinário e propunha a fixação da seguinte tese: “É da administração pública o ônus de comprovar que se desincumbiu de todas as medidas legais exigidas para fins de se eximir da responsabilidade por ter faltado com o dever de bem contratar e fiscalizar o cumprimento das obrigações trabalhistas por parte da empresa prestadora de serviços contratada”</w:t>
      </w:r>
      <w:r>
        <w:rPr>
          <w:rFonts w:asciiTheme="majorHAnsi" w:hAnsiTheme="majorHAnsi" w:cstheme="majorHAnsi"/>
          <w:sz w:val="20"/>
        </w:rPr>
        <w:t xml:space="preserve">, o julgamento foi suspenso. (...)” (STF – TEMA 1.118; Órgão Julgador: PLENO; Relator: Min. Nunes Marques; Julgado em: 13/02/2025) – d.n.</w:t>
      </w:r>
    </w:p>
    <w:p w:rsidR="00AA00E3" w:rsidRPr="00425B94" w:rsidRDefault="00AA00E3" w:rsidP="00AA00E3">
      <w:pPr>
        <w:pStyle w:val="Standard"/>
        <w:ind w:firstLine="1658"/>
        <w:jc w:val="both"/>
        <w:rPr>
          <w:rFonts w:asciiTheme="majorHAnsi" w:hAnsiTheme="majorHAnsi" w:cstheme="majorHAnsi"/>
          <w:sz w:val="22"/>
          <w:szCs w:val="22"/>
        </w:rPr>
      </w:pPr>
    </w:p>
    <w:p w:rsidR="00AA00E3" w:rsidRPr="00425B94" w:rsidRDefault="00AA00E3" w:rsidP="00AA00E3">
      <w:pPr>
        <w:pStyle w:val="Standard"/>
        <w:spacing w:line="360" w:lineRule="auto"/>
        <w:ind w:firstLine="1644"/>
        <w:jc w:val="both"/>
        <w:rPr>
          <w:rFonts w:asciiTheme="majorHAnsi" w:hAnsiTheme="majorHAnsi" w:cstheme="majorHAnsi"/>
        </w:rPr>
      </w:pPr>
      <w:r>
        <w:rPr>
          <w:rFonts w:asciiTheme="majorHAnsi" w:hAnsiTheme="majorHAnsi" w:cstheme="majorHAnsi"/>
          <w:sz w:val="22"/>
          <w:szCs w:val="22"/>
        </w:rPr>
        <w:t xml:space="preserve">Assim é que, inexistindo, no caso, sequer alegação, quanto mais prova cabal “(...) </w:t>
      </w:r>
      <w:r>
        <w:rPr>
          <w:rFonts w:asciiTheme="majorHAnsi" w:hAnsiTheme="majorHAnsi" w:cstheme="majorHAnsi"/>
          <w:b/>
          <w:sz w:val="22"/>
          <w:szCs w:val="22"/>
          <w:u w:val="single"/>
        </w:rPr>
        <w:t>pela parte autora, da efetiva existência de comportamento negligente ou nexo de causalidade entre o dano por ele invocado e a conduta comissiva ou omissiva do poder público</w:t>
      </w:r>
      <w:r>
        <w:rPr>
          <w:rFonts w:asciiTheme="majorHAnsi" w:hAnsiTheme="majorHAnsi" w:cstheme="majorHAnsi"/>
          <w:sz w:val="22"/>
          <w:szCs w:val="22"/>
        </w:rPr>
        <w:t>”, não como se deferir a pretendida responsabilização subsidiária da Reclamada.</w:t>
      </w:r>
    </w:p>
    <w:p w:rsidR="00840AB8" w:rsidRPr="00425B94" w:rsidRDefault="008D4E47" w:rsidP="00AC5E0A">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Ainda que assim não fosse, os documentos ora anexados demonstram a efetiva fiscalização do contrato pela ora Contestante, que exigia regularmente da prestadora de serviços a comprovação do cumprimento de suas obrigações trabalhistas, previdenciárias e fundiárias. </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De se destacar, ainda, que falta à Reclamada legítimo poder de polícia para fiscalização do cumprimento das normas trabalhistas e de medicina do trabalho pela sua contratada, poder este conferido somente a órgãos efetivamente fiscalizadores, munidos de prerrogativas legais para requisição de informações e documentos e dotados de pessoal técnico especializado.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A fiscalização encontra limites, ademais, no próprio conceito de terceirização de serviços a empresa interposta, razão pela qual a ECT não pode fazer mais do que já faz, sob pena de desvirtuar as regras da terceirização e de configurar intermediação de mão de obra, com o mascaramento da contratação de pessoal para prestação de serviços em órgão público sem prévia aprovação em concurso público.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lastRenderedPageBreak/>
        <w:t xml:space="preserve">Assim, não há que se atribuir responsabilidade civil à 2ª Reclamada, uma vez inexistente nexo causal entre qualquer conduta omissiva ou comissiva da Contestante e o alegado dano suportado pela Autora.</w:t>
      </w:r>
    </w:p>
    <w:p w:rsidR="00840AB8" w:rsidRPr="00D26757" w:rsidRDefault="008D4E4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5. DO ÔNUS PROBATÓRIO.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Como acima salientado, a ECT fiscalizou, na medida do possível e nos limites legais, a execução do contrato firmado com a 1ª Reclamada, inclusive quanto ao cumprimento das obrigações trabalhistas por esta assumidas.</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 Reclamante, por sua vez, não comprovou — nem sequer descreveu — eventual falha que pudesse configurar culpa </w:t>
      </w:r>
      <w:r>
        <w:rPr>
          <w:rFonts w:asciiTheme="majorHAnsi" w:hAnsiTheme="majorHAnsi" w:cstheme="majorHAnsi"/>
          <w:i/>
          <w:iCs/>
          <w:sz w:val="22"/>
          <w:szCs w:val="22"/>
        </w:rPr>
        <w:t>in vigilando</w:t>
      </w:r>
      <w:r>
        <w:rPr>
          <w:rFonts w:asciiTheme="majorHAnsi" w:hAnsiTheme="majorHAnsi" w:cstheme="majorHAnsi"/>
          <w:sz w:val="22"/>
          <w:szCs w:val="22"/>
        </w:rPr>
        <w:t xml:space="preserve"> da Contestante, postura que lhe competia por força do art. 373, I, do CPC e do art. 818, I, da CLT.</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Sabe-se que a responsabilidade direta e exclusiva do ente que contratou a obreira é a regra, sendo certo que a responsabilização civil de terceiro sob a modalidade solidária ou subsidiária deve ser a exceção. Por isso, cumpria à Autora justificar e demonstrar a possibilidade jurídica de se impor obrigação a terceiro que não participou da celebração do contrato de trabalho, sob pena de improcedência de seu pedido.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Não se pode, outrossim, exigir da Contestante a prova de fato negativo absoluto, o que contraria as normas legais e constitucionais do devido processo legal, em especial o art. 5º, LV, da Constituição Federal, até porque, por não ser a real empregadora, a ECT não tem acesso à realidade fática do contrato de emprego nem aos documentos necessários à efetividade da defesa.</w:t>
      </w:r>
    </w:p>
    <w:p w:rsidR="00840AB8" w:rsidRPr="007B5AFE" w:rsidRDefault="007B5AFE">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6. DA IMPUGNAÇÃO ESPECÍFICA QUANTO AOS FATOS E PEDIDOS DA INICIAL.</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Na eventual hipótese de ser afastada a preliminar e reconhecida a possibilidade de responsabilização subsidiária, esta Reclamada, por cautela e em atenção ao art. 341 do CPC, impugna especificamente todos os fatos e pedidos deduzidos na exordial, nos termos a seguir.</w:t>
      </w:r>
    </w:p>
    <w:p w:rsidR="00840AB8" w:rsidRPr="00EB57ED" w:rsidRDefault="008D4E4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 xml:space="preserve">6.1. DO PEDIDO DE RECONHECIMENTO DE VÍNCULO DE EMPREGO – IMPOSSIBILIDADE ABSOLUTA EM FACE DA ECT.</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 Reclamante requer, no item “b” do rol de pedidos, a declaração de existência de vínculo de emprego “entre a parte reclamante </w:t>
      </w:r>
      <w:r>
        <w:rPr>
          <w:rFonts w:asciiTheme="majorHAnsi" w:hAnsiTheme="majorHAnsi" w:cstheme="majorHAnsi"/>
          <w:b/>
          <w:bCs/>
          <w:sz w:val="22"/>
          <w:szCs w:val="22"/>
        </w:rPr>
        <w:t>e as reclamadas</w:t>
      </w:r>
      <w:r>
        <w:rPr>
          <w:rFonts w:asciiTheme="majorHAnsi" w:hAnsiTheme="majorHAnsi" w:cstheme="majorHAnsi"/>
          <w:sz w:val="22"/>
          <w:szCs w:val="22"/>
        </w:rPr>
        <w:t>”, no período de [DATA DE ADMISSÃO] a [TERMO FINAL DO PERÍODO SEM REGISTRO].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lastRenderedPageBreak/>
        <w:t>O pedido é juridicamente impossível em relação à ora Contestante. A ECT é empresa pública federal, integrante da Administração Pública Indireta, de modo que a admissão de empregados depende de prévia aprovação em concurso público, nos termos do art. 37, II e §2º, da Constituição Federal, sendo nulo de pleno direito qualquer reconhecimento de vínculo em desconformidade com tal exigência, conforme, aliás, dispõe expressamente o item II da Súmula 331 do C. TST.</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Ademais, a própria Autora reconhece, na causa de pedir, que sua empregadora era a 1ª Reclamada, tanto que dirige a esta o pedido de obrigação de fazer consistente na anotação da CTPS. A inclusão da ECT no polo passivo desse pedido é, portanto, fruto de mera atecnia redacional, devendo ser expressamente rechaçada.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Requer-se, assim, a improcedência do pedido em face da ECT, sem prejuízo da prescrição total já arguida.</w:t>
      </w:r>
    </w:p>
    <w:p w:rsidR="00840AB8" w:rsidRPr="0026239C" w:rsidRDefault="0026239C">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6.2. DA INEXISTÊNCIA DE RESPONSABILIDADE OBJETIVA.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De início, a Reclamada destaca que não se aplica ao caso a teoria da responsabilidade objetiva. Isso porque, tratando-se de relação jurídica de natureza trabalhista, a Constituição Federal, no inciso XXVIII do art. 7º, exige expressamente a comprovação de culpa ou dolo do empregador para impor-lhe a obrigação de indenizar, elegendo pressuposto imprescindível fundado na responsabilidade subjetiva.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De mais a mais, se o constituinte pretendesse reconhecer a responsabilidade objetiva em tais hipóteses, seria explícito, a exemplo do disposto no art. 37, §6º, da CF/88. Não sendo assim, prevalece o princípio da culpa, ausente no caso.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O disposto no parágrafo único do art. 927 do Código Civil não autoriza afirmar que a teoria do risco deva ser adotada em caráter geral, de modo a abranger qualquer caso, da forma como esposado na inicial. </w:t>
      </w:r>
      <w:r>
        <w:rPr>
          <w:rFonts w:asciiTheme="majorHAnsi" w:hAnsiTheme="majorHAnsi" w:cstheme="majorHAnsi"/>
          <w:b/>
          <w:bCs/>
          <w:sz w:val="22"/>
          <w:szCs w:val="22"/>
        </w:rPr>
        <w:t>A atividade de servente de limpeza não configura atividade de risco acentuado</w:t>
      </w:r>
      <w:r>
        <w:rPr>
          <w:rFonts w:asciiTheme="majorHAnsi" w:hAnsiTheme="majorHAnsi" w:cstheme="majorHAnsi"/>
          <w:sz w:val="22"/>
          <w:szCs w:val="22"/>
        </w:rPr>
        <w:t>, não se enquadrando na exceção legal que autorizaria a responsabilização independentemente de culpa.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Com muito maior razão a tese não se sustenta em relação à ECT, que sequer é a empregadora e que, portanto, não detinha o poder de organizar o meio ambiente de trabalho da Autora, não podendo ser alcançada por teoria fundada precisamente no risco da atividade econômica assumido pelo empregador (art. 2º da CLT).</w:t>
      </w:r>
    </w:p>
    <w:p w:rsidR="00840AB8" w:rsidRPr="00425B94" w:rsidRDefault="00840AB8">
      <w:pPr>
        <w:spacing w:line="360" w:lineRule="auto"/>
        <w:jc w:val="both"/>
        <w:rPr>
          <w:rFonts w:asciiTheme="majorHAnsi" w:hAnsiTheme="majorHAnsi" w:cstheme="majorHAnsi"/>
          <w:sz w:val="22"/>
        </w:rPr>
      </w:pPr>
    </w:p>
    <w:p w:rsidR="00840AB8" w:rsidRPr="000C4673" w:rsidRDefault="008D4E4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lastRenderedPageBreak/>
        <w:t xml:space="preserve">6.3. DA INAPLICABILIDADE DO NTEP EM FACE DA ECT.</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A Reclamante pretende ver reconhecida a presunção legal de nexo causal decorrente do Nexo Técnico Epidemiológico Previdenciário (NTEP), previsto no art. 21-A da Lei nº 8.213/1991, a partir do cruzamento entre o [CNAE DA 1ª RECLAMADA] e os códigos da CID-10.</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Sucede que o NTEP opera mediante o cruzamento estatístico entre o </w:t>
      </w:r>
      <w:r>
        <w:rPr>
          <w:rFonts w:asciiTheme="majorHAnsi" w:hAnsiTheme="majorHAnsi" w:cstheme="majorHAnsi"/>
          <w:b/>
          <w:bCs/>
          <w:sz w:val="22"/>
          <w:szCs w:val="22"/>
        </w:rPr>
        <w:t>CNAE do empregador</w:t>
      </w:r>
      <w:r>
        <w:rPr>
          <w:rFonts w:asciiTheme="majorHAnsi" w:hAnsiTheme="majorHAnsi" w:cstheme="majorHAnsi"/>
          <w:sz w:val="22"/>
          <w:szCs w:val="22"/>
        </w:rPr>
        <w:t xml:space="preserve"> e a CID do benefício. O CNAE invocado na exordial — limpeza em prédios e domicílios — é o da </w:t>
      </w:r>
      <w:r>
        <w:rPr>
          <w:rFonts w:asciiTheme="majorHAnsi" w:hAnsiTheme="majorHAnsi" w:cstheme="majorHAnsi"/>
          <w:b/>
          <w:bCs/>
          <w:sz w:val="22"/>
          <w:szCs w:val="22"/>
        </w:rPr>
        <w:t>1ª Reclamada</w:t>
      </w:r>
      <w:r>
        <w:rPr>
          <w:rFonts w:asciiTheme="majorHAnsi" w:hAnsiTheme="majorHAnsi" w:cstheme="majorHAnsi"/>
          <w:sz w:val="22"/>
          <w:szCs w:val="22"/>
        </w:rPr>
        <w:t>, jamais o da ECT, cuja atividade econômica é a exploração do serviço postal. A presunção legal, ainda que se admita sua incidência, não se estende à tomadora dos serviços, cuja eventual responsabilidade é subsidiária e depende, como visto, de demonstração de conduta culposa concreta.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Demais disso, o NTEP consubstancia presunção </w:t>
      </w:r>
      <w:r>
        <w:rPr>
          <w:rFonts w:asciiTheme="majorHAnsi" w:hAnsiTheme="majorHAnsi" w:cstheme="majorHAnsi"/>
          <w:b/>
          <w:bCs/>
          <w:sz w:val="22"/>
          <w:szCs w:val="22"/>
        </w:rPr>
        <w:t>relativa</w:t>
      </w:r>
      <w:r>
        <w:rPr>
          <w:rFonts w:asciiTheme="majorHAnsi" w:hAnsiTheme="majorHAnsi" w:cstheme="majorHAnsi"/>
          <w:sz w:val="22"/>
          <w:szCs w:val="22"/>
        </w:rPr>
        <w:t>, que admite prova em contrário, competindo ao julgador aferir, à luz da prova técnica a ser produzida, a efetiva existência de nexo entre as atividades e as moléstias — o que, no caso, é frontalmente infirmado pelos próprios documentos juntados pela Autora, conforme a seguir se demonstra.</w:t>
      </w:r>
    </w:p>
    <w:p w:rsidR="00840AB8" w:rsidRPr="002D7483" w:rsidRDefault="008D4E4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6.4. DA NATUREZA DEGENERATIVA DAS ENFERMIDADES E DA AUSÊNCIA DE NEXO CAUSAL.</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O ponto central da pretensão autoral cai por terra diante da própria documentação por ela carreada aos autos.</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Com efeito, conforme consta do laudo pericial produzido nos autos da ação previdenciária nº [Nº DA AÇÃO PREVIDENCIÁRIA], disponibilizado em [DATA DO LAUDO] e anexado à inicial, o perito médico judicial concluiu que a Reclamante era portadora de </w:t>
      </w:r>
      <w:r>
        <w:rPr>
          <w:rFonts w:asciiTheme="majorHAnsi" w:hAnsiTheme="majorHAnsi" w:cstheme="majorHAnsi"/>
          <w:b/>
          <w:bCs/>
          <w:sz w:val="22"/>
          <w:szCs w:val="22"/>
        </w:rPr>
        <w:t xml:space="preserve">[DIAGNÓSTICO CONSTANTE DO LAUDO]</w:t>
      </w:r>
      <w:r>
        <w:rPr>
          <w:rFonts w:asciiTheme="majorHAnsi" w:hAnsiTheme="majorHAnsi" w:cstheme="majorHAnsi"/>
          <w:sz w:val="22"/>
          <w:szCs w:val="22"/>
        </w:rPr>
        <w:t>, classificada sob os [CID CONSTANTES DO LAUDO].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Vale dizer: o próprio expert judicial reconheceu a natureza </w:t>
      </w:r>
      <w:r>
        <w:rPr>
          <w:rFonts w:asciiTheme="majorHAnsi" w:hAnsiTheme="majorHAnsi" w:cstheme="majorHAnsi"/>
          <w:b/>
          <w:bCs/>
          <w:sz w:val="22"/>
          <w:szCs w:val="22"/>
        </w:rPr>
        <w:t>osteodegenerativa</w:t>
      </w:r>
      <w:r>
        <w:rPr>
          <w:rFonts w:asciiTheme="majorHAnsi" w:hAnsiTheme="majorHAnsi" w:cstheme="majorHAnsi"/>
          <w:sz w:val="22"/>
          <w:szCs w:val="22"/>
        </w:rPr>
        <w:t xml:space="preserve"> — e, portanto, multifatorial e progressiva — das moléstias, o que afasta a alegação de doença ocupacional em sentido estrito e reduz a discussão, na melhor das hipóteses para a Autora, à eventual concausalidade.</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Cumpre destacar, ainda, que a Reclamante foi admitida em [DATA DE ADMISSÃO] e afastou-se em [MÊS/ANO DO AFASTAMENTO], de modo que o lapso de efetiva prestação de serviços é de [TEMPO DE EFETIVA PRESTAÇÃO DE SERVIÇOS] — período manifestamente exíguo para o desenvolvimento de quadro discal e degenerativo da extensão descrita na inicial, que abrange nada menos que </w:t>
        <w:lastRenderedPageBreak/>
        <w:t>[RELAÇÃO DE CID INDICADA NA INICIAL].</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Impugna-se, ademais, especificamente, a alegação de ocorrência de </w:t>
      </w:r>
      <w:r>
        <w:rPr>
          <w:rFonts w:asciiTheme="majorHAnsi" w:hAnsiTheme="majorHAnsi" w:cstheme="majorHAnsi"/>
          <w:b/>
          <w:bCs/>
          <w:sz w:val="22"/>
          <w:szCs w:val="22"/>
        </w:rPr>
        <w:t>queda no banheiro</w:t>
      </w:r>
      <w:r>
        <w:rPr>
          <w:rFonts w:asciiTheme="majorHAnsi" w:hAnsiTheme="majorHAnsi" w:cstheme="majorHAnsi"/>
          <w:sz w:val="22"/>
          <w:szCs w:val="22"/>
        </w:rPr>
        <w:t xml:space="preserve"> da unidade, fato narrado de forma absolutamente genérica, sem indicação de data, sem emissão de Comunicação de Acidente do Trabalho (CAT), sem registro de atendimento médico contemporâneo e sem qualquer início de prova documental — o que impõe seja tido por inexistente, nos termos do art. 818, I, da CLT.</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Impugnam-se, do mesmo modo e por serem produzidos unilateralmente, os atestados, relatórios e pareceres médicos juntados pela Autora, os quais não se prestam a comprovar nexo causal ou concausal, matéria que demanda prova técnica sob o crivo do contraditório.</w:t>
      </w:r>
    </w:p>
    <w:p w:rsidR="00840AB8" w:rsidRPr="002D7483" w:rsidRDefault="008D4E4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 xml:space="preserve">6.5. DA INEXISTÊNCIA DE INCAPACIDADE TOTAL E PERMANENTE – IMPUGNAÇÃO AO PEDIDO DE PENSÃO MENSAL.</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 Reclamante requer a declaração de incapacidade laboral </w:t>
      </w:r>
      <w:r>
        <w:rPr>
          <w:rFonts w:asciiTheme="majorHAnsi" w:hAnsiTheme="majorHAnsi" w:cstheme="majorHAnsi"/>
          <w:b/>
          <w:bCs/>
          <w:sz w:val="22"/>
          <w:szCs w:val="22"/>
        </w:rPr>
        <w:t>total (100%) e permanente</w:t>
      </w:r>
      <w:r>
        <w:rPr>
          <w:rFonts w:asciiTheme="majorHAnsi" w:hAnsiTheme="majorHAnsi" w:cstheme="majorHAnsi"/>
          <w:sz w:val="22"/>
          <w:szCs w:val="22"/>
        </w:rPr>
        <w:t>, com o consequente pagamento de pensão vitalícia em parcela única, no importe de [VALOR DA PENSÃO POSTULADA].</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O pedido, contudo, é contrariado pela própria prova que a Autora produziu. O laudo pericial da ação previdenciária, por ela juntado, concluiu pela existência de incapacidade </w:t>
      </w:r>
      <w:r>
        <w:rPr>
          <w:rFonts w:asciiTheme="majorHAnsi" w:hAnsiTheme="majorHAnsi" w:cstheme="majorHAnsi"/>
          <w:b/>
          <w:bCs/>
          <w:sz w:val="22"/>
          <w:szCs w:val="22"/>
        </w:rPr>
        <w:t>total e temporária</w:t>
      </w:r>
      <w:r>
        <w:rPr>
          <w:rFonts w:asciiTheme="majorHAnsi" w:hAnsiTheme="majorHAnsi" w:cstheme="majorHAnsi"/>
          <w:sz w:val="22"/>
          <w:szCs w:val="22"/>
        </w:rPr>
        <w:t xml:space="preserve">, e não permanente. A própria inicial, aliás, admite expressamente que “a temporalidade ou não das doenças, a duração das mesmas, a porcentagem de redução da capacidade laboral e da concausalidade, deverão ser precisadas por perito médico durante o processo”.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Ou seja: a Autora requer a declaração de incapacidade permanente e integral </w:t>
      </w:r>
      <w:r>
        <w:rPr>
          <w:rFonts w:asciiTheme="majorHAnsi" w:hAnsiTheme="majorHAnsi" w:cstheme="majorHAnsi"/>
          <w:b/>
          <w:bCs/>
          <w:sz w:val="22"/>
          <w:szCs w:val="22"/>
        </w:rPr>
        <w:t>sem qualquer suporte técnico</w:t>
      </w:r>
      <w:r>
        <w:rPr>
          <w:rFonts w:asciiTheme="majorHAnsi" w:hAnsiTheme="majorHAnsi" w:cstheme="majorHAnsi"/>
          <w:sz w:val="22"/>
          <w:szCs w:val="22"/>
        </w:rPr>
        <w:t>, fundando pretensão milionária em mera estimativa unilateral. O percentual de 100% de perda da capacidade laborativa é arbitrário e não encontra respaldo em nenhum documento dos autos.</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Soma-se a isso circunstância decisiva: a própria Reclamante afirma que </w:t>
      </w:r>
      <w:r>
        <w:rPr>
          <w:rFonts w:asciiTheme="majorHAnsi" w:hAnsiTheme="majorHAnsi" w:cstheme="majorHAnsi"/>
          <w:b/>
          <w:bCs/>
          <w:sz w:val="22"/>
          <w:szCs w:val="22"/>
        </w:rPr>
        <w:t>seu contrato de trabalho permanece ativo</w:t>
      </w:r>
      <w:r>
        <w:rPr>
          <w:rFonts w:asciiTheme="majorHAnsi" w:hAnsiTheme="majorHAnsi" w:cstheme="majorHAnsi"/>
          <w:sz w:val="22"/>
          <w:szCs w:val="22"/>
        </w:rPr>
        <w:t xml:space="preserve">, encontrando-se apenas suspenso em razão do afastamento. Não houve, portanto, rescisão contratual, nem perda definitiva da fonte de renda decorrente de conduta imputável às Reclamadas, o que esvazia por completo o fundamento do pensionamento vitalício previsto no art. 950 do Código Civil.</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Registre-se, por fim, que a Autora percebeu auxílio-doença acidentário (B91) de </w:t>
      </w:r>
      <w:r>
        <w:rPr>
          <w:rFonts w:asciiTheme="majorHAnsi" w:hAnsiTheme="majorHAnsi" w:cstheme="majorHAnsi"/>
          <w:b/>
          <w:bCs/>
          <w:sz w:val="22"/>
          <w:szCs w:val="22"/>
        </w:rPr>
        <w:t>[DIB DO BENEFÍCIO] a [DCB DO BENEFÍCIO ACIDENTÁRIO]</w:t>
      </w:r>
      <w:r>
        <w:rPr>
          <w:rFonts w:asciiTheme="majorHAnsi" w:hAnsiTheme="majorHAnsi" w:cstheme="majorHAnsi"/>
          <w:sz w:val="22"/>
          <w:szCs w:val="22"/>
        </w:rPr>
        <w:t xml:space="preserve"> e auxílio-doença previdenciário de </w:t>
      </w:r>
      <w:r>
        <w:rPr>
          <w:rFonts w:asciiTheme="majorHAnsi" w:hAnsiTheme="majorHAnsi" w:cstheme="majorHAnsi"/>
          <w:b/>
          <w:bCs/>
          <w:sz w:val="22"/>
          <w:szCs w:val="22"/>
        </w:rPr>
        <w:t>[DIB DO BENEFÍCIO PREVIDENCIÁRIO] a [DCB DO BENEFÍCIO PREVIDENCIÁRIO]</w:t>
      </w:r>
      <w:r>
        <w:rPr>
          <w:rFonts w:asciiTheme="majorHAnsi" w:hAnsiTheme="majorHAnsi" w:cstheme="majorHAnsi"/>
          <w:sz w:val="22"/>
          <w:szCs w:val="22"/>
        </w:rPr>
        <w:t xml:space="preserve">, período em que esteve amparada por benefício previdenciário substitutivo da </w:t>
        <w:lastRenderedPageBreak/>
        <w:t>remuneração — o que afasta a alegada perda patrimonial no interregno que a própria inicial computa como “parcelas vencidas”.</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Requer-se, pois, a improcedência integral do pedido de indenização por danos materiais, inclusive nas modalidades sucessivas e subsidiárias formuladas nos itens “e.1”, “e.2” e “e.3” da exordial.</w:t>
      </w:r>
    </w:p>
    <w:p w:rsidR="00840AB8" w:rsidRPr="002D7483" w:rsidRDefault="008D4E4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 xml:space="preserve">6.6. DA IMPUGNAÇÃO AOS CRITÉRIOS DE CÁLCULO DA PENSÃO.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Apenas ad cautelam, na remota hipótese de eventual condenação, impugnam-se expressamente os critérios de cálculo adotados na inicial, pelas seguintes razões:</w:t>
      </w:r>
    </w:p>
    <w:p w:rsidR="00840AB8" w:rsidRPr="00425B94" w:rsidRDefault="008D4E47">
      <w:pPr>
        <w:spacing w:line="360" w:lineRule="auto"/>
        <w:ind w:left="1701"/>
        <w:jc w:val="both"/>
        <w:rPr>
          <w:rFonts w:asciiTheme="majorHAnsi" w:hAnsiTheme="majorHAnsi" w:cstheme="majorHAnsi"/>
        </w:rPr>
      </w:pPr>
      <w:r>
        <w:rPr>
          <w:rFonts w:asciiTheme="majorHAnsi" w:hAnsiTheme="majorHAnsi" w:cstheme="majorHAnsi"/>
          <w:b/>
          <w:bCs/>
          <w:sz w:val="22"/>
          <w:szCs w:val="22"/>
        </w:rPr>
        <w:t>1)</w:t>
      </w:r>
      <w:r>
        <w:rPr>
          <w:rFonts w:asciiTheme="majorHAnsi" w:hAnsiTheme="majorHAnsi" w:cstheme="majorHAnsi"/>
          <w:sz w:val="22"/>
          <w:szCs w:val="22"/>
        </w:rPr>
        <w:t xml:space="preserve"> a inicial computa [Nº DE MESES] meses de parcelas vincendas </w:t>
      </w:r>
      <w:r>
        <w:rPr>
          <w:rFonts w:asciiTheme="majorHAnsi" w:hAnsiTheme="majorHAnsi" w:cstheme="majorHAnsi"/>
          <w:b/>
          <w:bCs/>
          <w:sz w:val="22"/>
          <w:szCs w:val="22"/>
        </w:rPr>
        <w:t>sem qualquer deságio ou redutor pela antecipação do pagamento</w:t>
      </w:r>
      <w:r>
        <w:rPr>
          <w:rFonts w:asciiTheme="majorHAnsi" w:hAnsiTheme="majorHAnsi" w:cstheme="majorHAnsi"/>
          <w:sz w:val="22"/>
          <w:szCs w:val="22"/>
        </w:rPr>
        <w:t>, o que implica manifesto enriquecimento ilícito, na medida em que a Autora receberia hoje, em valores nominais, prestações que só seriam devidas ao longo de quase três décadas;</w:t>
      </w:r>
    </w:p>
    <w:p w:rsidR="00840AB8" w:rsidRPr="00425B94" w:rsidRDefault="002D7483">
      <w:pPr>
        <w:spacing w:line="360" w:lineRule="auto"/>
        <w:ind w:left="1701"/>
        <w:jc w:val="both"/>
        <w:rPr>
          <w:rFonts w:asciiTheme="majorHAnsi" w:hAnsiTheme="majorHAnsi" w:cstheme="majorHAnsi"/>
        </w:rPr>
      </w:pPr>
      <w:r>
        <w:rPr>
          <w:rFonts w:asciiTheme="majorHAnsi" w:hAnsiTheme="majorHAnsi" w:cstheme="majorHAnsi"/>
          <w:b/>
          <w:bCs/>
          <w:sz w:val="22"/>
          <w:szCs w:val="22"/>
        </w:rPr>
        <w:t>2)</w:t>
      </w:r>
      <w:r>
        <w:rPr>
          <w:rFonts w:asciiTheme="majorHAnsi" w:hAnsiTheme="majorHAnsi" w:cstheme="majorHAnsi"/>
          <w:sz w:val="22"/>
          <w:szCs w:val="22"/>
        </w:rPr>
        <w:t xml:space="preserve"> o cômputo das parcelas ditas vencidas ignora o período de percepção de benefício previdenciário, conforme já demonstrado;</w:t>
      </w:r>
    </w:p>
    <w:p w:rsidR="00840AB8" w:rsidRPr="00425B94" w:rsidRDefault="002D7483">
      <w:pPr>
        <w:spacing w:line="360" w:lineRule="auto"/>
        <w:ind w:left="1701"/>
        <w:jc w:val="both"/>
        <w:rPr>
          <w:rFonts w:asciiTheme="majorHAnsi" w:hAnsiTheme="majorHAnsi" w:cstheme="majorHAnsi"/>
        </w:rPr>
      </w:pPr>
      <w:r>
        <w:rPr>
          <w:rFonts w:asciiTheme="majorHAnsi" w:hAnsiTheme="majorHAnsi" w:cstheme="majorHAnsi"/>
          <w:b/>
          <w:bCs/>
          <w:sz w:val="22"/>
          <w:szCs w:val="22"/>
        </w:rPr>
        <w:t>3)</w:t>
      </w:r>
      <w:r>
        <w:rPr>
          <w:rFonts w:asciiTheme="majorHAnsi" w:hAnsiTheme="majorHAnsi" w:cstheme="majorHAnsi"/>
          <w:sz w:val="22"/>
          <w:szCs w:val="22"/>
        </w:rPr>
        <w:t xml:space="preserve"> eventual pensão jamais poderia corresponder a 100% da remuneração, devendo, quando muito, guardar estrita proporcionalidade com o percentual de redução da capacidade laborativa e com o grau de concausalidade que vier a ser apurado em perícia médica judicial;</w:t>
      </w:r>
    </w:p>
    <w:p w:rsidR="00840AB8" w:rsidRPr="00425B94" w:rsidRDefault="002D7483">
      <w:pPr>
        <w:spacing w:line="360" w:lineRule="auto"/>
        <w:ind w:left="1701"/>
        <w:jc w:val="both"/>
        <w:rPr>
          <w:rFonts w:asciiTheme="majorHAnsi" w:hAnsiTheme="majorHAnsi" w:cstheme="majorHAnsi"/>
        </w:rPr>
      </w:pPr>
      <w:r>
        <w:rPr>
          <w:rFonts w:asciiTheme="majorHAnsi" w:hAnsiTheme="majorHAnsi" w:cstheme="majorHAnsi"/>
          <w:b/>
          <w:bCs/>
          <w:sz w:val="22"/>
          <w:szCs w:val="22"/>
        </w:rPr>
        <w:t>4)</w:t>
      </w:r>
      <w:r>
        <w:rPr>
          <w:rFonts w:asciiTheme="majorHAnsi" w:hAnsiTheme="majorHAnsi" w:cstheme="majorHAnsi"/>
          <w:sz w:val="22"/>
          <w:szCs w:val="22"/>
        </w:rPr>
        <w:t xml:space="preserve"> eventual condenação deverá observar a compensação com os valores pagos a idêntico título pela 1ª Reclamada, bem como os critérios de atualização previstos no art. 3º da Emenda Constitucional nº 113/2021.</w:t>
      </w:r>
    </w:p>
    <w:p w:rsidR="00840AB8" w:rsidRPr="000316EE" w:rsidRDefault="008D4E4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6.7. DA INEXISTÊNCIA DE DANOS MORAIS E DA IMPUGNAÇÃO AO QUANTUM.</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Inexistindo ato ilícito imputável à ora Contestante, inexiste o dever de indenizar. Como visto, a ECT não era a empregadora da Autora, não organizou seu meio ambiente de trabalho, não lhe forneceu equipamentos de proteção e não detinha poder diretivo sobre a prestação de serviços.</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Não há, ademais, prova do dano extrapatrimonial alegado, tampouco de sua origem laboral, sendo certo que a tese de dano moral </w:t>
      </w:r>
      <w:r>
        <w:rPr>
          <w:rFonts w:asciiTheme="majorHAnsi" w:hAnsiTheme="majorHAnsi" w:cstheme="majorHAnsi"/>
          <w:i/>
          <w:iCs/>
          <w:sz w:val="22"/>
          <w:szCs w:val="22"/>
        </w:rPr>
        <w:t xml:space="preserve">in re ipsa</w:t>
      </w:r>
      <w:r>
        <w:rPr>
          <w:rFonts w:asciiTheme="majorHAnsi" w:hAnsiTheme="majorHAnsi" w:cstheme="majorHAnsi"/>
          <w:sz w:val="22"/>
          <w:szCs w:val="22"/>
        </w:rPr>
        <w:t xml:space="preserve"> pressupõe justamente a demonstração prévia do ilícito e do nexo — pressupostos ausentes no caso.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lastRenderedPageBreak/>
        <w:t xml:space="preserve">Apenas ad cautelam, caso se entenda devido algum valor a título de dano moral, há que se observar o disposto no art. 223-G, §1º, da CLT, bem como a razoabilidade e o grau de culpa da pretensa responsável, que, se por absurdo configurada, seria extremamente leve. Devem ser repelidas indenizações desprovidas de parâmetro legal, de modo a não se transformar a reparação em fonte de enriquecimento sem causa.</w:t>
      </w:r>
    </w:p>
    <w:p w:rsidR="00840AB8" w:rsidRPr="0052441D" w:rsidRDefault="008D4E4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 xml:space="preserve">6.8. DA LIMITAÇÃO DA CONDENAÇÃO AOS VALORES INDICADOS NA INICIAL.</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A Reclamante pretende, no item “g” do rol de pedidos, que os valores atribuídos a cada pretensão sejam considerados meras estimativas, não limitativas de eventual condenação.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Requer-se, ao contrário, que eventual condenação observe estritamente os valores indicados em cada um dos pedidos, na forma do art. 840, §1º, da CLT, sob pena de julgamento </w:t>
      </w:r>
      <w:r>
        <w:rPr>
          <w:rFonts w:asciiTheme="majorHAnsi" w:hAnsiTheme="majorHAnsi" w:cstheme="majorHAnsi"/>
          <w:i/>
          <w:iCs/>
          <w:sz w:val="22"/>
          <w:szCs w:val="22"/>
        </w:rPr>
        <w:t>ultra petita</w:t>
      </w:r>
      <w:r>
        <w:rPr>
          <w:rFonts w:asciiTheme="majorHAnsi" w:hAnsiTheme="majorHAnsi" w:cstheme="majorHAnsi"/>
          <w:sz w:val="22"/>
          <w:szCs w:val="22"/>
        </w:rPr>
        <w:t xml:space="preserve"> e de supressão do contraditório, uma vez que a defesa é necessariamente construída a partir dos limites econômicos delineados na exordial. [VERIFICAR: estado atual da jurisprudência do C. TST e do E. TRT da 24ª Região sobre a limitação da condenação aos valores dos pedidos — matéria oscilante, conferir antes do protocolo]</w:t>
      </w:r>
    </w:p>
    <w:p w:rsidR="00840AB8" w:rsidRPr="0052441D" w:rsidRDefault="008D4E47">
      <w:pPr>
        <w:keepNext/>
        <w:spacing w:before="240" w:after="120" w:line="360" w:lineRule="auto"/>
        <w:ind w:left="1701"/>
        <w:jc w:val="both"/>
        <w:rPr>
          <w:rFonts w:asciiTheme="majorHAnsi" w:hAnsiTheme="majorHAnsi" w:cstheme="majorHAnsi"/>
          <w:u w:val="single"/>
        </w:rPr>
      </w:pPr>
      <w:r>
        <w:rPr>
          <w:rFonts w:asciiTheme="majorHAnsi" w:hAnsiTheme="majorHAnsi" w:cstheme="majorHAnsi"/>
          <w:b/>
          <w:bCs/>
          <w:sz w:val="22"/>
          <w:szCs w:val="22"/>
          <w:u w:val="single"/>
        </w:rPr>
        <w:t xml:space="preserve">7. DOS CRITÉRIOS DE EVENTUAL CONDENAÇÃO.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Na remota hipótese de eventual condenação subsidiária, requer, desde já:</w:t>
      </w:r>
    </w:p>
    <w:p w:rsidR="00840AB8" w:rsidRPr="00425B94" w:rsidRDefault="008D4E47">
      <w:pPr>
        <w:spacing w:line="360" w:lineRule="auto"/>
        <w:ind w:left="1701"/>
        <w:jc w:val="both"/>
        <w:rPr>
          <w:rFonts w:asciiTheme="majorHAnsi" w:hAnsiTheme="majorHAnsi" w:cstheme="majorHAnsi"/>
        </w:rPr>
      </w:pPr>
      <w:r>
        <w:rPr>
          <w:rFonts w:asciiTheme="majorHAnsi" w:hAnsiTheme="majorHAnsi" w:cstheme="majorHAnsi"/>
          <w:b/>
          <w:bCs/>
          <w:sz w:val="22"/>
          <w:szCs w:val="22"/>
        </w:rPr>
        <w:t>a)</w:t>
      </w:r>
      <w:r>
        <w:rPr>
          <w:rFonts w:asciiTheme="majorHAnsi" w:hAnsiTheme="majorHAnsi" w:cstheme="majorHAnsi"/>
          <w:sz w:val="22"/>
          <w:szCs w:val="22"/>
        </w:rPr>
        <w:t xml:space="preserve"> a estrita observância do </w:t>
      </w:r>
      <w:r>
        <w:rPr>
          <w:rFonts w:asciiTheme="majorHAnsi" w:hAnsiTheme="majorHAnsi" w:cstheme="majorHAnsi"/>
          <w:b/>
          <w:bCs/>
          <w:sz w:val="22"/>
          <w:szCs w:val="22"/>
        </w:rPr>
        <w:t>benefício de ordem</w:t>
      </w:r>
      <w:r>
        <w:rPr>
          <w:rFonts w:asciiTheme="majorHAnsi" w:hAnsiTheme="majorHAnsi" w:cstheme="majorHAnsi"/>
          <w:sz w:val="22"/>
          <w:szCs w:val="22"/>
        </w:rPr>
        <w:t>, com prévio esgotamento das medidas executivas em face da 1ª Reclamada, real empregadora, e de seus sócios, antes de qualquer direcionamento da execução à ECT;</w:t>
      </w:r>
    </w:p>
    <w:p w:rsidR="00840AB8" w:rsidRPr="00425B94" w:rsidRDefault="008D4E47">
      <w:pPr>
        <w:spacing w:line="360" w:lineRule="auto"/>
        <w:ind w:left="1701"/>
        <w:jc w:val="both"/>
        <w:rPr>
          <w:rFonts w:asciiTheme="majorHAnsi" w:hAnsiTheme="majorHAnsi" w:cstheme="majorHAnsi"/>
        </w:rPr>
      </w:pPr>
      <w:r>
        <w:rPr>
          <w:rFonts w:asciiTheme="majorHAnsi" w:hAnsiTheme="majorHAnsi" w:cstheme="majorHAnsi"/>
          <w:b/>
          <w:bCs/>
          <w:sz w:val="22"/>
          <w:szCs w:val="22"/>
        </w:rPr>
        <w:t>b)</w:t>
      </w:r>
      <w:r>
        <w:rPr>
          <w:rFonts w:asciiTheme="majorHAnsi" w:hAnsiTheme="majorHAnsi" w:cstheme="majorHAnsi"/>
          <w:sz w:val="22"/>
          <w:szCs w:val="22"/>
        </w:rPr>
        <w:t xml:space="preserve"> a limitação da responsabilidade ao período da efetiva prestação de serviços em favor da ora Contestante, nos exatos termos do item VI da Súmula 331 do C. TST;</w:t>
      </w:r>
    </w:p>
    <w:p w:rsidR="00840AB8" w:rsidRPr="00425B94" w:rsidRDefault="008D4E47">
      <w:pPr>
        <w:spacing w:line="360" w:lineRule="auto"/>
        <w:ind w:left="1701"/>
        <w:jc w:val="both"/>
        <w:rPr>
          <w:rFonts w:asciiTheme="majorHAnsi" w:hAnsiTheme="majorHAnsi" w:cstheme="majorHAnsi"/>
        </w:rPr>
      </w:pPr>
      <w:r>
        <w:rPr>
          <w:rFonts w:asciiTheme="majorHAnsi" w:hAnsiTheme="majorHAnsi" w:cstheme="majorHAnsi"/>
          <w:b/>
          <w:bCs/>
          <w:sz w:val="22"/>
          <w:szCs w:val="22"/>
        </w:rPr>
        <w:t>c)</w:t>
      </w:r>
      <w:r>
        <w:rPr>
          <w:rFonts w:asciiTheme="majorHAnsi" w:hAnsiTheme="majorHAnsi" w:cstheme="majorHAnsi"/>
          <w:sz w:val="22"/>
          <w:szCs w:val="22"/>
        </w:rPr>
        <w:t xml:space="preserve"> a exclusão, de qualquer condenação subsidiária, das parcelas de natureza estritamente personalíssima e sancionatória, bem como das obrigações de fazer atinentes a registros e retificações em CTPS, cujo cumprimento é materialmente impossível à tomadora;</w:t>
      </w:r>
    </w:p>
    <w:p w:rsidR="00840AB8" w:rsidRPr="00425B94" w:rsidRDefault="008D4E47">
      <w:pPr>
        <w:spacing w:line="360" w:lineRule="auto"/>
        <w:ind w:left="1701"/>
        <w:jc w:val="both"/>
        <w:rPr>
          <w:rFonts w:asciiTheme="majorHAnsi" w:hAnsiTheme="majorHAnsi" w:cstheme="majorHAnsi"/>
        </w:rPr>
      </w:pPr>
      <w:r>
        <w:rPr>
          <w:rFonts w:asciiTheme="majorHAnsi" w:hAnsiTheme="majorHAnsi" w:cstheme="majorHAnsi"/>
          <w:b/>
          <w:bCs/>
          <w:sz w:val="22"/>
          <w:szCs w:val="22"/>
        </w:rPr>
        <w:t>d)</w:t>
      </w:r>
      <w:r>
        <w:rPr>
          <w:rFonts w:asciiTheme="majorHAnsi" w:hAnsiTheme="majorHAnsi" w:cstheme="majorHAnsi"/>
          <w:sz w:val="22"/>
          <w:szCs w:val="22"/>
        </w:rPr>
        <w:t xml:space="preserve"> o reconhecimento da equiparação da ECT à Fazenda Pública, com isenção de custas processuais e de depósito recursal, prazo em dobro para recorrer, execução mediante precatório e incidência de juros e </w:t>
        <w:lastRenderedPageBreak/>
        <w:t>correção monetária nos termos do art. 3º da Emenda Constitucional nº 113/2021;</w:t>
      </w:r>
    </w:p>
    <w:p w:rsidR="00840AB8" w:rsidRPr="00425B94" w:rsidRDefault="008D4E47">
      <w:pPr>
        <w:spacing w:line="360" w:lineRule="auto"/>
        <w:ind w:left="1701"/>
        <w:jc w:val="both"/>
        <w:rPr>
          <w:rFonts w:asciiTheme="majorHAnsi" w:hAnsiTheme="majorHAnsi" w:cstheme="majorHAnsi"/>
        </w:rPr>
      </w:pPr>
      <w:r>
        <w:rPr>
          <w:rFonts w:asciiTheme="majorHAnsi" w:hAnsiTheme="majorHAnsi" w:cstheme="majorHAnsi"/>
          <w:b/>
          <w:bCs/>
          <w:sz w:val="22"/>
          <w:szCs w:val="22"/>
        </w:rPr>
        <w:t>e)</w:t>
      </w:r>
      <w:r>
        <w:rPr>
          <w:rFonts w:asciiTheme="majorHAnsi" w:hAnsiTheme="majorHAnsi" w:cstheme="majorHAnsi"/>
          <w:sz w:val="22"/>
          <w:szCs w:val="22"/>
        </w:rPr>
        <w:t xml:space="preserve"> a autorização para compensação e dedução dos valores comprovadamente pagos sob idênticos títulos, nos termos do art. 767 da CLT.</w:t>
      </w:r>
    </w:p>
    <w:p w:rsidR="00840AB8" w:rsidRPr="00425B94" w:rsidRDefault="008D4E47">
      <w:pPr>
        <w:keepNext/>
        <w:pBdr>
          <w:top w:val="single" w:sz="8" w:space="4" w:color="000000"/>
          <w:left w:val="single" w:sz="8" w:space="4" w:color="000000"/>
          <w:bottom w:val="single" w:sz="8" w:space="4" w:color="000000"/>
          <w:right w:val="single" w:sz="8" w:space="4" w:color="000000"/>
        </w:pBdr>
        <w:spacing w:before="360" w:after="240"/>
        <w:jc w:val="center"/>
        <w:rPr>
          <w:rFonts w:asciiTheme="majorHAnsi" w:hAnsiTheme="majorHAnsi" w:cstheme="majorHAnsi"/>
        </w:rPr>
      </w:pPr>
      <w:r>
        <w:rPr>
          <w:rFonts w:asciiTheme="majorHAnsi" w:hAnsiTheme="majorHAnsi" w:cstheme="majorHAnsi"/>
          <w:b/>
          <w:bCs/>
          <w:sz w:val="22"/>
          <w:szCs w:val="22"/>
        </w:rPr>
        <w:t>IV. DOS PEDIDOS</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Ante o exposto, requer a Vossa Excelência:</w:t>
      </w:r>
    </w:p>
    <w:p w:rsidR="00840AB8" w:rsidRPr="00425B94" w:rsidRDefault="008D4E47">
      <w:pPr>
        <w:spacing w:line="360" w:lineRule="auto"/>
        <w:ind w:left="1701"/>
        <w:jc w:val="both"/>
        <w:rPr>
          <w:rFonts w:asciiTheme="majorHAnsi" w:hAnsiTheme="majorHAnsi" w:cstheme="majorHAnsi"/>
        </w:rPr>
      </w:pPr>
      <w:r>
        <w:rPr>
          <w:rFonts w:asciiTheme="majorHAnsi" w:hAnsiTheme="majorHAnsi" w:cstheme="majorHAnsi"/>
          <w:b/>
          <w:bCs/>
          <w:sz w:val="22"/>
          <w:szCs w:val="22"/>
        </w:rPr>
        <w:t>a)</w:t>
      </w:r>
      <w:r>
        <w:rPr>
          <w:rFonts w:asciiTheme="majorHAnsi" w:hAnsiTheme="majorHAnsi" w:cstheme="majorHAnsi"/>
          <w:sz w:val="22"/>
          <w:szCs w:val="22"/>
        </w:rPr>
        <w:t xml:space="preserve"> preliminarmente, a extinção do processo sem resolução do mérito em relação à ECT, ante a sua </w:t>
      </w:r>
      <w:r>
        <w:rPr>
          <w:rFonts w:asciiTheme="majorHAnsi" w:hAnsiTheme="majorHAnsi" w:cstheme="majorHAnsi"/>
          <w:b/>
          <w:bCs/>
          <w:sz w:val="22"/>
          <w:szCs w:val="22"/>
        </w:rPr>
        <w:t>ilegitimidade passiva</w:t>
      </w:r>
      <w:r>
        <w:rPr>
          <w:rFonts w:asciiTheme="majorHAnsi" w:hAnsiTheme="majorHAnsi" w:cstheme="majorHAnsi"/>
          <w:sz w:val="22"/>
          <w:szCs w:val="22"/>
        </w:rPr>
        <w:t xml:space="preserve"> para figurar no polo passivo da presente demanda, com fulcro no art. 485, VI, c/c o art. 330, II, do CPC;</w:t>
      </w:r>
    </w:p>
    <w:p w:rsidR="00840AB8" w:rsidRPr="00425B94" w:rsidRDefault="008D4E47">
      <w:pPr>
        <w:spacing w:line="360" w:lineRule="auto"/>
        <w:ind w:left="1701"/>
        <w:jc w:val="both"/>
        <w:rPr>
          <w:rFonts w:asciiTheme="majorHAnsi" w:hAnsiTheme="majorHAnsi" w:cstheme="majorHAnsi"/>
        </w:rPr>
      </w:pPr>
      <w:r>
        <w:rPr>
          <w:rFonts w:asciiTheme="majorHAnsi" w:hAnsiTheme="majorHAnsi" w:cstheme="majorHAnsi"/>
          <w:b/>
          <w:bCs/>
          <w:sz w:val="22"/>
          <w:szCs w:val="22"/>
        </w:rPr>
        <w:t>b)</w:t>
      </w:r>
      <w:r>
        <w:rPr>
          <w:rFonts w:asciiTheme="majorHAnsi" w:hAnsiTheme="majorHAnsi" w:cstheme="majorHAnsi"/>
          <w:sz w:val="22"/>
          <w:szCs w:val="22"/>
        </w:rPr>
        <w:t xml:space="preserve"> o pronunciamento da </w:t>
      </w:r>
      <w:r>
        <w:rPr>
          <w:rFonts w:asciiTheme="majorHAnsi" w:hAnsiTheme="majorHAnsi" w:cstheme="majorHAnsi"/>
          <w:b/>
          <w:bCs/>
          <w:sz w:val="22"/>
          <w:szCs w:val="22"/>
        </w:rPr>
        <w:t>prescrição quinquenal</w:t>
      </w:r>
      <w:r>
        <w:rPr>
          <w:rFonts w:asciiTheme="majorHAnsi" w:hAnsiTheme="majorHAnsi" w:cstheme="majorHAnsi"/>
          <w:sz w:val="22"/>
          <w:szCs w:val="22"/>
        </w:rPr>
        <w:t xml:space="preserve">, com a extinção, com resolução de mérito (art. 487, II, do CPC), das pretensões anteriores a [MARCO PRESCRICIONAL QUINQUENAL], em especial o pedido de reconhecimento de vínculo relativo ao período de [DATA DE ADMISSÃO] a [TERMO FINAL DO PERÍODO SEM REGISTRO], bem como o acolhimento da prejudicial de prescrição da pretensão indenizatória;</w:t>
      </w:r>
    </w:p>
    <w:p w:rsidR="00840AB8" w:rsidRPr="00425B94" w:rsidRDefault="008D4E47">
      <w:pPr>
        <w:spacing w:line="360" w:lineRule="auto"/>
        <w:ind w:left="1701"/>
        <w:jc w:val="both"/>
        <w:rPr>
          <w:rFonts w:asciiTheme="majorHAnsi" w:hAnsiTheme="majorHAnsi" w:cstheme="majorHAnsi"/>
        </w:rPr>
      </w:pPr>
      <w:r>
        <w:rPr>
          <w:rFonts w:asciiTheme="majorHAnsi" w:hAnsiTheme="majorHAnsi" w:cstheme="majorHAnsi"/>
          <w:b/>
          <w:bCs/>
          <w:sz w:val="22"/>
          <w:szCs w:val="22"/>
        </w:rPr>
        <w:t>c)</w:t>
      </w:r>
      <w:r>
        <w:rPr>
          <w:rFonts w:asciiTheme="majorHAnsi" w:hAnsiTheme="majorHAnsi" w:cstheme="majorHAnsi"/>
          <w:sz w:val="22"/>
          <w:szCs w:val="22"/>
        </w:rPr>
        <w:t xml:space="preserve"> no mérito, a </w:t>
      </w:r>
      <w:r>
        <w:rPr>
          <w:rFonts w:asciiTheme="majorHAnsi" w:hAnsiTheme="majorHAnsi" w:cstheme="majorHAnsi"/>
          <w:b/>
          <w:bCs/>
          <w:sz w:val="22"/>
          <w:szCs w:val="22"/>
        </w:rPr>
        <w:t>total improcedência</w:t>
      </w:r>
      <w:r>
        <w:rPr>
          <w:rFonts w:asciiTheme="majorHAnsi" w:hAnsiTheme="majorHAnsi" w:cstheme="majorHAnsi"/>
          <w:sz w:val="22"/>
          <w:szCs w:val="22"/>
        </w:rPr>
        <w:t xml:space="preserve"> dos pedidos em face da ECT, em virtude da vedação legal contida no art. 77, §1º, da Lei nº 13.303/16 e do decidido pelo E. STF na ADC 16;</w:t>
      </w:r>
    </w:p>
    <w:p w:rsidR="00840AB8" w:rsidRPr="00425B94" w:rsidRDefault="008D4E47">
      <w:pPr>
        <w:spacing w:line="360" w:lineRule="auto"/>
        <w:ind w:left="1701"/>
        <w:jc w:val="both"/>
        <w:rPr>
          <w:rFonts w:asciiTheme="majorHAnsi" w:hAnsiTheme="majorHAnsi" w:cstheme="majorHAnsi"/>
        </w:rPr>
      </w:pPr>
      <w:r>
        <w:rPr>
          <w:rFonts w:asciiTheme="majorHAnsi" w:hAnsiTheme="majorHAnsi" w:cstheme="majorHAnsi"/>
          <w:b/>
          <w:bCs/>
          <w:sz w:val="22"/>
          <w:szCs w:val="22"/>
        </w:rPr>
        <w:t>d)</w:t>
      </w:r>
      <w:r>
        <w:rPr>
          <w:rFonts w:asciiTheme="majorHAnsi" w:hAnsiTheme="majorHAnsi" w:cstheme="majorHAnsi"/>
          <w:sz w:val="22"/>
          <w:szCs w:val="22"/>
        </w:rPr>
        <w:t xml:space="preserve"> sucessivamente, a improcedência dos pedidos em relação à ECT ante a inexistência de elementos configuradores de responsabilidade subsidiária, por ausência de culpa </w:t>
      </w:r>
      <w:r>
        <w:rPr>
          <w:rFonts w:asciiTheme="majorHAnsi" w:hAnsiTheme="majorHAnsi" w:cstheme="majorHAnsi"/>
          <w:i/>
          <w:iCs/>
          <w:sz w:val="22"/>
          <w:szCs w:val="22"/>
        </w:rPr>
        <w:t xml:space="preserve">in eligendo</w:t>
      </w:r>
      <w:r>
        <w:rPr>
          <w:rFonts w:asciiTheme="majorHAnsi" w:hAnsiTheme="majorHAnsi" w:cstheme="majorHAnsi"/>
          <w:sz w:val="22"/>
          <w:szCs w:val="22"/>
        </w:rPr>
        <w:t xml:space="preserve"> e </w:t>
      </w:r>
      <w:r>
        <w:rPr>
          <w:rFonts w:asciiTheme="majorHAnsi" w:hAnsiTheme="majorHAnsi" w:cstheme="majorHAnsi"/>
          <w:i/>
          <w:iCs/>
          <w:sz w:val="22"/>
          <w:szCs w:val="22"/>
        </w:rPr>
        <w:t>in vigilando</w:t>
      </w:r>
      <w:r>
        <w:rPr>
          <w:rFonts w:asciiTheme="majorHAnsi" w:hAnsiTheme="majorHAnsi" w:cstheme="majorHAnsi"/>
          <w:sz w:val="22"/>
          <w:szCs w:val="22"/>
        </w:rPr>
        <w:t>;</w:t>
      </w:r>
    </w:p>
    <w:p w:rsidR="00840AB8" w:rsidRPr="00425B94" w:rsidRDefault="008D4E47">
      <w:pPr>
        <w:spacing w:line="360" w:lineRule="auto"/>
        <w:ind w:left="1701"/>
        <w:jc w:val="both"/>
        <w:rPr>
          <w:rFonts w:asciiTheme="majorHAnsi" w:hAnsiTheme="majorHAnsi" w:cstheme="majorHAnsi"/>
        </w:rPr>
      </w:pPr>
      <w:r>
        <w:rPr>
          <w:rFonts w:asciiTheme="majorHAnsi" w:hAnsiTheme="majorHAnsi" w:cstheme="majorHAnsi"/>
          <w:b/>
          <w:bCs/>
          <w:sz w:val="22"/>
          <w:szCs w:val="22"/>
        </w:rPr>
        <w:t>e)</w:t>
      </w:r>
      <w:r>
        <w:rPr>
          <w:rFonts w:asciiTheme="majorHAnsi" w:hAnsiTheme="majorHAnsi" w:cstheme="majorHAnsi"/>
          <w:sz w:val="22"/>
          <w:szCs w:val="22"/>
        </w:rPr>
        <w:t xml:space="preserve"> sucessivamente, na remota hipótese de condenação, a observância integral dos critérios delineados no item 7 do mérito;</w:t>
      </w:r>
    </w:p>
    <w:p w:rsidR="00840AB8" w:rsidRPr="00425B94" w:rsidRDefault="008D4E47">
      <w:pPr>
        <w:spacing w:line="360" w:lineRule="auto"/>
        <w:ind w:left="1701"/>
        <w:jc w:val="both"/>
        <w:rPr>
          <w:rFonts w:asciiTheme="majorHAnsi" w:hAnsiTheme="majorHAnsi" w:cstheme="majorHAnsi"/>
        </w:rPr>
      </w:pPr>
      <w:r>
        <w:rPr>
          <w:rFonts w:asciiTheme="majorHAnsi" w:hAnsiTheme="majorHAnsi" w:cstheme="majorHAnsi"/>
          <w:b/>
          <w:bCs/>
          <w:sz w:val="22"/>
          <w:szCs w:val="22"/>
        </w:rPr>
        <w:t>f)</w:t>
      </w:r>
      <w:r>
        <w:rPr>
          <w:rFonts w:asciiTheme="majorHAnsi" w:hAnsiTheme="majorHAnsi" w:cstheme="majorHAnsi"/>
          <w:sz w:val="22"/>
          <w:szCs w:val="22"/>
        </w:rPr>
        <w:t xml:space="preserve"> a expedição de ofício à 1ª Reclamada para juntada de toda a documentação funcional e médico-ocupacional da Autora, na forma requerida no item 1 do mérito;</w:t>
      </w:r>
    </w:p>
    <w:p w:rsidR="00840AB8" w:rsidRPr="00425B94" w:rsidRDefault="008D4E47">
      <w:pPr>
        <w:spacing w:line="360" w:lineRule="auto"/>
        <w:ind w:left="1701"/>
        <w:jc w:val="both"/>
        <w:rPr>
          <w:rFonts w:asciiTheme="majorHAnsi" w:hAnsiTheme="majorHAnsi" w:cstheme="majorHAnsi"/>
        </w:rPr>
      </w:pPr>
      <w:r>
        <w:rPr>
          <w:rFonts w:asciiTheme="majorHAnsi" w:hAnsiTheme="majorHAnsi" w:cstheme="majorHAnsi"/>
          <w:b/>
          <w:bCs/>
          <w:sz w:val="22"/>
          <w:szCs w:val="22"/>
        </w:rPr>
        <w:t>g)</w:t>
      </w:r>
      <w:r>
        <w:rPr>
          <w:rFonts w:asciiTheme="majorHAnsi" w:hAnsiTheme="majorHAnsi" w:cstheme="majorHAnsi"/>
          <w:sz w:val="22"/>
          <w:szCs w:val="22"/>
        </w:rPr>
        <w:t xml:space="preserve"> a condenação da Reclamante ao pagamento das custas processuais e dos honorários advocatícios sucumbenciais, no importe de 15% do valor da causa, nos termos do art. 791-A da CLT.</w:t>
      </w:r>
    </w:p>
    <w:p w:rsidR="00840AB8" w:rsidRPr="00425B94" w:rsidRDefault="00840AB8">
      <w:pPr>
        <w:spacing w:line="360" w:lineRule="auto"/>
        <w:jc w:val="both"/>
        <w:rPr>
          <w:rFonts w:asciiTheme="majorHAnsi" w:hAnsiTheme="majorHAnsi" w:cstheme="majorHAnsi"/>
          <w:sz w:val="22"/>
        </w:rPr>
      </w:pP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Protesta pela produção de todos os meios de prova em direito admitidos, especialmente o depoimento pessoal da Reclamante, sob pena de confissão, a inquirição </w:t>
        <w:lastRenderedPageBreak/>
        <w:t xml:space="preserve">de testemunhas, a juntada de novos documentos e, notadamente, a realização de </w:t>
      </w:r>
      <w:r>
        <w:rPr>
          <w:rFonts w:asciiTheme="majorHAnsi" w:hAnsiTheme="majorHAnsi" w:cstheme="majorHAnsi"/>
          <w:b/>
          <w:bCs/>
          <w:sz w:val="22"/>
          <w:szCs w:val="22"/>
        </w:rPr>
        <w:t>perícia médica judicial</w:t>
      </w:r>
      <w:r>
        <w:rPr>
          <w:rFonts w:asciiTheme="majorHAnsi" w:hAnsiTheme="majorHAnsi" w:cstheme="majorHAnsi"/>
          <w:sz w:val="22"/>
          <w:szCs w:val="22"/>
        </w:rPr>
        <w:t xml:space="preserve"> e de </w:t>
      </w:r>
      <w:r>
        <w:rPr>
          <w:rFonts w:asciiTheme="majorHAnsi" w:hAnsiTheme="majorHAnsi" w:cstheme="majorHAnsi"/>
          <w:b/>
          <w:bCs/>
          <w:sz w:val="22"/>
          <w:szCs w:val="22"/>
        </w:rPr>
        <w:t>perícia técnica no ambiente de trabalho</w:t>
      </w:r>
      <w:r>
        <w:rPr>
          <w:rFonts w:asciiTheme="majorHAnsi" w:hAnsiTheme="majorHAnsi" w:cstheme="majorHAnsi"/>
          <w:sz w:val="22"/>
          <w:szCs w:val="22"/>
        </w:rPr>
        <w:t>, sem exclusão de qualquer outro, por mais especial que seja.</w:t>
      </w:r>
    </w:p>
    <w:p w:rsidR="003659BA" w:rsidRDefault="008D4E47" w:rsidP="003659BA">
      <w:pPr>
        <w:spacing w:line="360" w:lineRule="auto"/>
        <w:ind w:firstLine="1701"/>
        <w:jc w:val="both"/>
        <w:rPr>
          <w:rFonts w:asciiTheme="majorHAnsi" w:hAnsiTheme="majorHAnsi" w:cstheme="majorHAnsi"/>
          <w:sz w:val="22"/>
          <w:szCs w:val="22"/>
        </w:rPr>
      </w:pPr>
      <w:r>
        <w:rPr>
          <w:rFonts w:asciiTheme="majorHAnsi" w:hAnsiTheme="majorHAnsi" w:cstheme="majorHAnsi"/>
          <w:sz w:val="22"/>
          <w:szCs w:val="22"/>
        </w:rPr>
        <w:t xml:space="preserve">Por fim, desde já concorda a ECT com a adoção de Juízo 100% digital ou, sucessivamente, requer seja autorizada a realização de audiências telepresenciais ou híbridas para a instrução do presente feito.</w:t>
      </w:r>
    </w:p>
    <w:p w:rsidR="003659BA" w:rsidRDefault="008D4E47" w:rsidP="003659BA">
      <w:pPr>
        <w:spacing w:line="360" w:lineRule="auto"/>
        <w:ind w:firstLine="1701"/>
        <w:jc w:val="both"/>
        <w:rPr>
          <w:rFonts w:asciiTheme="majorHAnsi" w:hAnsiTheme="majorHAnsi" w:cstheme="majorHAnsi"/>
          <w:sz w:val="22"/>
          <w:szCs w:val="22"/>
        </w:rPr>
      </w:pPr>
      <w:r>
        <w:rPr>
          <w:rFonts w:asciiTheme="majorHAnsi" w:hAnsiTheme="majorHAnsi" w:cstheme="majorHAnsi"/>
          <w:sz w:val="22"/>
          <w:szCs w:val="22"/>
        </w:rPr>
        <w:t>Nesses Termos,</w:t>
      </w:r>
    </w:p>
    <w:p w:rsidR="00840AB8" w:rsidRPr="00425B94" w:rsidRDefault="008D4E47" w:rsidP="003659BA">
      <w:pPr>
        <w:spacing w:line="360" w:lineRule="auto"/>
        <w:ind w:firstLine="1701"/>
        <w:jc w:val="both"/>
        <w:rPr>
          <w:rFonts w:asciiTheme="majorHAnsi" w:hAnsiTheme="majorHAnsi" w:cstheme="majorHAnsi"/>
        </w:rPr>
      </w:pPr>
      <w:r>
        <w:rPr>
          <w:rFonts w:asciiTheme="majorHAnsi" w:hAnsiTheme="majorHAnsi" w:cstheme="majorHAnsi"/>
          <w:sz w:val="22"/>
          <w:szCs w:val="22"/>
        </w:rPr>
        <w:t>Pede Deferimento.</w:t>
      </w:r>
    </w:p>
    <w:p w:rsidR="00840AB8" w:rsidRPr="00425B94" w:rsidRDefault="008D4E47">
      <w:pPr>
        <w:spacing w:line="360" w:lineRule="auto"/>
        <w:ind w:firstLine="1701"/>
        <w:jc w:val="both"/>
        <w:rPr>
          <w:rFonts w:asciiTheme="majorHAnsi" w:hAnsiTheme="majorHAnsi" w:cstheme="majorHAnsi"/>
        </w:rPr>
      </w:pPr>
      <w:r>
        <w:rPr>
          <w:rFonts w:asciiTheme="majorHAnsi" w:hAnsiTheme="majorHAnsi" w:cstheme="majorHAnsi"/>
          <w:sz w:val="22"/>
          <w:szCs w:val="22"/>
        </w:rPr>
        <w:t xml:space="preserve">Campo Grande/MS, data de assinatura eletrônica.</w:t>
      </w:r>
    </w:p>
    <w:p w:rsidR="00840AB8" w:rsidRPr="00425B94" w:rsidRDefault="00840AB8">
      <w:pPr>
        <w:spacing w:line="360" w:lineRule="auto"/>
        <w:jc w:val="both"/>
        <w:rPr>
          <w:rFonts w:asciiTheme="majorHAnsi" w:hAnsiTheme="majorHAnsi" w:cstheme="majorHAnsi"/>
          <w:sz w:val="22"/>
        </w:rPr>
      </w:pPr>
    </w:p>
    <w:p w:rsidR="00840AB8" w:rsidRPr="00425B94" w:rsidRDefault="00840AB8">
      <w:pPr>
        <w:spacing w:line="360" w:lineRule="auto"/>
        <w:jc w:val="both"/>
        <w:rPr>
          <w:rFonts w:asciiTheme="majorHAnsi" w:hAnsiTheme="majorHAnsi" w:cstheme="majorHAnsi"/>
          <w:sz w:val="22"/>
        </w:rPr>
      </w:pPr>
    </w:p>
    <w:p w:rsidR="00840AB8" w:rsidRPr="00425B94" w:rsidRDefault="008D4E47">
      <w:pPr>
        <w:jc w:val="center"/>
        <w:rPr>
          <w:rFonts w:asciiTheme="majorHAnsi" w:hAnsiTheme="majorHAnsi" w:cstheme="majorHAnsi"/>
        </w:rPr>
      </w:pPr>
      <w:r>
        <w:rPr>
          <w:rFonts w:asciiTheme="majorHAnsi" w:hAnsiTheme="majorHAnsi" w:cstheme="majorHAnsi"/>
          <w:b/>
          <w:bCs/>
          <w:sz w:val="22"/>
          <w:szCs w:val="22"/>
        </w:rPr>
        <w:t>Marcos Hideki Kamibayashi</w:t>
      </w:r>
    </w:p>
    <w:p w:rsidR="00840AB8" w:rsidRPr="00425B94" w:rsidRDefault="008D4E47">
      <w:pPr>
        <w:jc w:val="center"/>
        <w:rPr>
          <w:rFonts w:asciiTheme="majorHAnsi" w:hAnsiTheme="majorHAnsi" w:cstheme="majorHAnsi"/>
        </w:rPr>
      </w:pPr>
      <w:r>
        <w:rPr>
          <w:rFonts w:asciiTheme="majorHAnsi" w:hAnsiTheme="majorHAnsi" w:cstheme="majorHAnsi"/>
          <w:b/>
          <w:bCs/>
          <w:sz w:val="22"/>
          <w:szCs w:val="22"/>
        </w:rPr>
        <w:t>OAB/MS 14.580</w:t>
      </w:r>
      <w:bookmarkStart w:id="0" w:name="_GoBack"/>
      <w:bookmarkEnd w:id="0"/>
    </w:p>
    <w:sectPr w:rsidR="00840AB8" w:rsidRPr="00425B94">
      <w:headerReference w:type="default" r:id="rId8"/>
      <w:footerReference w:type="default" r:id="rId9"/>
      <w:pgSz w:w="11906" w:h="16838"/>
      <w:pgMar w:top="907" w:right="851" w:bottom="1247" w:left="2268" w:header="851" w:footer="856" w:gutter="0"/>
      <w:cols w:space="720"/>
      <w:formProt w:val="0"/>
      <w:docGrid w:linePitch="600" w:charSpace="2457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4E47" w:rsidRDefault="008D4E47">
      <w:r>
        <w:separator/>
      </w:r>
    </w:p>
  </w:endnote>
  <w:endnote w:type="continuationSeparator" w:id="0">
    <w:p w:rsidR="008D4E47" w:rsidRDefault="008D4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0AB8" w:rsidRDefault="00840AB8">
    <w:pPr>
      <w:pStyle w:val="Rodap"/>
      <w:ind w:right="360"/>
      <w:jc w:val="center"/>
    </w:pPr>
  </w:p>
  <w:p w:rsidR="00840AB8" w:rsidRDefault="008D4E47">
    <w:pPr>
      <w:pStyle w:val="Rodap"/>
      <w:ind w:right="360"/>
      <w:jc w:val="center"/>
    </w:pPr>
    <w:r>
      <w:rPr>
        <w:rFonts w:ascii="Arial Narrow" w:hAnsi="Arial Narrow"/>
        <w:noProof/>
        <w:sz w:val="20"/>
      </w:rPr>
      <mc:AlternateContent>
        <mc:Choice Requires="wps">
          <w:drawing>
            <wp:anchor distT="0" distB="0" distL="0" distR="0" simplePos="0" relativeHeight="73" behindDoc="1" locked="0" layoutInCell="1" allowOverlap="1">
              <wp:simplePos x="0" y="0"/>
              <wp:positionH relativeFrom="column">
                <wp:posOffset>0</wp:posOffset>
              </wp:positionH>
              <wp:positionV relativeFrom="paragraph">
                <wp:posOffset>-25400</wp:posOffset>
              </wp:positionV>
              <wp:extent cx="36195" cy="36195"/>
              <wp:effectExtent l="2953385" t="0" r="2953385" b="0"/>
              <wp:wrapNone/>
              <wp:docPr id="2" name="Conector reto 3"/>
              <wp:cNvGraphicFramePr/>
              <a:graphic xmlns:a="http://schemas.openxmlformats.org/drawingml/2006/main">
                <a:graphicData uri="http://schemas.microsoft.com/office/word/2010/wordprocessingShape">
                  <wps:wsp>
                    <wps:cNvCnPr/>
                    <wps:spPr>
                      <a:xfrm>
                        <a:off x="0" y="0"/>
                        <a:ext cx="59439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Conector reto 3" stroked="t" o:allowincell="f" style="position:absolute;margin-left:0pt;margin-top:-2pt;width:468pt;height:0pt" type="_x0000_t32">
              <v:stroke color="black" weight="9360" joinstyle="miter" endcap="flat"/>
              <v:fill o:detectmouseclick="t" on="false"/>
              <w10:wrap type="none"/>
            </v:shape>
          </w:pict>
        </mc:Fallback>
      </mc:AlternateContent>
    </w:r>
    <w:r>
      <w:rPr>
        <w:rFonts w:ascii="Arial Narrow" w:hAnsi="Arial Narrow"/>
        <w:sz w:val="20"/>
      </w:rPr>
      <w:t xml:space="preserve">Av. Calógeras, 2309 – Centro – Campo Grande/MS – CEP 79.002-970 – Fone: (67) </w:t>
    </w:r>
    <w:r w:rsidR="0092227A">
      <w:rPr>
        <w:rFonts w:ascii="Arial Narrow" w:hAnsi="Arial Narrow"/>
        <w:sz w:val="20"/>
      </w:rPr>
      <w:t>2109</w:t>
    </w:r>
    <w:r>
      <w:rPr>
        <w:rFonts w:ascii="Arial Narrow" w:hAnsi="Arial Narrow"/>
        <w:sz w:val="20"/>
      </w:rPr>
      <w:t>-</w:t>
    </w:r>
    <w:r w:rsidR="0092227A">
      <w:rPr>
        <w:rFonts w:ascii="Arial Narrow" w:hAnsi="Arial Narrow"/>
        <w:sz w:val="20"/>
      </w:rPr>
      <w:t>1</w:t>
    </w:r>
    <w:r>
      <w:rPr>
        <w:rFonts w:ascii="Arial Narrow" w:hAnsi="Arial Narrow"/>
        <w:sz w:val="20"/>
      </w:rPr>
      <w:t>004</w:t>
    </w:r>
    <w:r>
      <w:rPr>
        <w:noProof/>
      </w:rPr>
      <mc:AlternateContent>
        <mc:Choice Requires="wps">
          <w:drawing>
            <wp:anchor distT="0" distB="0" distL="0" distR="0" simplePos="0" relativeHeight="109" behindDoc="0" locked="0" layoutInCell="0" allowOverlap="1">
              <wp:simplePos x="0" y="0"/>
              <wp:positionH relativeFrom="page">
                <wp:posOffset>6681470</wp:posOffset>
              </wp:positionH>
              <wp:positionV relativeFrom="paragraph">
                <wp:posOffset>-32385</wp:posOffset>
              </wp:positionV>
              <wp:extent cx="291465" cy="132715"/>
              <wp:effectExtent l="0" t="0" r="0" b="0"/>
              <wp:wrapSquare wrapText="bothSides"/>
              <wp:docPr id="3" name="Quadro1"/>
              <wp:cNvGraphicFramePr/>
              <a:graphic xmlns:a="http://schemas.openxmlformats.org/drawingml/2006/main">
                <a:graphicData uri="http://schemas.microsoft.com/office/word/2010/wordprocessingShape">
                  <wps:wsp>
                    <wps:cNvSpPr txBox="1"/>
                    <wps:spPr>
                      <a:xfrm>
                        <a:off x="0" y="0"/>
                        <a:ext cx="291465" cy="132715"/>
                      </a:xfrm>
                      <a:prstGeom prst="rect">
                        <a:avLst/>
                      </a:prstGeom>
                      <a:solidFill>
                        <a:srgbClr val="FFFFFF"/>
                      </a:solidFill>
                    </wps:spPr>
                    <wps:txbx>
                      <w:txbxContent>
                        <w:p w:rsidR="00840AB8" w:rsidRDefault="008D4E47">
                          <w:pPr>
                            <w:pStyle w:val="Rodap"/>
                          </w:pPr>
                          <w:r>
                            <w:rPr>
                              <w:rStyle w:val="Nmerodepgina"/>
                              <w:sz w:val="22"/>
                              <w:szCs w:val="22"/>
                            </w:rPr>
                            <w:fldChar w:fldCharType="begin"/>
                          </w:r>
                          <w:r>
                            <w:rPr>
                              <w:rStyle w:val="Nmerodepgina"/>
                              <w:sz w:val="22"/>
                              <w:szCs w:val="22"/>
                            </w:rPr>
                            <w:instrText xml:space="preserve"> PAGE </w:instrText>
                          </w:r>
                          <w:r>
                            <w:rPr>
                              <w:rStyle w:val="Nmerodepgina"/>
                              <w:sz w:val="22"/>
                              <w:szCs w:val="22"/>
                            </w:rPr>
                            <w:fldChar w:fldCharType="separate"/>
                          </w:r>
                          <w:r w:rsidR="0092227A">
                            <w:rPr>
                              <w:rStyle w:val="Nmerodepgina"/>
                              <w:noProof/>
                              <w:sz w:val="22"/>
                              <w:szCs w:val="22"/>
                            </w:rPr>
                            <w:t>3</w:t>
                          </w:r>
                          <w:r>
                            <w:rPr>
                              <w:rStyle w:val="Nmerodepgina"/>
                              <w:sz w:val="22"/>
                              <w:szCs w:val="22"/>
                            </w:rP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Quadro1" o:spid="_x0000_s1026" type="#_x0000_t202" style="position:absolute;left:0;text-align:left;margin-left:526.1pt;margin-top:-2.55pt;width:22.95pt;height:10.45pt;z-index:109;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MxSqwEAAEkDAAAOAAAAZHJzL2Uyb0RvYy54bWysU9uO0zAQfUfiHyy/0zRddoGo6QpYFSEh&#10;Llr4AMexG0u2xxq7Tfr3jJ2mu4I3RB6cueV4zpnJ9n5ylp0URgO+5fVqzZnyEnrjDy3/9XP/6i1n&#10;MQnfCwtetfysIr/fvXyxHUOjNjCA7RUyAvGxGUPLh5RCU1VRDsqJuIKgPCU1oBOJXDxUPYqR0J2t&#10;Nuv1XTUC9gFBqhgp+jAn+a7ga61k+qZ1VInZllNvqZxYzi6f1W4rmgOKMBh5aUP8QxdOGE+XXqEe&#10;RBLsiOYvKGckQgSdVhJcBVobqQoHYlOv/2DzOIigChcSJ4arTPH/wcqvp+/ITN/yG868cDSiH0fR&#10;I9RZmjHEhioeA9Wk6QNMNOIlHimYGU8aXX4TF0Z5Evl8FVZNiUkKbt7Vr+9uOZOUqm82b+rbjFI9&#10;fRwwpk8KHMtGy5HmVuQUpy8xzaVLSb4rgjX93lhbHDx0Hy2yk6AZ78tzQX9WVmUqc8vZSlM3Xfh1&#10;0J+Jnv3sSda8IouBi9EthvByAFqeuTcP748JtCn9ZdAZiXhlh+ZVGF52Ky/Ec79UPf0Bu98AAAD/&#10;/wMAUEsDBBQABgAIAAAAIQBOIv+I3wAAAAsBAAAPAAAAZHJzL2Rvd25yZXYueG1sTI/BbsIwEETv&#10;lfoP1lbqpQKbSEFpiINaaG/tAYo4m9gkUeN1ZDsk/H2XU7nNaJ9mZ4r1ZDt2MT60DiUs5gKYwcrp&#10;FmsJh5/PWQYsRIVadQ6NhKsJsC4fHwqVazfizlz2sWYUgiFXEpoY+5zzUDXGqjB3vUG6nZ23KpL1&#10;NddejRRuO54IseRWtUgfGtWbTWOq3/1gJSy3fhh3uHnZHj6+1HdfJ8f361HK56fpbQUsmin+w3Cr&#10;T9WhpE4nN6AOrCMv0iQhVsIsXQC7EeI1I3UilWbAy4Lfbyj/AAAA//8DAFBLAQItABQABgAIAAAA&#10;IQC2gziS/gAAAOEBAAATAAAAAAAAAAAAAAAAAAAAAABbQ29udGVudF9UeXBlc10ueG1sUEsBAi0A&#10;FAAGAAgAAAAhADj9If/WAAAAlAEAAAsAAAAAAAAAAAAAAAAALwEAAF9yZWxzLy5yZWxzUEsBAi0A&#10;FAAGAAgAAAAhAAQwzFKrAQAASQMAAA4AAAAAAAAAAAAAAAAALgIAAGRycy9lMm9Eb2MueG1sUEsB&#10;Ai0AFAAGAAgAAAAhAE4i/4jfAAAACwEAAA8AAAAAAAAAAAAAAAAABQQAAGRycy9kb3ducmV2Lnht&#10;bFBLBQYAAAAABAAEAPMAAAARBQAAAAA=&#10;" o:allowincell="f" stroked="f">
              <v:textbox inset="0,0,0,0">
                <w:txbxContent>
                  <w:p w:rsidR="00840AB8" w:rsidRDefault="008D4E47">
                    <w:pPr>
                      <w:pStyle w:val="Rodap"/>
                    </w:pPr>
                    <w:r>
                      <w:rPr>
                        <w:rStyle w:val="Nmerodepgina"/>
                        <w:sz w:val="22"/>
                        <w:szCs w:val="22"/>
                      </w:rPr>
                      <w:fldChar w:fldCharType="begin"/>
                    </w:r>
                    <w:r>
                      <w:rPr>
                        <w:rStyle w:val="Nmerodepgina"/>
                        <w:sz w:val="22"/>
                        <w:szCs w:val="22"/>
                      </w:rPr>
                      <w:instrText xml:space="preserve"> PAGE </w:instrText>
                    </w:r>
                    <w:r>
                      <w:rPr>
                        <w:rStyle w:val="Nmerodepgina"/>
                        <w:sz w:val="22"/>
                        <w:szCs w:val="22"/>
                      </w:rPr>
                      <w:fldChar w:fldCharType="separate"/>
                    </w:r>
                    <w:r w:rsidR="0092227A">
                      <w:rPr>
                        <w:rStyle w:val="Nmerodepgina"/>
                        <w:noProof/>
                        <w:sz w:val="22"/>
                        <w:szCs w:val="22"/>
                      </w:rPr>
                      <w:t>3</w:t>
                    </w:r>
                    <w:r>
                      <w:rPr>
                        <w:rStyle w:val="Nmerodepgina"/>
                        <w:sz w:val="22"/>
                        <w:szCs w:val="22"/>
                      </w:rPr>
                      <w:fldChar w:fldCharType="end"/>
                    </w:r>
                  </w:p>
                </w:txbxContent>
              </v:textbox>
              <w10:wrap type="square" anchorx="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4E47" w:rsidRDefault="008D4E47">
      <w:r>
        <w:separator/>
      </w:r>
    </w:p>
  </w:footnote>
  <w:footnote w:type="continuationSeparator" w:id="0">
    <w:p w:rsidR="008D4E47" w:rsidRDefault="008D4E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0AB8" w:rsidRDefault="00840AB8">
    <w:pPr>
      <w:pStyle w:val="Cabealho"/>
      <w:jc w:val="center"/>
      <w:rPr>
        <w:sz w:val="8"/>
      </w:rPr>
    </w:pPr>
  </w:p>
  <w:tbl>
    <w:tblPr>
      <w:tblW w:w="8910" w:type="dxa"/>
      <w:tblInd w:w="8" w:type="dxa"/>
      <w:tblLayout w:type="fixed"/>
      <w:tblCellMar>
        <w:left w:w="0" w:type="dxa"/>
        <w:right w:w="0" w:type="dxa"/>
      </w:tblCellMar>
      <w:tblLook w:val="0000" w:firstRow="0" w:lastRow="0" w:firstColumn="0" w:lastColumn="0" w:noHBand="0" w:noVBand="0"/>
    </w:tblPr>
    <w:tblGrid>
      <w:gridCol w:w="2723"/>
      <w:gridCol w:w="6187"/>
    </w:tblGrid>
    <w:tr w:rsidR="00840AB8">
      <w:tc>
        <w:tcPr>
          <w:tcW w:w="2723" w:type="dxa"/>
        </w:tcPr>
        <w:p w:rsidR="00840AB8" w:rsidRDefault="008D4E47">
          <w:pPr>
            <w:pStyle w:val="Cabealho"/>
            <w:snapToGrid w:val="0"/>
          </w:pPr>
          <w:r>
            <w:rPr>
              <w:noProof/>
            </w:rPr>
            <w:drawing>
              <wp:inline distT="0" distB="0" distL="0" distR="0">
                <wp:extent cx="1442720" cy="54229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stretch>
                          <a:fillRect/>
                        </a:stretch>
                      </pic:blipFill>
                      <pic:spPr bwMode="auto">
                        <a:xfrm>
                          <a:off x="0" y="0"/>
                          <a:ext cx="1442720" cy="542290"/>
                        </a:xfrm>
                        <a:prstGeom prst="rect">
                          <a:avLst/>
                        </a:prstGeom>
                      </pic:spPr>
                    </pic:pic>
                  </a:graphicData>
                </a:graphic>
              </wp:inline>
            </w:drawing>
          </w:r>
        </w:p>
      </w:tc>
      <w:tc>
        <w:tcPr>
          <w:tcW w:w="6187" w:type="dxa"/>
          <w:tcBorders>
            <w:bottom w:val="single" w:sz="4" w:space="0" w:color="000000"/>
          </w:tcBorders>
        </w:tcPr>
        <w:p w:rsidR="00840AB8" w:rsidRDefault="00840AB8">
          <w:pPr>
            <w:pStyle w:val="Cabealho"/>
            <w:jc w:val="center"/>
            <w:rPr>
              <w:rFonts w:ascii="Arial Narrow" w:hAnsi="Arial Narrow" w:cs="Arial Narrow"/>
              <w:b/>
              <w:bCs/>
              <w:sz w:val="18"/>
              <w:szCs w:val="18"/>
            </w:rPr>
          </w:pPr>
        </w:p>
        <w:p w:rsidR="00840AB8" w:rsidRDefault="008D4E47">
          <w:pPr>
            <w:pStyle w:val="Cabealho"/>
            <w:jc w:val="center"/>
            <w:rPr>
              <w:rFonts w:ascii="Arial Narrow" w:hAnsi="Arial Narrow" w:cs="Arial Narrow"/>
              <w:b/>
              <w:bCs/>
              <w:sz w:val="18"/>
              <w:szCs w:val="18"/>
            </w:rPr>
          </w:pPr>
          <w:r>
            <w:rPr>
              <w:rFonts w:ascii="Arial Narrow" w:hAnsi="Arial Narrow" w:cs="Arial Narrow"/>
              <w:b/>
              <w:bCs/>
              <w:sz w:val="18"/>
              <w:szCs w:val="18"/>
            </w:rPr>
            <w:t>EMPRESA BRASILEIRA DE CORREIOS</w:t>
          </w:r>
          <w:r>
            <w:rPr>
              <w:rFonts w:ascii="Arial Narrow" w:hAnsi="Arial Narrow" w:cs="Arial Narrow"/>
              <w:b/>
              <w:bCs/>
              <w:sz w:val="18"/>
              <w:szCs w:val="18"/>
            </w:rPr>
            <w:t xml:space="preserve"> E TELÉGRAFOS</w:t>
          </w:r>
        </w:p>
        <w:p w:rsidR="00840AB8" w:rsidRDefault="008D4E47">
          <w:pPr>
            <w:pStyle w:val="Cabealho"/>
            <w:jc w:val="center"/>
            <w:rPr>
              <w:rFonts w:ascii="Arial Narrow" w:hAnsi="Arial Narrow" w:cs="Arial Narrow"/>
              <w:b/>
              <w:bCs/>
              <w:sz w:val="18"/>
              <w:szCs w:val="18"/>
            </w:rPr>
          </w:pPr>
          <w:r>
            <w:rPr>
              <w:rFonts w:ascii="Arial Narrow" w:hAnsi="Arial Narrow" w:cs="Arial Narrow"/>
              <w:b/>
              <w:bCs/>
              <w:sz w:val="18"/>
              <w:szCs w:val="18"/>
            </w:rPr>
            <w:t>SUPERINTENDÊNCIA ESTADUAL DE MATO GROSSO DO SUL</w:t>
          </w:r>
        </w:p>
        <w:p w:rsidR="00840AB8" w:rsidRDefault="008D4E47">
          <w:pPr>
            <w:pStyle w:val="Cabealho"/>
            <w:tabs>
              <w:tab w:val="left" w:pos="1728"/>
              <w:tab w:val="left" w:pos="2160"/>
              <w:tab w:val="left" w:pos="2835"/>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napToGrid w:val="0"/>
            <w:spacing w:line="360" w:lineRule="auto"/>
            <w:jc w:val="center"/>
            <w:rPr>
              <w:rFonts w:ascii="Arial Narrow" w:hAnsi="Arial Narrow" w:cs="Arial Narrow"/>
              <w:b/>
              <w:bCs/>
              <w:sz w:val="18"/>
              <w:szCs w:val="18"/>
            </w:rPr>
          </w:pPr>
          <w:r>
            <w:rPr>
              <w:rFonts w:ascii="Arial Narrow" w:hAnsi="Arial Narrow" w:cs="Arial Narrow"/>
              <w:b/>
              <w:bCs/>
              <w:sz w:val="18"/>
              <w:szCs w:val="18"/>
            </w:rPr>
            <w:t>ASSESSORIA JURÍDICA</w:t>
          </w:r>
        </w:p>
      </w:tc>
    </w:tr>
  </w:tbl>
  <w:p w:rsidR="00840AB8" w:rsidRDefault="00840AB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512109"/>
    <w:multiLevelType w:val="multilevel"/>
    <w:tmpl w:val="1ECCBF90"/>
    <w:lvl w:ilvl="0">
      <w:start w:val="1"/>
      <w:numFmt w:val="none"/>
      <w:pStyle w:val="Ttulo1"/>
      <w:suff w:val="nothing"/>
      <w:lvlText w:val="%1"/>
      <w:lvlJc w:val="left"/>
      <w:pPr>
        <w:tabs>
          <w:tab w:val="num" w:pos="0"/>
        </w:tabs>
        <w:ind w:left="0" w:firstLine="0"/>
      </w:pPr>
    </w:lvl>
    <w:lvl w:ilvl="1">
      <w:start w:val="1"/>
      <w:numFmt w:val="none"/>
      <w:pStyle w:val="Ttulo2"/>
      <w:suff w:val="nothing"/>
      <w:lvlText w:val="%2"/>
      <w:lvlJc w:val="left"/>
      <w:pPr>
        <w:tabs>
          <w:tab w:val="num" w:pos="0"/>
        </w:tabs>
        <w:ind w:left="0" w:firstLine="0"/>
      </w:pPr>
    </w:lvl>
    <w:lvl w:ilvl="2">
      <w:start w:val="1"/>
      <w:numFmt w:val="none"/>
      <w:pStyle w:val="Ttulo3"/>
      <w:suff w:val="nothing"/>
      <w:lvlText w:val="%3"/>
      <w:lvlJc w:val="left"/>
      <w:pPr>
        <w:tabs>
          <w:tab w:val="num" w:pos="0"/>
        </w:tabs>
        <w:ind w:left="0" w:firstLine="0"/>
      </w:pPr>
    </w:lvl>
    <w:lvl w:ilvl="3">
      <w:start w:val="1"/>
      <w:numFmt w:val="none"/>
      <w:pStyle w:val="Ttulo4"/>
      <w:suff w:val="nothing"/>
      <w:lvlText w:val="%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Ttulo6"/>
      <w:suff w:val="nothing"/>
      <w:lvlText w:val="%6"/>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AB8"/>
    <w:rsid w:val="000316EE"/>
    <w:rsid w:val="000C4673"/>
    <w:rsid w:val="001F7467"/>
    <w:rsid w:val="0026239C"/>
    <w:rsid w:val="00284E07"/>
    <w:rsid w:val="002D7483"/>
    <w:rsid w:val="003659BA"/>
    <w:rsid w:val="003B2876"/>
    <w:rsid w:val="00425B94"/>
    <w:rsid w:val="00462D00"/>
    <w:rsid w:val="00463491"/>
    <w:rsid w:val="004C0172"/>
    <w:rsid w:val="0052441D"/>
    <w:rsid w:val="007B5AFE"/>
    <w:rsid w:val="007F38FF"/>
    <w:rsid w:val="007F7A64"/>
    <w:rsid w:val="00840AB8"/>
    <w:rsid w:val="008D452D"/>
    <w:rsid w:val="008D4E47"/>
    <w:rsid w:val="008E552D"/>
    <w:rsid w:val="00902463"/>
    <w:rsid w:val="0092227A"/>
    <w:rsid w:val="00922290"/>
    <w:rsid w:val="009C4689"/>
    <w:rsid w:val="00AA00E3"/>
    <w:rsid w:val="00AC5E0A"/>
    <w:rsid w:val="00C12B0C"/>
    <w:rsid w:val="00C56FDD"/>
    <w:rsid w:val="00C83BBF"/>
    <w:rsid w:val="00D02B7B"/>
    <w:rsid w:val="00D26757"/>
    <w:rsid w:val="00DA03F4"/>
    <w:rsid w:val="00DC3572"/>
    <w:rsid w:val="00DE12FB"/>
    <w:rsid w:val="00E845CE"/>
    <w:rsid w:val="00EB0E09"/>
    <w:rsid w:val="00EB57ED"/>
    <w:rsid w:val="00F211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99F5B4-1B63-4F2F-A00F-4D8564B72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ahoma"/>
        <w:kern w:val="2"/>
        <w:sz w:val="24"/>
        <w:szCs w:val="24"/>
        <w:lang w:val="pt-BR" w:eastAsia="pt-BR" w:bidi="ar-SA"/>
      </w:rPr>
    </w:rPrDefault>
    <w:pPrDefault>
      <w:pPr>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eastAsia="Times New Roman" w:cs="Times New Roman"/>
      <w:sz w:val="28"/>
      <w:szCs w:val="20"/>
    </w:rPr>
  </w:style>
  <w:style w:type="paragraph" w:styleId="Ttulo1">
    <w:name w:val="heading 1"/>
    <w:basedOn w:val="Normal"/>
    <w:next w:val="Normal"/>
    <w:qFormat/>
    <w:pPr>
      <w:keepNext/>
      <w:numPr>
        <w:numId w:val="1"/>
      </w:numPr>
      <w:spacing w:before="120"/>
      <w:ind w:right="-1233"/>
      <w:outlineLvl w:val="0"/>
    </w:pPr>
    <w:rPr>
      <w:i/>
      <w:spacing w:val="24"/>
      <w:sz w:val="24"/>
    </w:rPr>
  </w:style>
  <w:style w:type="paragraph" w:styleId="Ttulo2">
    <w:name w:val="heading 2"/>
    <w:basedOn w:val="Normal"/>
    <w:next w:val="Normal"/>
    <w:qFormat/>
    <w:pPr>
      <w:keepNext/>
      <w:numPr>
        <w:ilvl w:val="1"/>
        <w:numId w:val="1"/>
      </w:numPr>
      <w:spacing w:line="360" w:lineRule="auto"/>
      <w:jc w:val="both"/>
      <w:outlineLvl w:val="1"/>
    </w:pPr>
    <w:rPr>
      <w:b/>
    </w:rPr>
  </w:style>
  <w:style w:type="paragraph" w:styleId="Ttulo3">
    <w:name w:val="heading 3"/>
    <w:basedOn w:val="Normal"/>
    <w:next w:val="Normal"/>
    <w:qFormat/>
    <w:pPr>
      <w:keepNext/>
      <w:numPr>
        <w:ilvl w:val="2"/>
        <w:numId w:val="1"/>
      </w:numPr>
      <w:spacing w:line="360" w:lineRule="auto"/>
      <w:jc w:val="both"/>
      <w:outlineLvl w:val="2"/>
    </w:pPr>
    <w:rPr>
      <w:b/>
      <w:i/>
      <w:lang w:val="es-ES"/>
    </w:rPr>
  </w:style>
  <w:style w:type="paragraph" w:styleId="Ttulo4">
    <w:name w:val="heading 4"/>
    <w:basedOn w:val="Normal"/>
    <w:next w:val="Normal"/>
    <w:qFormat/>
    <w:pPr>
      <w:keepNext/>
      <w:numPr>
        <w:ilvl w:val="3"/>
        <w:numId w:val="1"/>
      </w:numPr>
      <w:spacing w:line="360" w:lineRule="auto"/>
      <w:jc w:val="center"/>
      <w:outlineLvl w:val="3"/>
    </w:pPr>
    <w:rPr>
      <w:b/>
    </w:rPr>
  </w:style>
  <w:style w:type="paragraph" w:styleId="Ttulo6">
    <w:name w:val="heading 6"/>
    <w:basedOn w:val="Normal"/>
    <w:next w:val="Normal"/>
    <w:qFormat/>
    <w:pPr>
      <w:keepNext/>
      <w:numPr>
        <w:ilvl w:val="5"/>
        <w:numId w:val="1"/>
      </w:numPr>
      <w:ind w:left="1701"/>
      <w:jc w:val="both"/>
      <w:outlineLvl w:val="5"/>
    </w:pPr>
    <w:rPr>
      <w:rFonts w:ascii="Tms Rmn" w:eastAsia="Tms Rmn" w:hAnsi="Tms Rmn" w:cs="Tms Rmn"/>
      <w:b/>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otnoteCharacters">
    <w:name w:val="Footnote Characters"/>
    <w:qFormat/>
    <w:rPr>
      <w:vertAlign w:val="superscript"/>
    </w:rPr>
  </w:style>
  <w:style w:type="character" w:styleId="Nmerodepgina">
    <w:name w:val="page number"/>
    <w:basedOn w:val="Fontepargpadro"/>
    <w:qFormat/>
  </w:style>
  <w:style w:type="character" w:customStyle="1" w:styleId="NumberingSymbols">
    <w:name w:val="Numbering Symbols"/>
    <w:qFormat/>
    <w:rPr>
      <w:b/>
      <w:bCs/>
    </w:rPr>
  </w:style>
  <w:style w:type="character" w:styleId="Hyperlink">
    <w:name w:val="Hyperlink"/>
    <w:basedOn w:val="Fontepargpadro"/>
    <w:rPr>
      <w:color w:val="0000FF"/>
      <w:u w:val="single"/>
    </w:rPr>
  </w:style>
  <w:style w:type="character" w:styleId="HiperlinkVisitado">
    <w:name w:val="FollowedHyperlink"/>
    <w:basedOn w:val="Fontepargpadro"/>
    <w:rPr>
      <w:color w:val="800080"/>
      <w:u w:val="single"/>
    </w:rPr>
  </w:style>
  <w:style w:type="character" w:customStyle="1" w:styleId="FootnoteAnchor">
    <w:name w:val="Footnote Anchor"/>
    <w:qFormat/>
    <w:rPr>
      <w:vertAlign w:val="superscript"/>
    </w:rPr>
  </w:style>
  <w:style w:type="character" w:styleId="nfase">
    <w:name w:val="Emphasis"/>
    <w:basedOn w:val="WW-Fontepargpadro"/>
    <w:qFormat/>
    <w:rPr>
      <w:i/>
      <w:iCs/>
    </w:rPr>
  </w:style>
  <w:style w:type="character" w:customStyle="1" w:styleId="destaque1">
    <w:name w:val="destaque1"/>
    <w:basedOn w:val="Fontepargpadro"/>
    <w:qFormat/>
    <w:rPr>
      <w:rFonts w:ascii="Verdana" w:eastAsia="Verdana" w:hAnsi="Verdana" w:cs="Verdana"/>
      <w:b/>
      <w:bCs/>
      <w:strike w:val="0"/>
      <w:dstrike w:val="0"/>
      <w:color w:val="000000"/>
      <w:sz w:val="22"/>
      <w:szCs w:val="22"/>
      <w:u w:val="none"/>
    </w:rPr>
  </w:style>
  <w:style w:type="character" w:customStyle="1" w:styleId="texto1">
    <w:name w:val="texto1"/>
    <w:basedOn w:val="Fontepargpadro"/>
    <w:qFormat/>
    <w:rPr>
      <w:rFonts w:ascii="Verdana" w:eastAsia="Verdana" w:hAnsi="Verdana" w:cs="Verdana"/>
      <w:strike w:val="0"/>
      <w:dstrike w:val="0"/>
      <w:color w:val="000000"/>
      <w:sz w:val="22"/>
      <w:szCs w:val="22"/>
      <w:u w:val="none"/>
    </w:rPr>
  </w:style>
  <w:style w:type="character" w:customStyle="1" w:styleId="WW-CaracteresdeNotadeRodap">
    <w:name w:val="WW-Caracteres de Nota de Rodapé"/>
    <w:basedOn w:val="Fontepargpadro"/>
    <w:qFormat/>
    <w:rPr>
      <w:vertAlign w:val="superscript"/>
    </w:rPr>
  </w:style>
  <w:style w:type="character" w:customStyle="1" w:styleId="WW-Fontepargpadro">
    <w:name w:val="WW-Fonte parág. padrão"/>
    <w:qFormat/>
  </w:style>
  <w:style w:type="character" w:customStyle="1" w:styleId="RTFNum101">
    <w:name w:val="RTF_Num 10 1"/>
    <w:qFormat/>
    <w:rPr>
      <w:rFonts w:ascii="Symbol" w:eastAsia="Symbol" w:hAnsi="Symbol" w:cs="Symbol"/>
    </w:rPr>
  </w:style>
  <w:style w:type="character" w:customStyle="1" w:styleId="RTFNum102">
    <w:name w:val="RTF_Num 10 2"/>
    <w:qFormat/>
    <w:rPr>
      <w:rFonts w:ascii="Courier New" w:eastAsia="Courier New" w:hAnsi="Courier New" w:cs="Courier New"/>
    </w:rPr>
  </w:style>
  <w:style w:type="character" w:customStyle="1" w:styleId="RTFNum103">
    <w:name w:val="RTF_Num 10 3"/>
    <w:qFormat/>
    <w:rPr>
      <w:rFonts w:ascii="Wingdings" w:eastAsia="Wingdings" w:hAnsi="Wingdings" w:cs="Wingdings"/>
    </w:rPr>
  </w:style>
  <w:style w:type="character" w:customStyle="1" w:styleId="RTFNum104">
    <w:name w:val="RTF_Num 10 4"/>
    <w:qFormat/>
    <w:rPr>
      <w:rFonts w:ascii="Symbol" w:eastAsia="Symbol" w:hAnsi="Symbol" w:cs="Symbol"/>
    </w:rPr>
  </w:style>
  <w:style w:type="character" w:customStyle="1" w:styleId="RTFNum105">
    <w:name w:val="RTF_Num 10 5"/>
    <w:qFormat/>
    <w:rPr>
      <w:rFonts w:ascii="Courier New" w:eastAsia="Courier New" w:hAnsi="Courier New" w:cs="Courier New"/>
    </w:rPr>
  </w:style>
  <w:style w:type="character" w:customStyle="1" w:styleId="RTFNum106">
    <w:name w:val="RTF_Num 10 6"/>
    <w:qFormat/>
    <w:rPr>
      <w:rFonts w:ascii="Wingdings" w:eastAsia="Wingdings" w:hAnsi="Wingdings" w:cs="Wingdings"/>
    </w:rPr>
  </w:style>
  <w:style w:type="character" w:customStyle="1" w:styleId="RTFNum107">
    <w:name w:val="RTF_Num 10 7"/>
    <w:qFormat/>
    <w:rPr>
      <w:rFonts w:ascii="Symbol" w:eastAsia="Symbol" w:hAnsi="Symbol" w:cs="Symbol"/>
    </w:rPr>
  </w:style>
  <w:style w:type="character" w:customStyle="1" w:styleId="RTFNum108">
    <w:name w:val="RTF_Num 10 8"/>
    <w:qFormat/>
    <w:rPr>
      <w:rFonts w:ascii="Courier New" w:eastAsia="Courier New" w:hAnsi="Courier New" w:cs="Courier New"/>
    </w:rPr>
  </w:style>
  <w:style w:type="character" w:customStyle="1" w:styleId="RTFNum109">
    <w:name w:val="RTF_Num 10 9"/>
    <w:qFormat/>
    <w:rPr>
      <w:rFonts w:ascii="Wingdings" w:eastAsia="Wingdings" w:hAnsi="Wingdings" w:cs="Wingdings"/>
    </w:rPr>
  </w:style>
  <w:style w:type="character" w:customStyle="1" w:styleId="CaracteresdeNotadeRodap">
    <w:name w:val="Caracteres de Nota de Rodapé"/>
    <w:basedOn w:val="Fontepargpadro"/>
    <w:qFormat/>
    <w:rPr>
      <w:vertAlign w:val="superscript"/>
    </w:rPr>
  </w:style>
  <w:style w:type="character" w:customStyle="1" w:styleId="WW-Caracteresdanotaderodap">
    <w:name w:val="WW-Caracteres da nota de rodapé"/>
    <w:qFormat/>
    <w:rPr>
      <w:vertAlign w:val="superscript"/>
    </w:rPr>
  </w:style>
  <w:style w:type="character" w:customStyle="1" w:styleId="RTFNum51">
    <w:name w:val="RTF_Num 5 1"/>
    <w:qFormat/>
    <w:rPr>
      <w:rFonts w:ascii="Symbol" w:eastAsia="Symbol" w:hAnsi="Symbol" w:cs="Symbol"/>
    </w:rPr>
  </w:style>
  <w:style w:type="character" w:customStyle="1" w:styleId="RTFNum52">
    <w:name w:val="RTF_Num 5 2"/>
    <w:qFormat/>
    <w:rPr>
      <w:rFonts w:ascii="Courier New" w:eastAsia="Courier New" w:hAnsi="Courier New" w:cs="Courier New"/>
    </w:rPr>
  </w:style>
  <w:style w:type="character" w:customStyle="1" w:styleId="RTFNum53">
    <w:name w:val="RTF_Num 5 3"/>
    <w:qFormat/>
    <w:rPr>
      <w:rFonts w:ascii="Wingdings" w:eastAsia="Wingdings" w:hAnsi="Wingdings" w:cs="Wingdings"/>
    </w:rPr>
  </w:style>
  <w:style w:type="character" w:customStyle="1" w:styleId="RTFNum54">
    <w:name w:val="RTF_Num 5 4"/>
    <w:qFormat/>
    <w:rPr>
      <w:rFonts w:ascii="Symbol" w:eastAsia="Symbol" w:hAnsi="Symbol" w:cs="Symbol"/>
    </w:rPr>
  </w:style>
  <w:style w:type="character" w:customStyle="1" w:styleId="RTFNum55">
    <w:name w:val="RTF_Num 5 5"/>
    <w:qFormat/>
    <w:rPr>
      <w:rFonts w:ascii="Courier New" w:eastAsia="Courier New" w:hAnsi="Courier New" w:cs="Courier New"/>
    </w:rPr>
  </w:style>
  <w:style w:type="character" w:customStyle="1" w:styleId="RTFNum56">
    <w:name w:val="RTF_Num 5 6"/>
    <w:qFormat/>
    <w:rPr>
      <w:rFonts w:ascii="Wingdings" w:eastAsia="Wingdings" w:hAnsi="Wingdings" w:cs="Wingdings"/>
    </w:rPr>
  </w:style>
  <w:style w:type="character" w:customStyle="1" w:styleId="RTFNum57">
    <w:name w:val="RTF_Num 5 7"/>
    <w:qFormat/>
    <w:rPr>
      <w:rFonts w:ascii="Symbol" w:eastAsia="Symbol" w:hAnsi="Symbol" w:cs="Symbol"/>
    </w:rPr>
  </w:style>
  <w:style w:type="character" w:customStyle="1" w:styleId="RTFNum58">
    <w:name w:val="RTF_Num 5 8"/>
    <w:qFormat/>
    <w:rPr>
      <w:rFonts w:ascii="Courier New" w:eastAsia="Courier New" w:hAnsi="Courier New" w:cs="Courier New"/>
    </w:rPr>
  </w:style>
  <w:style w:type="character" w:customStyle="1" w:styleId="RTFNum59">
    <w:name w:val="RTF_Num 5 9"/>
    <w:qFormat/>
    <w:rPr>
      <w:rFonts w:ascii="Wingdings" w:eastAsia="Wingdings" w:hAnsi="Wingdings" w:cs="Wingdings"/>
    </w:rPr>
  </w:style>
  <w:style w:type="character" w:customStyle="1" w:styleId="TextodebaloChar">
    <w:name w:val="Texto de balão Char"/>
    <w:basedOn w:val="Fontepargpadro"/>
    <w:qFormat/>
    <w:rPr>
      <w:rFonts w:ascii="Segoe UI" w:eastAsia="Segoe UI" w:hAnsi="Segoe UI" w:cs="Segoe UI"/>
      <w:sz w:val="18"/>
      <w:szCs w:val="18"/>
    </w:rPr>
  </w:style>
  <w:style w:type="character" w:customStyle="1" w:styleId="TextodenotadefimChar">
    <w:name w:val="Texto de nota de fim Char"/>
    <w:basedOn w:val="Fontepargpadro"/>
    <w:qFormat/>
    <w:rPr>
      <w:sz w:val="20"/>
      <w:szCs w:val="20"/>
    </w:rPr>
  </w:style>
  <w:style w:type="character" w:styleId="Refdenotadefim">
    <w:name w:val="endnote reference"/>
    <w:basedOn w:val="Fontepargpadro"/>
    <w:rPr>
      <w:vertAlign w:val="superscript"/>
    </w:rPr>
  </w:style>
  <w:style w:type="character" w:styleId="Refdenotaderodap">
    <w:name w:val="footnote reference"/>
    <w:basedOn w:val="Fontepargpadro"/>
    <w:rPr>
      <w:vertAlign w:val="superscript"/>
    </w:rPr>
  </w:style>
  <w:style w:type="character" w:customStyle="1" w:styleId="Hyperlink1">
    <w:name w:val="Hyperlink1"/>
    <w:basedOn w:val="Fontepargpadro"/>
    <w:qFormat/>
    <w:rPr>
      <w:color w:val="0563C1"/>
      <w:u w:val="single"/>
    </w:rPr>
  </w:style>
  <w:style w:type="character" w:styleId="Forte">
    <w:name w:val="Strong"/>
    <w:basedOn w:val="Fontepargpadro"/>
    <w:qFormat/>
    <w:rPr>
      <w:b/>
      <w:bCs/>
    </w:rPr>
  </w:style>
  <w:style w:type="character" w:customStyle="1" w:styleId="RecuodecorpodetextoChar">
    <w:name w:val="Recuo de corpo de texto Char"/>
    <w:basedOn w:val="Fontepargpadro"/>
    <w:qFormat/>
  </w:style>
  <w:style w:type="character" w:customStyle="1" w:styleId="Fontepargpadro8">
    <w:name w:val="Fonte parág. padrão8"/>
    <w:qFormat/>
  </w:style>
  <w:style w:type="character" w:customStyle="1" w:styleId="EndnoteAnchor">
    <w:name w:val="Endnote Anchor"/>
    <w:qFormat/>
    <w:rPr>
      <w:vertAlign w:val="superscript"/>
    </w:rPr>
  </w:style>
  <w:style w:type="character" w:customStyle="1" w:styleId="EndnoteCharacters">
    <w:name w:val="Endnote Characters"/>
    <w:qFormat/>
  </w:style>
  <w:style w:type="character" w:customStyle="1" w:styleId="WWCharLFO13LVL1">
    <w:name w:val="WW_CharLFO13LVL1"/>
    <w:qFormat/>
    <w:rPr>
      <w:rFonts w:ascii="Symbol" w:eastAsia="Symbol" w:hAnsi="Symbol" w:cs="Symbol"/>
    </w:rPr>
  </w:style>
  <w:style w:type="character" w:customStyle="1" w:styleId="WWCharLFO13LVL2">
    <w:name w:val="WW_CharLFO13LVL2"/>
    <w:qFormat/>
    <w:rPr>
      <w:rFonts w:ascii="Courier New" w:eastAsia="Courier New" w:hAnsi="Courier New" w:cs="Courier New"/>
    </w:rPr>
  </w:style>
  <w:style w:type="character" w:customStyle="1" w:styleId="WWCharLFO13LVL3">
    <w:name w:val="WW_CharLFO13LVL3"/>
    <w:qFormat/>
    <w:rPr>
      <w:rFonts w:ascii="Wingdings" w:eastAsia="Wingdings" w:hAnsi="Wingdings" w:cs="Wingdings"/>
    </w:rPr>
  </w:style>
  <w:style w:type="character" w:customStyle="1" w:styleId="WWCharLFO13LVL4">
    <w:name w:val="WW_CharLFO13LVL4"/>
    <w:qFormat/>
    <w:rPr>
      <w:rFonts w:ascii="Symbol" w:eastAsia="Symbol" w:hAnsi="Symbol" w:cs="Symbol"/>
    </w:rPr>
  </w:style>
  <w:style w:type="character" w:customStyle="1" w:styleId="WWCharLFO13LVL5">
    <w:name w:val="WW_CharLFO13LVL5"/>
    <w:qFormat/>
    <w:rPr>
      <w:rFonts w:ascii="Courier New" w:eastAsia="Courier New" w:hAnsi="Courier New" w:cs="Courier New"/>
    </w:rPr>
  </w:style>
  <w:style w:type="character" w:customStyle="1" w:styleId="WWCharLFO13LVL6">
    <w:name w:val="WW_CharLFO13LVL6"/>
    <w:qFormat/>
    <w:rPr>
      <w:rFonts w:ascii="Wingdings" w:eastAsia="Wingdings" w:hAnsi="Wingdings" w:cs="Wingdings"/>
    </w:rPr>
  </w:style>
  <w:style w:type="character" w:customStyle="1" w:styleId="WWCharLFO13LVL7">
    <w:name w:val="WW_CharLFO13LVL7"/>
    <w:qFormat/>
    <w:rPr>
      <w:rFonts w:ascii="Symbol" w:eastAsia="Symbol" w:hAnsi="Symbol" w:cs="Symbol"/>
    </w:rPr>
  </w:style>
  <w:style w:type="character" w:customStyle="1" w:styleId="WWCharLFO13LVL8">
    <w:name w:val="WW_CharLFO13LVL8"/>
    <w:qFormat/>
    <w:rPr>
      <w:rFonts w:ascii="Courier New" w:eastAsia="Courier New" w:hAnsi="Courier New" w:cs="Courier New"/>
    </w:rPr>
  </w:style>
  <w:style w:type="character" w:customStyle="1" w:styleId="WWCharLFO13LVL9">
    <w:name w:val="WW_CharLFO13LVL9"/>
    <w:qFormat/>
    <w:rPr>
      <w:rFonts w:ascii="Wingdings" w:eastAsia="Wingdings" w:hAnsi="Wingdings" w:cs="Wingdings"/>
    </w:rPr>
  </w:style>
  <w:style w:type="character" w:customStyle="1" w:styleId="WWCharLFO14LVL1">
    <w:name w:val="WW_CharLFO14LVL1"/>
    <w:qFormat/>
    <w:rPr>
      <w:rFonts w:ascii="Symbol" w:eastAsia="Symbol" w:hAnsi="Symbol" w:cs="Symbol"/>
    </w:rPr>
  </w:style>
  <w:style w:type="character" w:customStyle="1" w:styleId="WWCharLFO14LVL2">
    <w:name w:val="WW_CharLFO14LVL2"/>
    <w:qFormat/>
    <w:rPr>
      <w:rFonts w:ascii="Courier New" w:eastAsia="Courier New" w:hAnsi="Courier New" w:cs="Courier New"/>
    </w:rPr>
  </w:style>
  <w:style w:type="character" w:customStyle="1" w:styleId="WWCharLFO14LVL3">
    <w:name w:val="WW_CharLFO14LVL3"/>
    <w:qFormat/>
    <w:rPr>
      <w:rFonts w:ascii="Wingdings" w:eastAsia="Wingdings" w:hAnsi="Wingdings" w:cs="Wingdings"/>
    </w:rPr>
  </w:style>
  <w:style w:type="character" w:customStyle="1" w:styleId="WWCharLFO14LVL4">
    <w:name w:val="WW_CharLFO14LVL4"/>
    <w:qFormat/>
    <w:rPr>
      <w:rFonts w:ascii="Symbol" w:eastAsia="Symbol" w:hAnsi="Symbol" w:cs="Symbol"/>
    </w:rPr>
  </w:style>
  <w:style w:type="character" w:customStyle="1" w:styleId="WWCharLFO14LVL5">
    <w:name w:val="WW_CharLFO14LVL5"/>
    <w:qFormat/>
    <w:rPr>
      <w:rFonts w:ascii="Courier New" w:eastAsia="Courier New" w:hAnsi="Courier New" w:cs="Courier New"/>
    </w:rPr>
  </w:style>
  <w:style w:type="character" w:customStyle="1" w:styleId="WWCharLFO14LVL6">
    <w:name w:val="WW_CharLFO14LVL6"/>
    <w:qFormat/>
    <w:rPr>
      <w:rFonts w:ascii="Wingdings" w:eastAsia="Wingdings" w:hAnsi="Wingdings" w:cs="Wingdings"/>
    </w:rPr>
  </w:style>
  <w:style w:type="character" w:customStyle="1" w:styleId="WWCharLFO14LVL7">
    <w:name w:val="WW_CharLFO14LVL7"/>
    <w:qFormat/>
    <w:rPr>
      <w:rFonts w:ascii="Symbol" w:eastAsia="Symbol" w:hAnsi="Symbol" w:cs="Symbol"/>
    </w:rPr>
  </w:style>
  <w:style w:type="character" w:customStyle="1" w:styleId="WWCharLFO14LVL8">
    <w:name w:val="WW_CharLFO14LVL8"/>
    <w:qFormat/>
    <w:rPr>
      <w:rFonts w:ascii="Courier New" w:eastAsia="Courier New" w:hAnsi="Courier New" w:cs="Courier New"/>
    </w:rPr>
  </w:style>
  <w:style w:type="character" w:customStyle="1" w:styleId="WWCharLFO14LVL9">
    <w:name w:val="WW_CharLFO14LVL9"/>
    <w:qFormat/>
    <w:rPr>
      <w:rFonts w:ascii="Wingdings" w:eastAsia="Wingdings" w:hAnsi="Wingdings" w:cs="Wingdings"/>
    </w:rPr>
  </w:style>
  <w:style w:type="character" w:customStyle="1" w:styleId="FootnoteCharacters1">
    <w:name w:val="Footnote Characters1"/>
    <w:qFormat/>
  </w:style>
  <w:style w:type="character" w:customStyle="1" w:styleId="EndnoteCharacters1">
    <w:name w:val="Endnote Characters1"/>
    <w:qFormat/>
  </w:style>
  <w:style w:type="paragraph" w:customStyle="1" w:styleId="Normal1">
    <w:name w:val="Normal1"/>
    <w:qFormat/>
    <w:pPr>
      <w:widowControl w:val="0"/>
      <w:suppressAutoHyphens/>
    </w:pPr>
  </w:style>
  <w:style w:type="paragraph" w:customStyle="1" w:styleId="Heading">
    <w:name w:val="Heading"/>
    <w:basedOn w:val="Normal"/>
    <w:next w:val="Corpodetexto"/>
    <w:qFormat/>
    <w:pPr>
      <w:keepNext/>
      <w:spacing w:before="240" w:after="120"/>
    </w:pPr>
    <w:rPr>
      <w:rFonts w:ascii="Arial" w:eastAsia="Arial Unicode MS" w:hAnsi="Arial" w:cs="Tahoma"/>
      <w:szCs w:val="28"/>
    </w:rPr>
  </w:style>
  <w:style w:type="paragraph" w:styleId="Corpodetexto">
    <w:name w:val="Body Text"/>
    <w:basedOn w:val="Normal"/>
    <w:pPr>
      <w:spacing w:line="360" w:lineRule="auto"/>
      <w:jc w:val="both"/>
    </w:pPr>
  </w:style>
  <w:style w:type="paragraph" w:styleId="Recuodecorpodetexto">
    <w:name w:val="Body Text Indent"/>
    <w:basedOn w:val="Normal1"/>
    <w:qFormat/>
    <w:pPr>
      <w:spacing w:after="120"/>
      <w:ind w:left="283"/>
    </w:pPr>
  </w:style>
  <w:style w:type="paragraph" w:styleId="Subttulo">
    <w:name w:val="Subtitle"/>
    <w:basedOn w:val="Heading"/>
    <w:next w:val="Corpodetexto"/>
    <w:qFormat/>
    <w:pPr>
      <w:jc w:val="center"/>
    </w:pPr>
    <w:rPr>
      <w:i/>
      <w:iCs/>
    </w:rPr>
  </w:style>
  <w:style w:type="paragraph" w:styleId="Lista">
    <w:name w:val="List"/>
    <w:basedOn w:val="Corpodetexto"/>
    <w:qFormat/>
    <w:rPr>
      <w:rFonts w:cs="Tahoma"/>
    </w:rPr>
  </w:style>
  <w:style w:type="paragraph" w:customStyle="1" w:styleId="HeaderandFooter">
    <w:name w:val="Header and Footer"/>
    <w:basedOn w:val="Normal"/>
    <w:qFormat/>
    <w:pPr>
      <w:suppressLineNumbers/>
      <w:tabs>
        <w:tab w:val="center" w:pos="4819"/>
        <w:tab w:val="right" w:pos="9638"/>
      </w:tabs>
    </w:pPr>
  </w:style>
  <w:style w:type="paragraph" w:styleId="Cabealho">
    <w:name w:val="header"/>
    <w:basedOn w:val="HeaderandFooter"/>
  </w:style>
  <w:style w:type="paragraph" w:styleId="Rodap">
    <w:name w:val="footer"/>
    <w:basedOn w:val="HeaderandFoote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Legenda">
    <w:name w:val="caption"/>
    <w:basedOn w:val="Normal"/>
    <w:qFormat/>
    <w:pPr>
      <w:suppressLineNumbers/>
      <w:spacing w:before="120" w:after="120"/>
    </w:pPr>
    <w:rPr>
      <w:rFonts w:cs="Tahoma"/>
      <w:i/>
      <w:iCs/>
      <w:sz w:val="24"/>
      <w:szCs w:val="24"/>
    </w:rPr>
  </w:style>
  <w:style w:type="paragraph" w:customStyle="1" w:styleId="FrameContents">
    <w:name w:val="Frame Contents"/>
    <w:basedOn w:val="Corpodetexto"/>
    <w:qFormat/>
  </w:style>
  <w:style w:type="paragraph" w:styleId="Textodenotaderodap">
    <w:name w:val="footnote text"/>
    <w:basedOn w:val="Normal"/>
    <w:qFormat/>
    <w:rPr>
      <w:sz w:val="20"/>
    </w:rPr>
  </w:style>
  <w:style w:type="paragraph" w:customStyle="1" w:styleId="Index">
    <w:name w:val="Index"/>
    <w:basedOn w:val="Normal"/>
    <w:qFormat/>
    <w:pPr>
      <w:suppressLineNumbers/>
    </w:pPr>
    <w:rPr>
      <w:rFonts w:cs="Tahoma"/>
    </w:rPr>
  </w:style>
  <w:style w:type="paragraph" w:styleId="Corpodetexto2">
    <w:name w:val="Body Text 2"/>
    <w:basedOn w:val="Normal"/>
    <w:qFormat/>
    <w:pPr>
      <w:widowControl w:val="0"/>
      <w:tabs>
        <w:tab w:val="left" w:pos="2268"/>
      </w:tabs>
      <w:spacing w:line="360" w:lineRule="auto"/>
      <w:jc w:val="both"/>
    </w:pPr>
    <w:rPr>
      <w:rFonts w:ascii="Arial" w:eastAsia="Arial" w:hAnsi="Arial" w:cs="Arial"/>
    </w:rPr>
  </w:style>
  <w:style w:type="paragraph" w:styleId="Recuodecorpodetexto2">
    <w:name w:val="Body Text Indent 2"/>
    <w:basedOn w:val="Normal"/>
    <w:qFormat/>
    <w:pPr>
      <w:ind w:firstLine="3402"/>
      <w:jc w:val="both"/>
    </w:pPr>
    <w:rPr>
      <w:rFonts w:ascii="Courier New" w:eastAsia="Courier New" w:hAnsi="Courier New" w:cs="Courier New"/>
      <w:sz w:val="24"/>
    </w:rPr>
  </w:style>
  <w:style w:type="paragraph" w:customStyle="1" w:styleId="A151571">
    <w:name w:val="_A151571"/>
    <w:qFormat/>
    <w:pPr>
      <w:suppressAutoHyphens/>
      <w:ind w:left="1278" w:right="441" w:firstLine="1152"/>
      <w:jc w:val="both"/>
    </w:pPr>
    <w:rPr>
      <w:rFonts w:ascii="Arial" w:eastAsia="Arial" w:hAnsi="Arial" w:cs="Times New Roman"/>
      <w:color w:val="000000"/>
      <w:szCs w:val="20"/>
    </w:rPr>
  </w:style>
  <w:style w:type="paragraph" w:styleId="Recuodecorpodetexto3">
    <w:name w:val="Body Text Indent 3"/>
    <w:basedOn w:val="Normal"/>
    <w:qFormat/>
    <w:pPr>
      <w:ind w:firstLine="2835"/>
      <w:jc w:val="both"/>
    </w:pPr>
    <w:rPr>
      <w:b/>
      <w:i/>
    </w:rPr>
  </w:style>
  <w:style w:type="paragraph" w:styleId="NormalWeb">
    <w:name w:val="Normal (Web)"/>
    <w:basedOn w:val="Normal"/>
    <w:qFormat/>
    <w:pPr>
      <w:spacing w:before="100" w:after="100"/>
    </w:pPr>
    <w:rPr>
      <w:rFonts w:ascii="Arial Unicode MS" w:eastAsia="Arial Unicode MS" w:hAnsi="Arial Unicode MS" w:cs="Arial Unicode MS"/>
      <w:sz w:val="24"/>
      <w:szCs w:val="24"/>
    </w:rPr>
  </w:style>
  <w:style w:type="paragraph" w:customStyle="1" w:styleId="Pargrafo">
    <w:name w:val="Parágrafo"/>
    <w:basedOn w:val="Normal"/>
    <w:qFormat/>
    <w:pPr>
      <w:tabs>
        <w:tab w:val="left" w:pos="2268"/>
      </w:tabs>
      <w:spacing w:line="360" w:lineRule="auto"/>
      <w:ind w:firstLine="2268"/>
      <w:jc w:val="both"/>
    </w:pPr>
    <w:rPr>
      <w:rFonts w:ascii="Arial" w:eastAsia="Arial" w:hAnsi="Arial" w:cs="Arial"/>
    </w:rPr>
  </w:style>
  <w:style w:type="paragraph" w:customStyle="1" w:styleId="WW-Recuodecorpodetexto31">
    <w:name w:val="WW-Recuo de corpo de texto 31"/>
    <w:basedOn w:val="Normal"/>
    <w:qFormat/>
    <w:pPr>
      <w:tabs>
        <w:tab w:val="left" w:pos="2268"/>
      </w:tabs>
      <w:ind w:firstLine="2835"/>
      <w:jc w:val="both"/>
    </w:pPr>
    <w:rPr>
      <w:rFonts w:ascii="Arial Narrow" w:eastAsia="Arial Narrow" w:hAnsi="Arial Narrow" w:cs="Arial Narrow"/>
      <w:sz w:val="26"/>
    </w:rPr>
  </w:style>
  <w:style w:type="paragraph" w:customStyle="1" w:styleId="Preformatted">
    <w:name w:val="Preformatted"/>
    <w:basedOn w:val="Normal"/>
    <w:qFormat/>
    <w:pPr>
      <w:tabs>
        <w:tab w:val="left" w:pos="0"/>
        <w:tab w:val="left" w:pos="959"/>
        <w:tab w:val="left" w:pos="1918"/>
        <w:tab w:val="left" w:pos="2268"/>
        <w:tab w:val="left" w:pos="2877"/>
        <w:tab w:val="left" w:pos="3836"/>
        <w:tab w:val="left" w:pos="4795"/>
        <w:tab w:val="left" w:pos="5754"/>
        <w:tab w:val="left" w:pos="6713"/>
        <w:tab w:val="left" w:pos="7672"/>
        <w:tab w:val="left" w:pos="8631"/>
        <w:tab w:val="left" w:pos="9590"/>
      </w:tabs>
    </w:pPr>
    <w:rPr>
      <w:rFonts w:ascii="Courier New" w:eastAsia="Courier New" w:hAnsi="Courier New" w:cs="Courier New"/>
      <w:sz w:val="20"/>
    </w:rPr>
  </w:style>
  <w:style w:type="paragraph" w:customStyle="1" w:styleId="WW-Recuodecorpodetexto2">
    <w:name w:val="WW-Recuo de corpo de texto 2"/>
    <w:basedOn w:val="Normal"/>
    <w:qFormat/>
    <w:pPr>
      <w:tabs>
        <w:tab w:val="left" w:pos="2268"/>
      </w:tabs>
      <w:spacing w:before="120" w:after="240" w:line="360" w:lineRule="auto"/>
      <w:ind w:firstLine="2790"/>
      <w:jc w:val="both"/>
    </w:pPr>
    <w:rPr>
      <w:rFonts w:ascii="Arial" w:eastAsia="Arial" w:hAnsi="Arial" w:cs="Arial"/>
    </w:rPr>
  </w:style>
  <w:style w:type="paragraph" w:customStyle="1" w:styleId="WW-NormalWeb1">
    <w:name w:val="WW-Normal (Web)1"/>
    <w:basedOn w:val="Normal"/>
    <w:qFormat/>
    <w:pPr>
      <w:tabs>
        <w:tab w:val="left" w:pos="2268"/>
      </w:tabs>
      <w:spacing w:before="280" w:after="280"/>
    </w:pPr>
    <w:rPr>
      <w:rFonts w:ascii="Arial Unicode MS" w:eastAsia="Arial Unicode MS" w:hAnsi="Arial Unicode MS" w:cs="Arial Unicode MS"/>
    </w:rPr>
  </w:style>
  <w:style w:type="paragraph" w:customStyle="1" w:styleId="WW-Pr-formataoHTML">
    <w:name w:val="WW-Pré-formatação HTML"/>
    <w:basedOn w:val="Normal"/>
    <w:qFormat/>
    <w:pPr>
      <w:tabs>
        <w:tab w:val="left" w:pos="916"/>
        <w:tab w:val="left" w:pos="1832"/>
        <w:tab w:val="left" w:pos="226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rPr>
  </w:style>
  <w:style w:type="paragraph" w:customStyle="1" w:styleId="WW-Recuodecorpodetexto3">
    <w:name w:val="WW-Recuo de corpo de texto 3"/>
    <w:basedOn w:val="Normal"/>
    <w:qFormat/>
    <w:pPr>
      <w:tabs>
        <w:tab w:val="left" w:pos="2268"/>
      </w:tabs>
      <w:ind w:left="2835"/>
      <w:jc w:val="both"/>
    </w:pPr>
    <w:rPr>
      <w:rFonts w:ascii="Arial" w:eastAsia="Arial" w:hAnsi="Arial" w:cs="Arial"/>
    </w:rPr>
  </w:style>
  <w:style w:type="paragraph" w:styleId="TextosemFormatao">
    <w:name w:val="Plain Text"/>
    <w:basedOn w:val="Normal"/>
    <w:qFormat/>
    <w:rPr>
      <w:rFonts w:ascii="Courier New" w:eastAsia="Courier New" w:hAnsi="Courier New" w:cs="Courier New"/>
      <w:sz w:val="20"/>
    </w:rPr>
  </w:style>
  <w:style w:type="paragraph" w:styleId="Textoembloco">
    <w:name w:val="Block Text"/>
    <w:basedOn w:val="Normal"/>
    <w:qFormat/>
    <w:pPr>
      <w:ind w:left="1134" w:right="335" w:firstLine="1134"/>
      <w:jc w:val="both"/>
    </w:pPr>
    <w:rPr>
      <w:rFonts w:ascii="Bookman Old Style" w:eastAsia="Bookman Old Style" w:hAnsi="Bookman Old Style" w:cs="Bookman Old Style"/>
      <w:sz w:val="24"/>
    </w:rPr>
  </w:style>
  <w:style w:type="paragraph" w:customStyle="1" w:styleId="TextosemFormatao1">
    <w:name w:val="Texto sem Formatação1"/>
    <w:basedOn w:val="Normal"/>
    <w:qFormat/>
    <w:rPr>
      <w:rFonts w:ascii="Courier New" w:eastAsia="Courier New" w:hAnsi="Courier New" w:cs="Courier New"/>
      <w:sz w:val="20"/>
    </w:rPr>
  </w:style>
  <w:style w:type="paragraph" w:customStyle="1" w:styleId="Corpo">
    <w:name w:val="Corpo"/>
    <w:qFormat/>
    <w:pPr>
      <w:widowControl w:val="0"/>
      <w:suppressAutoHyphens/>
      <w:spacing w:line="360" w:lineRule="atLeast"/>
      <w:ind w:firstLine="1440"/>
      <w:jc w:val="both"/>
    </w:pPr>
    <w:rPr>
      <w:rFonts w:ascii="Courier New" w:eastAsia="Courier New" w:hAnsi="Courier New" w:cs="Courier New"/>
      <w:color w:val="000000"/>
    </w:rPr>
  </w:style>
  <w:style w:type="paragraph" w:customStyle="1" w:styleId="Transcrio">
    <w:name w:val="Transcrição"/>
    <w:basedOn w:val="Corpo"/>
    <w:qFormat/>
    <w:pPr>
      <w:ind w:left="2551" w:firstLine="567"/>
    </w:pPr>
    <w:rPr>
      <w:rFonts w:ascii="Times New Roman" w:eastAsia="Times New Roman" w:hAnsi="Times New Roman" w:cs="Times New Roman"/>
      <w:lang w:val="en-US"/>
    </w:rPr>
  </w:style>
  <w:style w:type="paragraph" w:customStyle="1" w:styleId="tj">
    <w:name w:val="tj"/>
    <w:basedOn w:val="Normal"/>
    <w:qFormat/>
    <w:pPr>
      <w:spacing w:before="100" w:after="100"/>
    </w:pPr>
  </w:style>
  <w:style w:type="paragraph" w:customStyle="1" w:styleId="PETIO">
    <w:name w:val="PETIÇÃO"/>
    <w:basedOn w:val="Normal"/>
    <w:qFormat/>
    <w:pPr>
      <w:tabs>
        <w:tab w:val="left" w:pos="2155"/>
      </w:tabs>
      <w:spacing w:line="360" w:lineRule="auto"/>
      <w:ind w:left="278"/>
    </w:pPr>
  </w:style>
  <w:style w:type="paragraph" w:customStyle="1" w:styleId="citacao">
    <w:name w:val="citacao"/>
    <w:basedOn w:val="Normal"/>
    <w:qFormat/>
    <w:pPr>
      <w:spacing w:before="100" w:after="100"/>
    </w:pPr>
  </w:style>
  <w:style w:type="paragraph" w:styleId="Corpodetexto3">
    <w:name w:val="Body Text 3"/>
    <w:basedOn w:val="Normal"/>
    <w:qFormat/>
    <w:pPr>
      <w:overflowPunct w:val="0"/>
      <w:autoSpaceDE w:val="0"/>
    </w:pPr>
    <w:rPr>
      <w:szCs w:val="28"/>
    </w:rPr>
  </w:style>
  <w:style w:type="paragraph" w:styleId="Textodebalo">
    <w:name w:val="Balloon Text"/>
    <w:basedOn w:val="Normal1"/>
    <w:qFormat/>
    <w:rPr>
      <w:rFonts w:ascii="Segoe UI" w:eastAsia="Segoe UI" w:hAnsi="Segoe UI" w:cs="Segoe UI"/>
      <w:sz w:val="18"/>
      <w:szCs w:val="18"/>
    </w:rPr>
  </w:style>
  <w:style w:type="paragraph" w:styleId="Textodenotadefim">
    <w:name w:val="endnote text"/>
    <w:basedOn w:val="Normal1"/>
    <w:qFormat/>
    <w:rPr>
      <w:sz w:val="20"/>
      <w:szCs w:val="20"/>
    </w:rPr>
  </w:style>
  <w:style w:type="paragraph" w:customStyle="1" w:styleId="textojustificadorecuoprimeiralinha">
    <w:name w:val="texto_justificado_recuo_primeira_linha"/>
    <w:basedOn w:val="Normal1"/>
    <w:qFormat/>
    <w:pPr>
      <w:widowControl/>
      <w:suppressAutoHyphens w:val="0"/>
      <w:spacing w:before="100" w:after="100"/>
      <w:textAlignment w:val="auto"/>
    </w:pPr>
    <w:rPr>
      <w:rFonts w:eastAsia="Times New Roman" w:cs="Times New Roman"/>
      <w:kern w:val="0"/>
    </w:rPr>
  </w:style>
  <w:style w:type="paragraph" w:customStyle="1" w:styleId="textofundocinzanegrito">
    <w:name w:val="texto_fundo_cinza_negrito"/>
    <w:basedOn w:val="Normal1"/>
    <w:qFormat/>
    <w:pPr>
      <w:widowControl/>
      <w:suppressAutoHyphens w:val="0"/>
      <w:spacing w:before="100" w:after="100"/>
      <w:textAlignment w:val="auto"/>
    </w:pPr>
    <w:rPr>
      <w:rFonts w:eastAsia="Times New Roman" w:cs="Times New Roman"/>
      <w:kern w:val="0"/>
    </w:rPr>
  </w:style>
  <w:style w:type="paragraph" w:customStyle="1" w:styleId="textocentralizado">
    <w:name w:val="texto_centralizado"/>
    <w:basedOn w:val="Normal1"/>
    <w:qFormat/>
    <w:pPr>
      <w:widowControl/>
      <w:suppressAutoHyphens w:val="0"/>
      <w:spacing w:before="100" w:after="100"/>
      <w:textAlignment w:val="auto"/>
    </w:pPr>
    <w:rPr>
      <w:rFonts w:eastAsia="Times New Roman" w:cs="Times New Roman"/>
      <w:kern w:val="0"/>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RTFNum10">
    <w:name w:val="RTF_Num 10"/>
    <w:qFormat/>
  </w:style>
  <w:style w:type="numbering" w:customStyle="1" w:styleId="RTFNum5">
    <w:name w:val="RTF_Num 5"/>
    <w:qFormat/>
  </w:style>
  <w:style w:type="paragraph" w:customStyle="1" w:styleId="Standard">
    <w:name w:val="Standard"/>
    <w:rsid w:val="00463491"/>
    <w:pPr>
      <w:suppressAutoHyphens/>
      <w:autoSpaceDN w:val="0"/>
    </w:pPr>
    <w:rPr>
      <w:rFonts w:eastAsia="Times New Roman" w:cs="Times New Roman"/>
      <w:kern w:val="3"/>
      <w:sz w:val="28"/>
      <w:szCs w:val="20"/>
    </w:rPr>
  </w:style>
  <w:style w:type="paragraph" w:customStyle="1" w:styleId="Textbodyindent">
    <w:name w:val="Text body indent"/>
    <w:basedOn w:val="Standard"/>
    <w:rsid w:val="00DA03F4"/>
    <w:pPr>
      <w:ind w:firstLine="283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E6B3A-716B-41A4-9C6A-A9EE3F512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19</Pages>
  <Words>6762</Words>
  <Characters>36520</Characters>
  <Application>Microsoft Office Word</Application>
  <DocSecurity>0</DocSecurity>
  <Lines>304</Lines>
  <Paragraphs>86</Paragraphs>
  <ScaleCrop>false</ScaleCrop>
  <Company>CORREIOS</Company>
  <LinksUpToDate>false</LinksUpToDate>
  <CharactersWithSpaces>43196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Marcos Hideki Kamibayashi</cp:lastModifiedBy>
  <cp:revision>1</cp:revision>
  <dcterms:created xsi:type="dcterms:W3CDTF">2026-08-05T14:27:00Z</dcterms:created>
  <dcterms:modified xsi:type="dcterms:W3CDTF">2026-08-05T14:46:00Z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2026-08-05T14:04:00Z</dcterms:created>
  <dc:creator>ASJUR/DR/MS</dc:creator>
  <dc:description/>
  <dc:language>en-US</dc:language>
  <cp:lastModifiedBy>Marcos Hideki Kamibayashi</cp:lastModifiedBy>
  <dcterms:modified xsi:type="dcterms:W3CDTF">2026-08-05T14:04:00Z</dcterms:modified>
  <cp:revision>1</cp:revision>
  <dc:subject/>
  <dc:title>Modelo - Contestacao - Responsabilidade subsidiaria (terceirizacao)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