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media/image2.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_rels/header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justificado"/>
        <w:spacing w:lineRule="auto" w:line="360" w:before="0" w:after="0"/>
        <w:jc w:val="both"/>
        <w:rPr/>
      </w:pPr>
      <w:r>
        <w:rPr>
          <w:rStyle w:val="Nfaseforte"/>
          <w:rFonts w:cs="Arial Narrow" w:ascii="Arial" w:hAnsi="Arial"/>
          <w:sz w:val="22"/>
          <w:szCs w:val="22"/>
        </w:rPr>
        <w:t xml:space="preserve">EXCELENTÍSSIMO(A) SENHOR(A) DOUTOR(A) JUIZ(A) FEDERAL DA </w:t>
      </w:r>
      <w:r>
        <w:rPr>
          <w:rStyle w:val="Nfaseforte"/>
          <w:rFonts w:cs="Arial Narrow" w:ascii="Arial" w:hAnsi="Arial"/>
          <w:color w:val="FF0000"/>
          <w:sz w:val="22"/>
          <w:szCs w:val="22"/>
        </w:rPr>
        <w:t>[Nº]</w:t>
      </w:r>
      <w:r>
        <w:rPr>
          <w:rStyle w:val="Nfaseforte"/>
          <w:rFonts w:cs="Arial Narrow" w:ascii="Arial" w:hAnsi="Arial"/>
          <w:sz w:val="22"/>
          <w:szCs w:val="22"/>
        </w:rPr>
        <w:t xml:space="preserve"> VARA DO TRABALHO DE </w:t>
      </w:r>
      <w:r>
        <w:rPr>
          <w:rStyle w:val="Nfaseforte"/>
          <w:rFonts w:cs="Arial Narrow" w:ascii="Arial" w:hAnsi="Arial"/>
          <w:color w:val="FF0000"/>
          <w:sz w:val="22"/>
          <w:szCs w:val="22"/>
        </w:rPr>
        <w:t>CAMPO GRANDE</w:t>
      </w:r>
      <w:r>
        <w:rPr>
          <w:rStyle w:val="Nfaseforte"/>
          <w:rFonts w:cs="Arial Narrow" w:ascii="Arial" w:hAnsi="Arial"/>
          <w:sz w:val="22"/>
          <w:szCs w:val="22"/>
        </w:rPr>
        <w:t>/MS.</w:t>
      </w:r>
    </w:p>
    <w:p>
      <w:pPr>
        <w:pStyle w:val="Citacao"/>
        <w:tabs>
          <w:tab w:val="clear" w:pos="420"/>
        </w:tabs>
        <w:spacing w:lineRule="auto" w:line="360" w:before="0" w:after="0"/>
        <w:ind w:left="4025" w:right="0" w:hanging="0"/>
        <w:jc w:val="both"/>
        <w:rPr/>
      </w:pPr>
      <w:r>
        <w:rPr>
          <w:rStyle w:val="Fontepargpadro"/>
          <w:rFonts w:cs="Arial Narrow" w:ascii="Arial" w:hAnsi="Arial"/>
          <w:sz w:val="22"/>
          <w:szCs w:val="22"/>
        </w:rPr>
        <w:br/>
      </w:r>
    </w:p>
    <w:p>
      <w:pPr>
        <w:pStyle w:val="Normal"/>
        <w:tabs>
          <w:tab w:val="clear" w:pos="420"/>
        </w:tabs>
        <w:spacing w:lineRule="auto" w:line="240"/>
        <w:ind w:left="2835" w:right="0" w:hanging="0"/>
        <w:jc w:val="both"/>
        <w:rPr/>
      </w:pPr>
      <w:r>
        <w:rPr>
          <w:rStyle w:val="Fontepargpadro"/>
          <w:rFonts w:ascii="Arial" w:hAnsi="Arial"/>
          <w:b/>
          <w:sz w:val="22"/>
          <w:szCs w:val="22"/>
          <w:u w:val="single"/>
        </w:rPr>
        <w:t xml:space="preserve">TST - </w:t>
      </w:r>
      <w:r>
        <w:rPr>
          <w:rStyle w:val="Fontepargpadro"/>
          <w:rFonts w:ascii="Arial" w:hAnsi="Arial"/>
          <w:b/>
          <w:bCs/>
          <w:sz w:val="22"/>
          <w:szCs w:val="22"/>
          <w:u w:val="single"/>
        </w:rPr>
        <w:t xml:space="preserve">INCJULGRREMBREP – 528-80.2018.5.14.0004 </w:t>
      </w:r>
    </w:p>
    <w:p>
      <w:pPr>
        <w:pStyle w:val="Normal"/>
        <w:tabs>
          <w:tab w:val="clear" w:pos="420"/>
        </w:tabs>
        <w:spacing w:lineRule="auto" w:line="240"/>
        <w:ind w:left="2835" w:right="0" w:hanging="0"/>
        <w:jc w:val="both"/>
        <w:rPr/>
      </w:pPr>
      <w:r>
        <w:rPr>
          <w:rStyle w:val="Fontepargpadro"/>
          <w:rFonts w:ascii="Arial" w:hAnsi="Arial"/>
          <w:b/>
          <w:sz w:val="22"/>
          <w:szCs w:val="22"/>
        </w:rPr>
        <w:t>“</w:t>
      </w:r>
      <w:r>
        <w:rPr>
          <w:rStyle w:val="Fontepargpadro"/>
          <w:rFonts w:ascii="Arial" w:hAnsi="Arial"/>
          <w:b/>
          <w:sz w:val="22"/>
          <w:szCs w:val="22"/>
        </w:rPr>
        <w:t>Incidente de Recurso Repetitivo nº 23: “A Lei nº 13.467/2017 possui aplicação imediata aos contratos de trabalho em curso, passando a regular os direitos decorrentes de lei cujos fatos geradores tenham se efetivado a partir de sua vigência”.</w:t>
      </w:r>
      <w:r>
        <w:rPr>
          <w:rStyle w:val="Fontepargpadro"/>
          <w:rFonts w:cs="Arial Narrow" w:ascii="Arial" w:hAnsi="Arial"/>
          <w:sz w:val="22"/>
          <w:szCs w:val="22"/>
        </w:rPr>
        <w:t xml:space="preserve"> - d.n.</w:t>
      </w:r>
    </w:p>
    <w:p>
      <w:pPr>
        <w:pStyle w:val="Citacao"/>
        <w:tabs>
          <w:tab w:val="clear" w:pos="420"/>
        </w:tabs>
        <w:spacing w:lineRule="auto" w:line="240" w:before="0" w:after="0"/>
        <w:ind w:left="2835" w:right="0" w:hanging="0"/>
        <w:jc w:val="both"/>
        <w:rPr>
          <w:rFonts w:ascii="Arial" w:hAnsi="Arial" w:cs="Arial Narrow"/>
          <w:sz w:val="22"/>
          <w:szCs w:val="22"/>
        </w:rPr>
      </w:pPr>
      <w:r>
        <w:rPr>
          <w:rFonts w:cs="Arial Narrow" w:ascii="Arial" w:hAnsi="Arial"/>
          <w:sz w:val="22"/>
          <w:szCs w:val="22"/>
        </w:rPr>
      </w:r>
    </w:p>
    <w:p>
      <w:pPr>
        <w:pStyle w:val="Citacao"/>
        <w:tabs>
          <w:tab w:val="clear" w:pos="420"/>
        </w:tabs>
        <w:spacing w:lineRule="auto" w:line="240" w:before="0" w:after="0"/>
        <w:ind w:left="2835" w:right="0" w:hanging="0"/>
        <w:jc w:val="both"/>
        <w:rPr/>
      </w:pPr>
      <w:r>
        <w:rPr>
          <w:rStyle w:val="Fontepargpadro"/>
          <w:rFonts w:cs="Arial Narrow" w:ascii="Arial" w:hAnsi="Arial"/>
          <w:color w:val="008000"/>
          <w:sz w:val="22"/>
          <w:szCs w:val="22"/>
        </w:rPr>
        <w:t xml:space="preserve">RECURSO DE EMBARGOS. ACÓRDÃO PUBLICADO NA VIGÊNCIA DA LEI Nº 13.015/2014. PARCELA "QUEBRA DE CAIXA". PERCEBIMENTO POR MAIS DE DEZ ANOS. INCORPORAÇÃO. IMPOSSIBILIDADE. As parcelas "quebra de caixa" e gratificação de função possuem essências e finalidades distintas: aquela constitui um plus salarial destinado apenas aos bancários que exercem a função de caixa; a gratificação de função, por sua vez, remunera qualquer trabalhador mediante a assunção de maiores responsabilidades. O fato de ambas possuírem natureza jurídica salarial não as confunde, podendo, inclusive, ser cumuladas. Porém, os riscos da função de caixa são próprios e a "quebra de caixa" não se estende ao exercício de nenhuma outra função, cujo acréscimo serve apenas para minimizar eventuais prejuízos sofridos pelo empregado decorrentes de erro no fechamento do caixa, pelo qual responde com os próprios recursos. Cuida-se, pois, de salário-condição e, como tal, não se incorpora à remuneração, a exemplo do que ocorre com as horas extras, o adicional noturno, de insalubridade ou de periculosidade. Recurso de embargos conhecido e desprovido. (E-ARR - 8-98.2011.5.15.0114, Relator Ministro: Breno Medeiros, Data de Julgamento: 16/08/2018, Subseção I Especializada em Dissídios Individuais, Data de Publicação: DEJT 24/08/2018) - </w:t>
      </w:r>
      <w:r>
        <w:rPr>
          <w:rStyle w:val="Nfaseforte"/>
          <w:rFonts w:cs="Arial Narrow" w:ascii="Arial" w:hAnsi="Arial"/>
          <w:color w:val="008000"/>
          <w:sz w:val="22"/>
          <w:szCs w:val="22"/>
          <w:u w:val="single"/>
        </w:rPr>
        <w:t>SE HOUVER QUEBRA DE CAIXA</w:t>
      </w:r>
    </w:p>
    <w:p>
      <w:pPr>
        <w:pStyle w:val="Citacao"/>
        <w:tabs>
          <w:tab w:val="clear" w:pos="420"/>
        </w:tabs>
        <w:spacing w:lineRule="auto" w:line="240" w:before="0" w:after="0"/>
        <w:ind w:left="2835" w:right="0" w:hanging="0"/>
        <w:jc w:val="both"/>
        <w:rPr>
          <w:rFonts w:ascii="Arial" w:hAnsi="Arial"/>
          <w:sz w:val="22"/>
          <w:szCs w:val="22"/>
        </w:rPr>
      </w:pPr>
      <w:r>
        <w:rPr>
          <w:rFonts w:ascii="Arial" w:hAnsi="Arial"/>
          <w:sz w:val="22"/>
          <w:szCs w:val="22"/>
        </w:rPr>
      </w:r>
    </w:p>
    <w:p>
      <w:pPr>
        <w:pStyle w:val="Citacao"/>
        <w:tabs>
          <w:tab w:val="clear" w:pos="420"/>
        </w:tabs>
        <w:spacing w:lineRule="auto" w:line="240" w:before="0" w:after="0"/>
        <w:ind w:left="2835" w:right="0" w:hanging="0"/>
        <w:jc w:val="both"/>
        <w:rPr/>
      </w:pPr>
      <w:r>
        <w:rPr>
          <w:rStyle w:val="Nfaseforte"/>
          <w:rFonts w:cs="Arial Narrow" w:ascii="Arial" w:hAnsi="Arial"/>
          <w:color w:val="FF0000"/>
          <w:sz w:val="22"/>
          <w:szCs w:val="22"/>
          <w:u w:val="single"/>
        </w:rPr>
        <w:t>INCORPORAÇÃO DE GRATIFICAÇÃO DE FUNÇÃO. INAPLICABILIDADE DA SÚMULA 372 DO C. TST. FATO CONSUMADO APÓS A VIGÊNCIA DA LEI N. 13.467/2017.Considerando que o autor contava com menos de 10 anos de exercício de função de confiança quando do advento da Lei n. 13.467/2017, que introduziu o § 2º do art. 468 da CLT, não consumado o preenchimento do requisito temporal, portanto, fazendo jus o autor apenas a mera expectativa de direito, não se aplicando ao caso o disposto no inciso I da Súmula 372 do TST. Apelo provido, no particular.</w:t>
      </w:r>
      <w:r>
        <w:rPr>
          <w:rStyle w:val="Nfaseforte"/>
          <w:rFonts w:cs="Arial Narrow" w:ascii="Arial" w:hAnsi="Arial"/>
          <w:b w:val="false"/>
          <w:color w:val="FF0000"/>
          <w:sz w:val="22"/>
          <w:szCs w:val="22"/>
        </w:rPr>
        <w:t xml:space="preserve"> (TRT24 – RO 0024316-82.2020.5.24.0002; 1ª Turma; Rel. Desembargador Federal MARCIO VASQUES THIBAU DE ALMEIDA; julgado em 13/04/2021) – d.n. – </w:t>
      </w:r>
      <w:r>
        <w:rPr>
          <w:rStyle w:val="Nfaseforte"/>
          <w:rFonts w:cs="Arial Narrow" w:ascii="Arial" w:hAnsi="Arial"/>
          <w:color w:val="FF0000"/>
          <w:sz w:val="22"/>
          <w:szCs w:val="22"/>
          <w:u w:val="single"/>
        </w:rPr>
        <w:t>SE TIVER COMPLETADO 10 ANOS APÓS REFORMA TRABALHISTA</w:t>
      </w:r>
    </w:p>
    <w:p>
      <w:pPr>
        <w:pStyle w:val="Citacao"/>
        <w:tabs>
          <w:tab w:val="clear" w:pos="420"/>
        </w:tabs>
        <w:spacing w:lineRule="auto" w:line="240" w:before="0" w:after="0"/>
        <w:ind w:left="2835" w:right="0" w:hanging="0"/>
        <w:jc w:val="both"/>
        <w:rPr>
          <w:rFonts w:ascii="Arial" w:hAnsi="Arial"/>
          <w:sz w:val="22"/>
          <w:szCs w:val="22"/>
        </w:rPr>
      </w:pPr>
      <w:r>
        <w:rPr>
          <w:rFonts w:ascii="Arial" w:hAnsi="Arial"/>
          <w:sz w:val="22"/>
          <w:szCs w:val="22"/>
        </w:rPr>
      </w:r>
    </w:p>
    <w:p>
      <w:pPr>
        <w:pStyle w:val="Citacao"/>
        <w:tabs>
          <w:tab w:val="clear" w:pos="420"/>
        </w:tabs>
        <w:spacing w:lineRule="auto" w:line="240" w:before="0" w:after="0"/>
        <w:ind w:left="2835" w:right="0" w:hanging="0"/>
        <w:jc w:val="both"/>
        <w:rPr/>
      </w:pPr>
      <w:r>
        <w:rPr>
          <w:rStyle w:val="Nfaseforte"/>
          <w:rFonts w:cs="Arial Narrow" w:ascii="Arial" w:hAnsi="Arial"/>
          <w:b w:val="false"/>
          <w:bCs w:val="false"/>
          <w:color w:val="FF0000"/>
          <w:sz w:val="22"/>
          <w:szCs w:val="22"/>
        </w:rPr>
        <w:t>“</w:t>
      </w:r>
      <w:r>
        <w:rPr>
          <w:rStyle w:val="Nfaseforte"/>
          <w:rFonts w:cs="Arial Narrow" w:ascii="Arial" w:hAnsi="Arial"/>
          <w:b w:val="false"/>
          <w:bCs w:val="false"/>
          <w:color w:val="FF0000"/>
          <w:sz w:val="22"/>
          <w:szCs w:val="22"/>
        </w:rPr>
        <w:t>RECURSO DE REVISTA. VIGÊNCIA DA LEI Nº 13.467/17. GRATIFICAÇÃO DE FUNÇÃO PREVISTA EM NORMA INTERNA REVOGADA ANTES DA IMPLEMENTAÇÃO DO REQUISITO OBJETIVO-TEMPORAL (10 ANOS NA FUNÇÃO). INEXISTÊNCIA DE DIREITO ADQUIRIDO.</w:t>
      </w:r>
    </w:p>
    <w:p>
      <w:pPr>
        <w:pStyle w:val="Citacao"/>
        <w:tabs>
          <w:tab w:val="clear" w:pos="420"/>
        </w:tabs>
        <w:spacing w:lineRule="auto" w:line="240" w:before="0" w:after="0"/>
        <w:ind w:left="2835" w:right="0" w:hanging="0"/>
        <w:jc w:val="both"/>
        <w:rPr/>
      </w:pPr>
      <w:r>
        <w:rPr>
          <w:rStyle w:val="Nfaseforte"/>
          <w:rFonts w:cs="Arial Narrow" w:ascii="Arial" w:hAnsi="Arial"/>
          <w:color w:val="FF0000"/>
          <w:sz w:val="22"/>
          <w:szCs w:val="22"/>
          <w:u w:val="single"/>
        </w:rPr>
        <w:t>1. O Tribunal Regional registrou “a ITF (INCORPORAÇÃO POR TEMPO DE FUNÇÃO) foi instituída no âmbito da reclamada em 2012, como 'mecanismo de incorporação administrativa de função concedida aos empregados que forem dispensados do exercício de função após um período igual ou superior a 10 anos, de função.' (Manual de Pessoal, Módulo 36, capítulo 1, item 2 - ID 2d8960d)”. Destacou, no entanto, que “em 2014, por decisão do Conselho de Administração da ECT, a ITF foi extinta e, consequentemente, revogadas as referidas disposições do Módulo 36 do MANPES”.</w:t>
      </w:r>
    </w:p>
    <w:p>
      <w:pPr>
        <w:pStyle w:val="Citacao"/>
        <w:tabs>
          <w:tab w:val="clear" w:pos="420"/>
        </w:tabs>
        <w:spacing w:lineRule="auto" w:line="240" w:before="0" w:after="0"/>
        <w:ind w:left="2835" w:right="0" w:hanging="0"/>
        <w:jc w:val="both"/>
        <w:rPr/>
      </w:pPr>
      <w:r>
        <w:rPr>
          <w:rStyle w:val="Nfaseforte"/>
          <w:rFonts w:cs="Arial Narrow" w:ascii="Arial" w:hAnsi="Arial"/>
          <w:color w:val="FF0000"/>
          <w:sz w:val="22"/>
          <w:szCs w:val="22"/>
          <w:u w:val="single"/>
        </w:rPr>
        <w:t>2. Invocando a inalterabilidade contratual lesiva, firmou entendimento no sentido de que “a revogação da norma interna dois anos após a sua edição não possui o condão de afastar o surgimento do direito ao reclamante”, ainda que haja apontado que o requisito objetivo-temporal previsto na norma interna ocorreu apenas em 2020, ou seja, seis anos depois da revogação da norma que instituiu o direito.</w:t>
      </w:r>
    </w:p>
    <w:p>
      <w:pPr>
        <w:pStyle w:val="Citacao"/>
        <w:tabs>
          <w:tab w:val="clear" w:pos="420"/>
        </w:tabs>
        <w:spacing w:lineRule="auto" w:line="240" w:before="0" w:after="0"/>
        <w:ind w:left="2835" w:right="57" w:hanging="0"/>
        <w:jc w:val="both"/>
        <w:rPr/>
      </w:pPr>
      <w:r>
        <w:rPr>
          <w:rStyle w:val="Nfaseforte"/>
          <w:rFonts w:cs="Arial Narrow" w:ascii="Arial" w:hAnsi="Arial"/>
          <w:color w:val="FF0000"/>
          <w:sz w:val="22"/>
          <w:szCs w:val="22"/>
          <w:u w:val="single"/>
        </w:rPr>
        <w:t>3. A reversão ao cargo efetivo configura alteração lícita do contrato de trabalho, não assegurando ao empregado o direito à manutenção do pagamento da gratificação correspondente, ressalvadas as hipóteses em  que há previsão expressa do direito à incorporação em lei, cláusula coletiva ou norma interna e o empregado implemente os requisitos previstos durante o período de sua vigência.</w:t>
      </w:r>
    </w:p>
    <w:p>
      <w:pPr>
        <w:pStyle w:val="Citacao"/>
        <w:tabs>
          <w:tab w:val="clear" w:pos="420"/>
        </w:tabs>
        <w:spacing w:lineRule="auto" w:line="240" w:before="0" w:after="0"/>
        <w:ind w:left="2835" w:right="0" w:hanging="0"/>
        <w:jc w:val="both"/>
        <w:rPr/>
      </w:pPr>
      <w:r>
        <w:rPr>
          <w:rStyle w:val="Nfaseforte"/>
          <w:rFonts w:cs="Arial Narrow" w:ascii="Arial" w:hAnsi="Arial"/>
          <w:color w:val="FF0000"/>
          <w:sz w:val="22"/>
          <w:szCs w:val="22"/>
          <w:u w:val="single"/>
        </w:rPr>
        <w:t>4. Em tal contexto, não há falar em direito adquirido, mas em mera expectativa que não se consumou.</w:t>
      </w:r>
    </w:p>
    <w:p>
      <w:pPr>
        <w:pStyle w:val="Citacao"/>
        <w:tabs>
          <w:tab w:val="clear" w:pos="420"/>
        </w:tabs>
        <w:spacing w:lineRule="auto" w:line="240" w:before="0" w:after="0"/>
        <w:ind w:left="2835" w:right="0" w:hanging="0"/>
        <w:jc w:val="both"/>
        <w:rPr/>
      </w:pPr>
      <w:r>
        <w:rPr>
          <w:rStyle w:val="Nfaseforte"/>
          <w:rFonts w:cs="Arial Narrow" w:ascii="Arial" w:hAnsi="Arial"/>
          <w:b w:val="false"/>
          <w:bCs w:val="false"/>
          <w:color w:val="FF0000"/>
          <w:sz w:val="22"/>
          <w:szCs w:val="22"/>
        </w:rPr>
        <w:t xml:space="preserve">Recurso de revista conhecido e provido.” (TST-RR-860-33.2020.5.10.0022; Órgão Julgador: 1ª Turma; Relator: Min. AMAURY RODRIGUES PINTO JUNIOR; julgado em: 18/0820222) – d.n. - </w:t>
      </w:r>
      <w:r>
        <w:rPr>
          <w:rStyle w:val="Nfaseforte"/>
          <w:rFonts w:cs="Arial Narrow" w:ascii="Arial" w:hAnsi="Arial"/>
          <w:color w:val="FF0000"/>
          <w:sz w:val="22"/>
          <w:szCs w:val="22"/>
          <w:u w:val="single"/>
        </w:rPr>
        <w:t>SE NÃO HOUVER PREENCHIDO OS REQUISITOS DA NORMA INTERNA ANTES DA REVOGAÇÃO.</w:t>
      </w:r>
    </w:p>
    <w:p>
      <w:pPr>
        <w:pStyle w:val="Citacao"/>
        <w:tabs>
          <w:tab w:val="clear" w:pos="420"/>
        </w:tabs>
        <w:spacing w:lineRule="auto" w:line="360" w:before="0" w:after="0"/>
        <w:ind w:left="2835" w:right="0" w:hanging="0"/>
        <w:jc w:val="both"/>
        <w:rPr>
          <w:rFonts w:ascii="Arial" w:hAnsi="Arial"/>
          <w:sz w:val="22"/>
          <w:szCs w:val="22"/>
        </w:rPr>
      </w:pPr>
      <w:r>
        <w:rPr>
          <w:rFonts w:ascii="Arial" w:hAnsi="Arial"/>
          <w:sz w:val="22"/>
          <w:szCs w:val="22"/>
        </w:rPr>
      </w:r>
    </w:p>
    <w:p>
      <w:pPr>
        <w:pStyle w:val="Tabelatextoalinhadojustificado"/>
        <w:spacing w:lineRule="auto" w:line="360" w:before="0" w:after="0"/>
        <w:jc w:val="both"/>
        <w:rPr/>
      </w:pPr>
      <w:r>
        <w:rPr>
          <w:rStyle w:val="Nfaseforte"/>
          <w:rFonts w:cs="Arial Narrow" w:ascii="Arial" w:hAnsi="Arial"/>
          <w:sz w:val="22"/>
          <w:szCs w:val="22"/>
        </w:rPr>
        <w:t xml:space="preserve">Proc. Nº </w:t>
      </w:r>
      <w:r>
        <w:rPr>
          <w:rStyle w:val="Nfaseforte"/>
          <w:rFonts w:cs="Arial Narrow" w:ascii="Arial" w:hAnsi="Arial"/>
          <w:color w:val="FF0000"/>
          <w:sz w:val="22"/>
          <w:szCs w:val="22"/>
        </w:rPr>
        <w:t>[NÚMERO DO PROCESSO]</w:t>
      </w:r>
    </w:p>
    <w:p>
      <w:pPr>
        <w:pStyle w:val="Tabelatextoalinhadojustificado"/>
        <w:spacing w:lineRule="auto" w:line="360" w:before="0" w:after="0"/>
        <w:jc w:val="both"/>
        <w:rPr/>
      </w:pPr>
      <w:r>
        <w:rPr>
          <w:rStyle w:val="Nfaseforte"/>
          <w:rFonts w:cs="Arial Narrow" w:ascii="Arial" w:hAnsi="Arial"/>
          <w:sz w:val="22"/>
          <w:szCs w:val="22"/>
        </w:rPr>
        <w:t xml:space="preserve">Reclamante: </w:t>
      </w:r>
      <w:r>
        <w:rPr>
          <w:rStyle w:val="Nfaseforte"/>
          <w:rFonts w:cs="Arial Narrow" w:ascii="Arial" w:hAnsi="Arial"/>
          <w:color w:val="FF0000"/>
          <w:sz w:val="22"/>
          <w:szCs w:val="22"/>
        </w:rPr>
        <w:t>[NOME DO RECLAMANTE].</w:t>
      </w:r>
    </w:p>
    <w:p>
      <w:pPr>
        <w:pStyle w:val="Tabelatextoalinhadojustificado"/>
        <w:spacing w:lineRule="auto" w:line="360" w:before="0" w:after="0"/>
        <w:jc w:val="both"/>
        <w:rPr/>
      </w:pPr>
      <w:r>
        <w:rPr>
          <w:rStyle w:val="Nfaseforte"/>
          <w:rFonts w:cs="Arial Narrow" w:ascii="Arial" w:hAnsi="Arial"/>
          <w:sz w:val="22"/>
          <w:szCs w:val="22"/>
        </w:rPr>
        <w:t>Reclamada: Empresa Brasileira de Correios e Telégrafos</w:t>
      </w:r>
    </w:p>
    <w:p>
      <w:pPr>
        <w:pStyle w:val="Tabelatextoalinhadojustificado"/>
        <w:spacing w:lineRule="auto" w:line="360" w:before="0" w:after="0"/>
        <w:jc w:val="both"/>
        <w:rPr>
          <w:rFonts w:ascii="Arial" w:hAnsi="Arial"/>
          <w:sz w:val="22"/>
          <w:szCs w:val="22"/>
        </w:rPr>
      </w:pPr>
      <w:r>
        <w:rPr>
          <w:rFonts w:ascii="Arial" w:hAnsi="Arial"/>
          <w:sz w:val="22"/>
          <w:szCs w:val="22"/>
        </w:rPr>
        <w:t xml:space="preserve">                                                 </w:t>
      </w:r>
    </w:p>
    <w:p>
      <w:pPr>
        <w:pStyle w:val="Textojustificadorecuoprimeiralinha"/>
        <w:spacing w:lineRule="auto" w:line="360" w:before="0" w:after="0"/>
        <w:ind w:left="0" w:right="0" w:firstLine="1701"/>
        <w:jc w:val="both"/>
        <w:rPr/>
      </w:pPr>
      <w:r>
        <w:rPr>
          <w:rStyle w:val="Nfaseforte"/>
          <w:rFonts w:cs="Arial Narrow" w:ascii="Arial" w:hAnsi="Arial"/>
          <w:sz w:val="22"/>
          <w:szCs w:val="22"/>
        </w:rPr>
        <w:t>EMPRESA BRASILEIRA DE CORREIOS E TELÉGRAFOS - ECT, SUPERINTENDÊNCIA ESTADUAL DE MATO GROSSO DO SUL</w:t>
      </w:r>
      <w:r>
        <w:rPr>
          <w:rStyle w:val="Fontepargpadro"/>
          <w:rFonts w:cs="Arial Narrow" w:ascii="Arial" w:hAnsi="Arial"/>
          <w:sz w:val="22"/>
          <w:szCs w:val="22"/>
        </w:rPr>
        <w:t>, empresa pública federal, criada pelo Decreto-Lei nº 509, de 20 de março de 1969, com sede na Avenida Calógeras nº 2.309, centro, Campo Grande/MS, telefone (67)3389-5104, por seu procurador ao final assinado, com escritório na Av. Calógeras nº 2.309, em Campo Grande-MS, onde recebe as intimações de estilo, vem, respeitosamente, à presença de Vossa Excelência, apresentar sua CONTESTAÇÃO à presente Reclamação Trabalhista, nos seguintes termos.</w:t>
      </w:r>
    </w:p>
    <w:p>
      <w:pPr>
        <w:pStyle w:val="Normal"/>
        <w:pBdr>
          <w:top w:val="single" w:sz="6" w:space="4" w:color="000000"/>
          <w:left w:val="single" w:sz="6" w:space="4" w:color="000000"/>
          <w:bottom w:val="single" w:sz="6" w:space="4" w:color="000000"/>
          <w:right w:val="single" w:sz="6" w:space="4" w:color="000000"/>
        </w:pBdr>
        <w:bidi w:val="0"/>
        <w:spacing w:lineRule="exact" w:line="240" w:before="320" w:after="260"/>
        <w:ind w:left="0" w:right="0" w:hanging="0"/>
        <w:jc w:val="center"/>
        <w:rPr>
          <w:rFonts w:ascii="Arial" w:hAnsi="Arial"/>
          <w:b/>
          <w:bCs/>
        </w:rPr>
      </w:pPr>
      <w:r>
        <w:rPr>
          <w:rFonts w:ascii="Arial" w:hAnsi="Arial"/>
          <w:b/>
          <w:bCs/>
        </w:rPr>
        <w:t>DA EQUIPARAÇÃO À FAZENDA PÚBLICA</w:t>
      </w:r>
    </w:p>
    <w:p>
      <w:pPr>
        <w:pStyle w:val="Normal"/>
        <w:tabs>
          <w:tab w:val="clear" w:pos="420"/>
          <w:tab w:val="left" w:pos="9639" w:leader="none"/>
        </w:tabs>
        <w:spacing w:lineRule="auto" w:line="360"/>
        <w:ind w:left="0" w:right="0" w:firstLine="1686"/>
        <w:jc w:val="both"/>
        <w:rPr/>
      </w:pPr>
      <w:r>
        <w:rPr>
          <w:rStyle w:val="Fontepargpadro1"/>
          <w:rFonts w:cs="Arial Narrow" w:ascii="Arial" w:hAnsi="Arial"/>
          <w:sz w:val="22"/>
          <w:szCs w:val="22"/>
        </w:rPr>
        <w:t>De início, a Reclamada requer sejam-lhe aplicadas as prerrogativas processuais inerentes à Fazenda Pública, tais como</w:t>
      </w:r>
      <w:r>
        <w:rPr>
          <w:rStyle w:val="Fontepargpadro1"/>
          <w:rFonts w:cs="Arial Narrow" w:ascii="Arial" w:hAnsi="Arial"/>
          <w:b/>
          <w:bCs/>
          <w:sz w:val="22"/>
          <w:szCs w:val="22"/>
        </w:rPr>
        <w:t xml:space="preserve"> processo de execução especial</w:t>
      </w:r>
      <w:r>
        <w:rPr>
          <w:rStyle w:val="Fontepargpadro1"/>
          <w:rFonts w:cs="Arial Narrow" w:ascii="Arial" w:hAnsi="Arial"/>
          <w:sz w:val="22"/>
          <w:szCs w:val="22"/>
        </w:rPr>
        <w:t xml:space="preserve"> </w:t>
      </w:r>
      <w:r>
        <w:rPr>
          <w:rStyle w:val="Fontepargpadro1"/>
          <w:rFonts w:cs="Arial Narrow" w:ascii="Arial" w:hAnsi="Arial"/>
          <w:b/>
          <w:bCs/>
          <w:sz w:val="22"/>
          <w:szCs w:val="22"/>
        </w:rPr>
        <w:t>nos termos do que dispõe o art. 100 da Carta Política</w:t>
      </w:r>
      <w:r>
        <w:rPr>
          <w:rStyle w:val="Fontepargpadro1"/>
          <w:rFonts w:cs="Arial Narrow" w:ascii="Arial" w:hAnsi="Arial"/>
          <w:sz w:val="22"/>
          <w:szCs w:val="22"/>
        </w:rPr>
        <w:t xml:space="preserve">, </w:t>
      </w:r>
      <w:r>
        <w:rPr>
          <w:rStyle w:val="Fontepargpadro1"/>
          <w:rFonts w:cs="Arial Narrow" w:ascii="Arial" w:hAnsi="Arial"/>
          <w:b/>
          <w:bCs/>
          <w:sz w:val="22"/>
          <w:szCs w:val="22"/>
        </w:rPr>
        <w:t>prazo em dobro para contestar e recorrer</w:t>
      </w:r>
      <w:r>
        <w:rPr>
          <w:rStyle w:val="Fontepargpadro1"/>
          <w:rFonts w:cs="Arial Narrow" w:ascii="Arial" w:hAnsi="Arial"/>
          <w:sz w:val="22"/>
          <w:szCs w:val="22"/>
        </w:rPr>
        <w:t xml:space="preserve">, </w:t>
      </w:r>
      <w:r>
        <w:rPr>
          <w:rStyle w:val="Fontepargpadro1"/>
          <w:rFonts w:cs="Arial Narrow" w:ascii="Arial" w:hAnsi="Arial"/>
          <w:b/>
          <w:bCs/>
          <w:sz w:val="22"/>
          <w:szCs w:val="22"/>
        </w:rPr>
        <w:t xml:space="preserve">isenção das custas processuais e do depósito recursal, </w:t>
      </w:r>
      <w:r>
        <w:rPr>
          <w:rStyle w:val="Fontepargpadro1"/>
          <w:rFonts w:cs="Arial Narrow" w:ascii="Arial" w:hAnsi="Arial"/>
          <w:sz w:val="22"/>
          <w:szCs w:val="22"/>
        </w:rPr>
        <w:t xml:space="preserve">bem como </w:t>
      </w:r>
      <w:r>
        <w:rPr>
          <w:rStyle w:val="Fontepargpadro1"/>
          <w:rFonts w:cs="Arial Narrow" w:ascii="Arial" w:hAnsi="Arial"/>
          <w:b/>
          <w:bCs/>
          <w:sz w:val="22"/>
          <w:szCs w:val="22"/>
        </w:rPr>
        <w:t>incidência dos juros nos termos do art. 3º da Emenda Constitucional nº 113/2021</w:t>
      </w:r>
      <w:r>
        <w:rPr>
          <w:rStyle w:val="Fontepargpadro1"/>
          <w:rFonts w:cs="Arial Narrow" w:ascii="Arial" w:hAnsi="Arial"/>
          <w:sz w:val="22"/>
          <w:szCs w:val="22"/>
        </w:rPr>
        <w:t>.</w:t>
      </w:r>
    </w:p>
    <w:p>
      <w:pPr>
        <w:pStyle w:val="Normal"/>
        <w:tabs>
          <w:tab w:val="clear" w:pos="420"/>
          <w:tab w:val="left" w:pos="1830" w:leader="none"/>
          <w:tab w:val="left" w:pos="9639" w:leader="none"/>
        </w:tabs>
        <w:spacing w:lineRule="auto" w:line="360"/>
        <w:ind w:left="0" w:right="0" w:firstLine="1686"/>
        <w:jc w:val="both"/>
        <w:rPr/>
      </w:pPr>
      <w:r>
        <w:rPr>
          <w:rStyle w:val="Fontepargpadro1"/>
          <w:rFonts w:cs="Arial Narrow" w:ascii="Arial" w:hAnsi="Arial"/>
          <w:sz w:val="22"/>
          <w:szCs w:val="22"/>
        </w:rPr>
        <w:t xml:space="preserve">Esse é o entendimento do E. Supremo Tribunal Federal que através de reiteradas decisões pacificou a tese de que </w:t>
      </w:r>
      <w:r>
        <w:rPr>
          <w:rStyle w:val="Fontepargpadro1"/>
          <w:rFonts w:cs="Arial Narrow" w:ascii="Arial" w:hAnsi="Arial"/>
          <w:b/>
          <w:bCs/>
          <w:sz w:val="22"/>
          <w:szCs w:val="22"/>
        </w:rPr>
        <w:t>a</w:t>
      </w:r>
      <w:r>
        <w:rPr>
          <w:rStyle w:val="Fontepargpadro1"/>
          <w:rFonts w:cs="Arial Narrow" w:ascii="Arial" w:hAnsi="Arial"/>
          <w:sz w:val="22"/>
          <w:szCs w:val="22"/>
        </w:rPr>
        <w:t xml:space="preserve"> </w:t>
      </w:r>
      <w:r>
        <w:rPr>
          <w:rStyle w:val="Fontepargpadro1"/>
          <w:rFonts w:cs="Arial Narrow" w:ascii="Arial" w:hAnsi="Arial"/>
          <w:b/>
          <w:bCs/>
          <w:sz w:val="22"/>
          <w:szCs w:val="22"/>
        </w:rPr>
        <w:t>ECT goza das prerrogativas conferidas à Fazenda Pública</w:t>
      </w:r>
      <w:r>
        <w:rPr>
          <w:rStyle w:val="Fontepargpadro1"/>
          <w:rFonts w:cs="Arial Narrow" w:ascii="Arial" w:hAnsi="Arial"/>
          <w:sz w:val="22"/>
          <w:szCs w:val="22"/>
        </w:rPr>
        <w:t>, senão vejamos:</w:t>
      </w:r>
    </w:p>
    <w:p>
      <w:pPr>
        <w:pStyle w:val="Normal"/>
        <w:tabs>
          <w:tab w:val="clear" w:pos="420"/>
          <w:tab w:val="left" w:pos="1830" w:leader="none"/>
          <w:tab w:val="left" w:pos="9639" w:leader="none"/>
        </w:tabs>
        <w:spacing w:lineRule="auto" w:line="360"/>
        <w:ind w:left="0" w:right="0" w:firstLine="1412"/>
        <w:jc w:val="both"/>
        <w:rPr>
          <w:rFonts w:ascii="Arial" w:hAnsi="Arial" w:cs="Arial Narrow"/>
          <w:sz w:val="22"/>
          <w:szCs w:val="22"/>
        </w:rPr>
      </w:pPr>
      <w:r>
        <w:rPr>
          <w:rFonts w:cs="Arial Narrow" w:ascii="Arial" w:hAnsi="Arial"/>
          <w:sz w:val="22"/>
          <w:szCs w:val="22"/>
        </w:rPr>
      </w:r>
    </w:p>
    <w:p>
      <w:pPr>
        <w:pStyle w:val="Normal"/>
        <w:tabs>
          <w:tab w:val="clear" w:pos="420"/>
        </w:tabs>
        <w:spacing w:lineRule="auto" w:line="240"/>
        <w:ind w:left="1686" w:right="0" w:hanging="0"/>
        <w:jc w:val="both"/>
        <w:rPr/>
      </w:pPr>
      <w:r>
        <w:rPr>
          <w:rStyle w:val="Fontepargpadro1"/>
          <w:rFonts w:cs="Arial Narrow" w:ascii="Arial" w:hAnsi="Arial"/>
          <w:sz w:val="22"/>
          <w:szCs w:val="22"/>
        </w:rPr>
        <w:t>“</w:t>
      </w:r>
      <w:r>
        <w:rPr>
          <w:rStyle w:val="Fontepargpadro1"/>
          <w:rFonts w:cs="Arial Narrow" w:ascii="Arial" w:hAnsi="Arial"/>
          <w:i/>
          <w:iCs/>
          <w:sz w:val="22"/>
          <w:szCs w:val="22"/>
        </w:rPr>
        <w:t xml:space="preserve">Empresa Brasileira de Correios e Telégrafos. Execução – Recentemente, ao terminar o julgamento do RE 220.906, que versava a mesma questão, </w:t>
      </w:r>
      <w:r>
        <w:rPr>
          <w:rStyle w:val="Fontepargpadro1"/>
          <w:rFonts w:cs="Arial Narrow" w:ascii="Arial" w:hAnsi="Arial"/>
          <w:b/>
          <w:bCs/>
          <w:i/>
          <w:iCs/>
          <w:sz w:val="22"/>
          <w:szCs w:val="22"/>
        </w:rPr>
        <w:t>o Plenário desta Corte decidiu que foi recebido pela atual Constituição o Decreto-lei n. 509/69, que estendeu à Empresa Brasileira de Correios e Telégrafos os privilégios conferidos à Fazenda Pública</w:t>
      </w:r>
      <w:r>
        <w:rPr>
          <w:rStyle w:val="Fontepargpadro1"/>
          <w:rFonts w:cs="Arial Narrow" w:ascii="Arial" w:hAnsi="Arial"/>
          <w:i/>
          <w:iCs/>
          <w:sz w:val="22"/>
          <w:szCs w:val="22"/>
        </w:rPr>
        <w:t>, dentre os quais o da impenhorabilidade de seus bens, rendas e serviços, devendo a execução contra ela fazer-se mediante precatório, sob pena de ofensa ao disposto no artigo 100 da Carta Magna – Dessa orientação divergiu o acórdão recorrido. Recurso Extraordinário conhecido e provido.</w:t>
      </w:r>
      <w:r>
        <w:rPr>
          <w:rStyle w:val="Fontepargpadro1"/>
          <w:rFonts w:cs="Arial Narrow" w:ascii="Arial" w:hAnsi="Arial"/>
          <w:sz w:val="22"/>
          <w:szCs w:val="22"/>
        </w:rPr>
        <w:t xml:space="preserve">” (RE – 220699/SP. Relator Ministro MOREIRA ALVES; DJ 16/03/2001. Primeira Turma). </w:t>
      </w:r>
      <w:r>
        <w:rPr>
          <w:rStyle w:val="Fontepargpadro"/>
          <w:rFonts w:cs="Arial Narrow" w:ascii="Arial" w:hAnsi="Arial"/>
          <w:sz w:val="22"/>
          <w:szCs w:val="22"/>
        </w:rPr>
        <w:t>(Acórdãos no mesmo sentido: RE 0220883/00; RE 0220902/00; RE 0225857/00; RE 0228295/00; RE 0229694/00; RE 0230050/00; RE 0230250/00; RE 0232760/00; RE 0235677/00; RE 0281172/01).</w:t>
      </w:r>
    </w:p>
    <w:p>
      <w:pPr>
        <w:pStyle w:val="Normal"/>
        <w:tabs>
          <w:tab w:val="clear" w:pos="420"/>
          <w:tab w:val="left" w:pos="9639" w:leader="none"/>
        </w:tabs>
        <w:spacing w:lineRule="auto" w:line="240"/>
        <w:ind w:left="0" w:right="0" w:firstLine="1412"/>
        <w:jc w:val="both"/>
        <w:rPr>
          <w:rFonts w:ascii="Arial" w:hAnsi="Arial" w:cs="Arial Narrow"/>
          <w:sz w:val="22"/>
          <w:szCs w:val="22"/>
        </w:rPr>
      </w:pPr>
      <w:r>
        <w:rPr>
          <w:rFonts w:cs="Arial Narrow" w:ascii="Arial" w:hAnsi="Arial"/>
          <w:sz w:val="22"/>
          <w:szCs w:val="22"/>
        </w:rPr>
      </w:r>
    </w:p>
    <w:p>
      <w:pPr>
        <w:pStyle w:val="Normal"/>
        <w:tabs>
          <w:tab w:val="clear" w:pos="420"/>
          <w:tab w:val="left" w:pos="9639" w:leader="none"/>
        </w:tabs>
        <w:spacing w:lineRule="auto" w:line="360"/>
        <w:ind w:left="0" w:right="0" w:firstLine="1671"/>
        <w:jc w:val="both"/>
        <w:rPr/>
      </w:pPr>
      <w:r>
        <w:rPr>
          <w:rStyle w:val="Fontepargpadro1"/>
          <w:rFonts w:cs="Arial Narrow" w:ascii="Arial" w:hAnsi="Arial"/>
          <w:sz w:val="22"/>
          <w:szCs w:val="22"/>
        </w:rPr>
        <w:t xml:space="preserve">Observe-se que, pela decisão da Excelsa Corte, a parte destacada do acórdão noticia que o Plenário daquele Tribunal decidiu que foi recebido pela atual Constituição o Decreto-lei nº 509/1969, que </w:t>
      </w:r>
      <w:r>
        <w:rPr>
          <w:rStyle w:val="Fontepargpadro1"/>
          <w:rFonts w:cs="Arial Narrow" w:ascii="Arial" w:hAnsi="Arial"/>
          <w:b/>
          <w:bCs/>
          <w:sz w:val="22"/>
          <w:szCs w:val="22"/>
        </w:rPr>
        <w:t>estendeu à Empresa Brasileira de Correios e Telégrafos as prerrogativas conferidas à Fazenda Pública</w:t>
      </w:r>
      <w:r>
        <w:rPr>
          <w:rStyle w:val="Fontepargpadro1"/>
          <w:rFonts w:cs="Arial Narrow" w:ascii="Arial" w:hAnsi="Arial"/>
          <w:sz w:val="22"/>
          <w:szCs w:val="22"/>
        </w:rPr>
        <w:t>, sendo certo que, por já estar pacificado o tema, a negativa do direito em apreço por parte desse MM. Juízo retardaria o deslinde da questão, causando prejuízos à celeridade processual.</w:t>
      </w:r>
    </w:p>
    <w:p>
      <w:pPr>
        <w:pStyle w:val="Normal"/>
        <w:tabs>
          <w:tab w:val="clear" w:pos="420"/>
          <w:tab w:val="left" w:pos="9639" w:leader="none"/>
        </w:tabs>
        <w:spacing w:lineRule="auto" w:line="360"/>
        <w:ind w:left="0" w:right="0" w:firstLine="1671"/>
        <w:jc w:val="both"/>
        <w:rPr/>
      </w:pPr>
      <w:r>
        <w:rPr>
          <w:rStyle w:val="Fontepargpadro1"/>
          <w:rFonts w:cs="Arial Narrow" w:ascii="Arial" w:hAnsi="Arial"/>
          <w:sz w:val="22"/>
          <w:szCs w:val="22"/>
        </w:rPr>
        <w:t xml:space="preserve">Assim, </w:t>
      </w:r>
      <w:r>
        <w:rPr>
          <w:rStyle w:val="Fontepargpadro1"/>
          <w:rFonts w:cs="Arial Narrow" w:ascii="Arial" w:hAnsi="Arial"/>
          <w:i/>
          <w:iCs/>
          <w:sz w:val="22"/>
          <w:szCs w:val="22"/>
        </w:rPr>
        <w:t>ad argumentandum tantum</w:t>
      </w:r>
      <w:r>
        <w:rPr>
          <w:rStyle w:val="Fontepargpadro1"/>
          <w:rFonts w:cs="Arial Narrow" w:ascii="Arial" w:hAnsi="Arial"/>
          <w:sz w:val="22"/>
          <w:szCs w:val="22"/>
        </w:rPr>
        <w:t>, em caso de condenação, a execução contra a Reclamada deverá fazer-se por meio de precatório, sendo isenta de custas processuais e de depósito recursal.</w:t>
      </w:r>
    </w:p>
    <w:p>
      <w:pPr>
        <w:pStyle w:val="Normal"/>
        <w:tabs>
          <w:tab w:val="clear" w:pos="420"/>
          <w:tab w:val="left" w:pos="9639" w:leader="none"/>
        </w:tabs>
        <w:spacing w:lineRule="auto" w:line="360"/>
        <w:ind w:left="0" w:right="0" w:firstLine="1671"/>
        <w:jc w:val="both"/>
        <w:rPr>
          <w:rFonts w:ascii="Arial" w:hAnsi="Arial" w:cs="Arial Narrow"/>
          <w:sz w:val="22"/>
          <w:szCs w:val="22"/>
        </w:rPr>
      </w:pPr>
      <w:r>
        <w:rPr>
          <w:rFonts w:cs="Arial Narrow" w:ascii="Arial" w:hAnsi="Arial"/>
          <w:sz w:val="22"/>
          <w:szCs w:val="22"/>
        </w:rPr>
        <w:t>Vale ressaltar que o pronunciamento desse órgão julgador quanto às custas processuais e depósito recursal se faz necessário para o preenchimento de todos os pressupostos extrínsecos para viabilização da admissibilidade de eventual recurso.</w:t>
      </w:r>
    </w:p>
    <w:p>
      <w:pPr>
        <w:pStyle w:val="Normal"/>
        <w:tabs>
          <w:tab w:val="clear" w:pos="420"/>
          <w:tab w:val="left" w:pos="9639" w:leader="none"/>
        </w:tabs>
        <w:spacing w:lineRule="auto" w:line="360"/>
        <w:ind w:left="0" w:right="0" w:firstLine="1671"/>
        <w:jc w:val="both"/>
        <w:rPr>
          <w:rFonts w:ascii="Arial" w:hAnsi="Arial" w:cs="Arial Narrow"/>
          <w:sz w:val="22"/>
          <w:szCs w:val="22"/>
        </w:rPr>
      </w:pPr>
      <w:r>
        <w:rPr>
          <w:rFonts w:cs="Arial Narrow" w:ascii="Arial" w:hAnsi="Arial"/>
          <w:sz w:val="22"/>
          <w:szCs w:val="22"/>
        </w:rPr>
        <w:t>Nessa esteira, quanto à isenção de custas processuais, o E. TST já firmou entendimento, conforme se demonstra a seguir:</w:t>
      </w:r>
    </w:p>
    <w:p>
      <w:pPr>
        <w:pStyle w:val="Normal"/>
        <w:tabs>
          <w:tab w:val="clear" w:pos="420"/>
          <w:tab w:val="left" w:pos="9639" w:leader="none"/>
        </w:tabs>
        <w:spacing w:lineRule="auto" w:line="360"/>
        <w:ind w:left="0" w:right="0" w:firstLine="1412"/>
        <w:jc w:val="both"/>
        <w:rPr>
          <w:rFonts w:ascii="Arial" w:hAnsi="Arial" w:cs="Arial Narrow"/>
          <w:sz w:val="22"/>
          <w:szCs w:val="22"/>
        </w:rPr>
      </w:pPr>
      <w:r>
        <w:rPr>
          <w:rFonts w:cs="Arial Narrow" w:ascii="Arial" w:hAnsi="Arial"/>
          <w:sz w:val="22"/>
          <w:szCs w:val="22"/>
        </w:rPr>
      </w:r>
    </w:p>
    <w:p>
      <w:pPr>
        <w:pStyle w:val="Normal"/>
        <w:tabs>
          <w:tab w:val="clear" w:pos="420"/>
        </w:tabs>
        <w:bidi w:val="0"/>
        <w:spacing w:lineRule="auto" w:line="240"/>
        <w:ind w:left="1671" w:right="0" w:hanging="0"/>
        <w:jc w:val="both"/>
        <w:rPr/>
      </w:pPr>
      <w:r>
        <w:rPr>
          <w:rStyle w:val="Fontepargpadro1"/>
          <w:rFonts w:cs="Arial Narrow" w:ascii="Arial" w:hAnsi="Arial"/>
          <w:i/>
          <w:iCs/>
          <w:sz w:val="22"/>
          <w:szCs w:val="22"/>
        </w:rPr>
        <w:t>“</w:t>
      </w:r>
      <w:r>
        <w:rPr>
          <w:rStyle w:val="Fontepargpadro1"/>
          <w:rFonts w:cs="Arial Narrow" w:ascii="Arial" w:hAnsi="Arial"/>
          <w:b/>
          <w:bCs/>
          <w:i/>
          <w:iCs/>
          <w:sz w:val="22"/>
          <w:szCs w:val="22"/>
        </w:rPr>
        <w:t>EMENTA: 1. AGRAVO DE INSTRUMENTO – EMPRESA BRASILEIRA DE CORREIOS E TELÉGRAFOS – ART. 12 DO DECRETO-LEI N. 509/69. Apesar de ser empresa pública com personalidade jurídica de direito privado, a Empresa Brasileira de Correios e Telégrafos é beneficiária de isenção das custas processuais, nos termos expressos do art. 12 do Decreto-lei n. 509/69, que a equiparou à Fazenda Pública para fins de custas, razão pela qual o recurso ordinário em ação rescisória não há que ser considerado deserto.</w:t>
      </w:r>
      <w:r>
        <w:rPr>
          <w:rStyle w:val="Fontepargpadro1"/>
          <w:rFonts w:cs="Arial Narrow" w:ascii="Arial" w:hAnsi="Arial"/>
          <w:i/>
          <w:iCs/>
          <w:sz w:val="22"/>
          <w:szCs w:val="22"/>
        </w:rPr>
        <w:t>” (TST-ROAR-584-2001-00-13-00, Relator Ministro Ives Gandra Martins Filho, julgado em 13/05/2003, publicado no DJ de 30/05/2003).</w:t>
      </w:r>
    </w:p>
    <w:p>
      <w:pPr>
        <w:pStyle w:val="Normal"/>
        <w:tabs>
          <w:tab w:val="clear" w:pos="420"/>
        </w:tabs>
        <w:spacing w:lineRule="auto" w:line="360"/>
        <w:ind w:left="1671" w:right="0" w:hanging="0"/>
        <w:jc w:val="both"/>
        <w:rPr>
          <w:rFonts w:ascii="Arial" w:hAnsi="Arial" w:cs="Arial Narrow"/>
          <w:i/>
          <w:i/>
          <w:iCs/>
          <w:sz w:val="22"/>
          <w:szCs w:val="22"/>
        </w:rPr>
      </w:pPr>
      <w:r>
        <w:rPr>
          <w:rFonts w:cs="Arial Narrow" w:ascii="Arial" w:hAnsi="Arial"/>
          <w:i/>
          <w:iCs/>
          <w:sz w:val="22"/>
          <w:szCs w:val="22"/>
        </w:rPr>
      </w:r>
    </w:p>
    <w:p>
      <w:pPr>
        <w:pStyle w:val="Corpodotextorecuado"/>
        <w:spacing w:lineRule="auto" w:line="360"/>
        <w:ind w:left="0" w:right="0" w:firstLine="1686"/>
        <w:rPr/>
      </w:pPr>
      <w:r>
        <w:rPr>
          <w:rStyle w:val="Fontepargpadro1"/>
          <w:rFonts w:cs="Arial Narrow" w:ascii="Arial" w:hAnsi="Arial"/>
          <w:sz w:val="22"/>
          <w:szCs w:val="22"/>
        </w:rPr>
        <w:t xml:space="preserve">Ainda, sendo a ECT equiparada à Fazenda Pública, além gozar de isenção de custas, os juros de mora deverão incidir conforme dispõe o </w:t>
      </w:r>
      <w:r>
        <w:rPr>
          <w:rStyle w:val="Fontepargpadro8"/>
          <w:rFonts w:eastAsia="Wingdings" w:cs="Arial Narrow" w:ascii="Arial" w:hAnsi="Arial"/>
          <w:sz w:val="22"/>
          <w:szCs w:val="22"/>
        </w:rPr>
        <w:t xml:space="preserve">art. 3º da Emenda Constitucional nº 113/2021, </w:t>
      </w:r>
      <w:r>
        <w:rPr>
          <w:rStyle w:val="Fontepargpadro8"/>
          <w:rFonts w:eastAsia="Wingdings" w:cs="Arial Narrow" w:ascii="Arial" w:hAnsi="Arial"/>
          <w:i/>
          <w:iCs/>
          <w:sz w:val="22"/>
          <w:szCs w:val="22"/>
        </w:rPr>
        <w:t>verbis:</w:t>
      </w:r>
    </w:p>
    <w:p>
      <w:pPr>
        <w:pStyle w:val="Recuodecorpodetexto1"/>
        <w:spacing w:lineRule="auto" w:line="360" w:before="0" w:after="0"/>
        <w:ind w:left="0" w:right="0" w:firstLine="1712"/>
        <w:rPr>
          <w:rFonts w:ascii="Arial" w:hAnsi="Arial" w:cs="Arial Narrow"/>
          <w:i/>
          <w:i/>
          <w:iCs/>
          <w:sz w:val="22"/>
          <w:szCs w:val="22"/>
        </w:rPr>
      </w:pPr>
      <w:r>
        <w:rPr>
          <w:rFonts w:cs="Arial Narrow" w:ascii="Arial" w:hAnsi="Arial"/>
          <w:i/>
          <w:iCs/>
          <w:sz w:val="22"/>
          <w:szCs w:val="22"/>
        </w:rPr>
      </w:r>
    </w:p>
    <w:p>
      <w:pPr>
        <w:pStyle w:val="Corpodotextorecuado"/>
        <w:tabs>
          <w:tab w:val="clear" w:pos="420"/>
        </w:tabs>
        <w:spacing w:lineRule="auto" w:line="240"/>
        <w:ind w:left="1701" w:right="0" w:hanging="0"/>
        <w:rPr/>
      </w:pPr>
      <w:r>
        <w:rPr>
          <w:rStyle w:val="Fontepargpadro8"/>
          <w:rFonts w:eastAsia="Wingdings" w:cs="Arial Narrow" w:ascii="Arial" w:hAnsi="Arial"/>
          <w:i/>
          <w:iCs/>
          <w:sz w:val="22"/>
          <w:szCs w:val="22"/>
        </w:rPr>
        <w:t>Art. 3º Nas discussões e nas condenações que envolvam a Fazenda Pública, independentemente de sua natureza e para fins de atualização monetária, de remuneração do capital e de compensação da mora, inclusive do precatório, haverá a incidência, uma única vez, até o efetivo pagamento, do índice da taxa referencial do Sistema Especial de Liquidação e de Custódia (Selic), acumulado mensalmente.</w:t>
      </w:r>
    </w:p>
    <w:p>
      <w:pPr>
        <w:pStyle w:val="Normal"/>
        <w:pBdr>
          <w:top w:val="single" w:sz="6" w:space="4" w:color="000000"/>
          <w:left w:val="single" w:sz="6" w:space="4" w:color="000000"/>
          <w:bottom w:val="single" w:sz="6" w:space="4" w:color="000000"/>
          <w:right w:val="single" w:sz="6" w:space="4" w:color="000000"/>
        </w:pBdr>
        <w:bidi w:val="0"/>
        <w:spacing w:lineRule="exact" w:line="240" w:before="320" w:after="260"/>
        <w:ind w:left="0" w:right="0" w:hanging="0"/>
        <w:jc w:val="center"/>
        <w:rPr/>
      </w:pPr>
      <w:r>
        <w:rPr>
          <w:rStyle w:val="Nfaseforte"/>
          <w:rFonts w:cs="Arial Narrow" w:ascii="Arial" w:hAnsi="Arial"/>
          <w:b/>
          <w:bCs/>
          <w:sz w:val="22"/>
          <w:szCs w:val="22"/>
          <w:u w:val="single"/>
        </w:rPr>
        <w:t xml:space="preserve">RESUMO DA DEMANDA </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A parte autora ajuizou a presente Reclamação Trabalhista alegando, em síntese, que exerceu várias funções de confiança, mas foi destituída da última e deixou de perceber a respectiva gratificação em </w:t>
      </w:r>
      <w:r>
        <w:rPr>
          <w:rStyle w:val="Fontepargpadro"/>
          <w:rFonts w:cs="Arial Narrow" w:ascii="Arial" w:hAnsi="Arial"/>
          <w:color w:val="FF0000"/>
          <w:sz w:val="22"/>
          <w:szCs w:val="22"/>
        </w:rPr>
        <w:t>[DATA DA DESTITUIÇÃO DA FUNÇÃO]</w:t>
      </w:r>
      <w:r>
        <w:rPr>
          <w:rStyle w:val="Fontepargpadro"/>
          <w:rFonts w:cs="Arial Narrow" w:ascii="Arial" w:hAnsi="Arial"/>
          <w:sz w:val="22"/>
          <w:szCs w:val="22"/>
        </w:rPr>
        <w:t>, o que, no seu entender, violaria o entendimento consubstanciado na Súmula 372 do C. TST, bem como as próprias normas internas da empresa.</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Assim, pleiteia:</w:t>
      </w:r>
    </w:p>
    <w:p>
      <w:pPr>
        <w:pStyle w:val="Citacao"/>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Citacao"/>
        <w:tabs>
          <w:tab w:val="clear" w:pos="420"/>
        </w:tabs>
        <w:spacing w:lineRule="auto" w:line="240" w:before="0" w:after="0"/>
        <w:ind w:left="1701" w:right="0" w:hanging="0"/>
        <w:jc w:val="both"/>
        <w:rPr/>
      </w:pPr>
      <w:r>
        <w:rPr>
          <w:rStyle w:val="Fontepargpadro"/>
          <w:rFonts w:cs="Arial Narrow" w:ascii="Arial" w:hAnsi="Arial"/>
          <w:color w:val="FF0000"/>
          <w:sz w:val="22"/>
          <w:szCs w:val="22"/>
        </w:rPr>
        <w:t xml:space="preserve">a. a CONCESSÃO da ANTECIPAÇÃO DA TUTELA, </w:t>
      </w:r>
      <w:r>
        <w:rPr>
          <w:rStyle w:val="Nfase"/>
          <w:rFonts w:cs="Arial Narrow" w:ascii="Arial" w:hAnsi="Arial"/>
          <w:color w:val="FF0000"/>
          <w:sz w:val="22"/>
          <w:szCs w:val="22"/>
        </w:rPr>
        <w:t>inaudita altera parte</w:t>
      </w:r>
      <w:r>
        <w:rPr>
          <w:rStyle w:val="Fontepargpadro"/>
          <w:rFonts w:cs="Arial Narrow" w:ascii="Arial" w:hAnsi="Arial"/>
          <w:color w:val="FF0000"/>
          <w:sz w:val="22"/>
          <w:szCs w:val="22"/>
        </w:rPr>
        <w:t>, a fim de determinar liminarmente à reclamada que proceda a incorporação imediata da média ponderada das parcelas que remuneraram as funções gratificadas e suas integrações no cálculo da verba ANUÊNIO e demais reflexos, com efeitos financeiros a partir de [DATA-BASE DOS EFEITOS FINANCEIROS REQUERIDOS];</w:t>
      </w:r>
    </w:p>
    <w:p>
      <w:pPr>
        <w:pStyle w:val="Citacao"/>
        <w:tabs>
          <w:tab w:val="clear" w:pos="420"/>
        </w:tabs>
        <w:spacing w:lineRule="auto" w:line="240" w:before="0" w:after="0"/>
        <w:ind w:left="1701" w:right="0" w:hanging="0"/>
        <w:jc w:val="both"/>
        <w:rPr>
          <w:rFonts w:ascii="Arial" w:hAnsi="Arial" w:cs="Arial Narrow"/>
          <w:color w:val="FF0000"/>
          <w:sz w:val="22"/>
          <w:szCs w:val="22"/>
        </w:rPr>
      </w:pPr>
      <w:r>
        <w:rPr>
          <w:rFonts w:cs="Arial Narrow" w:ascii="Arial" w:hAnsi="Arial"/>
          <w:color w:val="FF0000"/>
          <w:sz w:val="22"/>
          <w:szCs w:val="22"/>
        </w:rPr>
        <w:t>b. seja DECLARADA ILÍCITA a redução salarial e DETERMINADO à reclamada que promova a INTEGRAÇÃO definitiva da média ponderada das parcelas que remuneraram as funções gerenciais, e suas integrações no cálculo da verba ANUÊNIO, com efeitos financeiros a contar de [DATA-BASE DOS EFEITOS FINANCEIROS REQUERIDOS];</w:t>
      </w:r>
    </w:p>
    <w:p>
      <w:pPr>
        <w:pStyle w:val="Citacao"/>
        <w:tabs>
          <w:tab w:val="clear" w:pos="420"/>
        </w:tabs>
        <w:spacing w:lineRule="auto" w:line="240" w:before="0" w:after="0"/>
        <w:ind w:left="1701" w:right="0" w:hanging="0"/>
        <w:jc w:val="both"/>
        <w:rPr>
          <w:rFonts w:ascii="Arial" w:hAnsi="Arial" w:cs="Arial Narrow"/>
          <w:color w:val="FF0000"/>
          <w:sz w:val="22"/>
          <w:szCs w:val="22"/>
        </w:rPr>
      </w:pPr>
      <w:r>
        <w:rPr>
          <w:rFonts w:cs="Arial Narrow" w:ascii="Arial" w:hAnsi="Arial"/>
          <w:color w:val="FF0000"/>
          <w:sz w:val="22"/>
          <w:szCs w:val="22"/>
        </w:rPr>
        <w:t>c. DIFERENÇAS MENSAIS VENCIDAS E VINCENDAS, acrescidas de todos os reajustes concedidos a partir de então, com efeitos financeiros a contar de [DATA-BASE DOS EFEITOS FINANCEIROS REQUERIDOS] até a integral incorporação na remuneração, eis que o contrato de trabalho continua vigente, com as repercussões nos anuênios, e somadas essas diferenças nas férias e sua gratificação de 70%, estabelecida em cláusula de Acordo Coletivo de Trabalho reeditada ano a ano e 13º salários;</w:t>
      </w:r>
    </w:p>
    <w:p>
      <w:pPr>
        <w:pStyle w:val="Citacao"/>
        <w:tabs>
          <w:tab w:val="clear" w:pos="420"/>
        </w:tabs>
        <w:spacing w:lineRule="auto" w:line="240" w:before="0" w:after="0"/>
        <w:ind w:left="1701" w:right="0" w:hanging="0"/>
        <w:jc w:val="both"/>
        <w:rPr>
          <w:rFonts w:ascii="Arial" w:hAnsi="Arial" w:cs="Arial Narrow"/>
          <w:color w:val="FF0000"/>
          <w:sz w:val="22"/>
          <w:szCs w:val="22"/>
        </w:rPr>
      </w:pPr>
      <w:r>
        <w:rPr>
          <w:rFonts w:cs="Arial Narrow" w:ascii="Arial" w:hAnsi="Arial"/>
          <w:color w:val="FF0000"/>
          <w:sz w:val="22"/>
          <w:szCs w:val="22"/>
        </w:rPr>
        <w:t>d. DEPOSITAR na conta vinculada da reclamante o FGTS sobre todas as verbas explanadas na fundamentação;</w:t>
      </w:r>
    </w:p>
    <w:p>
      <w:pPr>
        <w:pStyle w:val="Citacao"/>
        <w:tabs>
          <w:tab w:val="clear" w:pos="420"/>
        </w:tabs>
        <w:spacing w:lineRule="auto" w:line="240" w:before="0" w:after="0"/>
        <w:ind w:left="1701" w:right="0" w:hanging="0"/>
        <w:jc w:val="both"/>
        <w:rPr>
          <w:rFonts w:ascii="Arial" w:hAnsi="Arial" w:cs="Arial Narrow"/>
          <w:color w:val="FF0000"/>
          <w:sz w:val="22"/>
          <w:szCs w:val="22"/>
        </w:rPr>
      </w:pPr>
      <w:r>
        <w:rPr>
          <w:rFonts w:cs="Arial Narrow" w:ascii="Arial" w:hAnsi="Arial"/>
          <w:color w:val="FF0000"/>
          <w:sz w:val="22"/>
          <w:szCs w:val="22"/>
        </w:rPr>
        <w:t>e. RECOLHER a cota da patrocinadora na conta de participação da reclamante no plano de previdência complementar, POSTALPREV, mantido junto ao POSTALIS;</w:t>
      </w:r>
    </w:p>
    <w:p>
      <w:pPr>
        <w:pStyle w:val="Citacao"/>
        <w:tabs>
          <w:tab w:val="clear" w:pos="420"/>
        </w:tabs>
        <w:spacing w:lineRule="auto" w:line="240" w:before="0" w:after="0"/>
        <w:ind w:left="1701" w:right="0" w:hanging="0"/>
        <w:jc w:val="both"/>
        <w:rPr>
          <w:rFonts w:ascii="Arial" w:hAnsi="Arial" w:cs="Arial Narrow"/>
          <w:color w:val="FF0000"/>
          <w:sz w:val="22"/>
          <w:szCs w:val="22"/>
        </w:rPr>
      </w:pPr>
      <w:r>
        <w:rPr>
          <w:rFonts w:cs="Arial Narrow" w:ascii="Arial" w:hAnsi="Arial"/>
          <w:color w:val="FF0000"/>
          <w:sz w:val="22"/>
          <w:szCs w:val="22"/>
        </w:rPr>
        <w:t>f. a concessão dos BENEFÍCIOS DA JUSTIÇA GRATUITA;</w:t>
      </w:r>
    </w:p>
    <w:p>
      <w:pPr>
        <w:pStyle w:val="Citacao"/>
        <w:tabs>
          <w:tab w:val="clear" w:pos="420"/>
        </w:tabs>
        <w:spacing w:lineRule="auto" w:line="240" w:before="0" w:after="0"/>
        <w:ind w:left="1701" w:right="0" w:hanging="0"/>
        <w:jc w:val="both"/>
        <w:rPr>
          <w:rFonts w:ascii="Arial" w:hAnsi="Arial" w:cs="Arial Narrow"/>
          <w:color w:val="FF0000"/>
          <w:sz w:val="22"/>
          <w:szCs w:val="22"/>
        </w:rPr>
      </w:pPr>
      <w:r>
        <w:rPr>
          <w:rFonts w:cs="Arial Narrow" w:ascii="Arial" w:hAnsi="Arial"/>
          <w:color w:val="FF0000"/>
          <w:sz w:val="22"/>
          <w:szCs w:val="22"/>
        </w:rPr>
        <w:t>g. HONORÁRIOS ADVOCATÍCIOS DE SUCUMBÊNCIA</w:t>
      </w:r>
    </w:p>
    <w:p>
      <w:pPr>
        <w:pStyle w:val="Normal"/>
        <w:pBdr>
          <w:top w:val="single" w:sz="6" w:space="4" w:color="000000"/>
          <w:left w:val="single" w:sz="6" w:space="4" w:color="000000"/>
          <w:bottom w:val="single" w:sz="6" w:space="4" w:color="000000"/>
          <w:right w:val="single" w:sz="6" w:space="4" w:color="000000"/>
        </w:pBdr>
        <w:bidi w:val="0"/>
        <w:spacing w:lineRule="exact" w:line="240" w:before="320" w:after="260"/>
        <w:ind w:left="0" w:right="0" w:hanging="0"/>
        <w:jc w:val="center"/>
        <w:rPr/>
      </w:pPr>
      <w:r>
        <w:rPr>
          <w:rStyle w:val="Nfaseforte"/>
          <w:rFonts w:cs="Arial Narrow" w:ascii="Arial" w:hAnsi="Arial"/>
          <w:b/>
          <w:bCs/>
          <w:sz w:val="22"/>
          <w:szCs w:val="22"/>
          <w:u w:val="single"/>
        </w:rPr>
        <w:t>PRELIMINARMENTE</w:t>
      </w:r>
    </w:p>
    <w:p>
      <w:pPr>
        <w:pStyle w:val="Corpodetexto2"/>
        <w:tabs>
          <w:tab w:val="clear" w:pos="420"/>
        </w:tabs>
        <w:spacing w:lineRule="auto" w:line="360"/>
        <w:ind w:left="1701" w:right="0" w:hanging="0"/>
        <w:jc w:val="both"/>
        <w:rPr/>
      </w:pPr>
      <w:r>
        <w:rPr>
          <w:rStyle w:val="Fontepargpadro"/>
          <w:rFonts w:cs="Arial Narrow" w:ascii="Arial" w:hAnsi="Arial"/>
          <w:b/>
          <w:bCs/>
          <w:sz w:val="22"/>
          <w:szCs w:val="22"/>
          <w:u w:val="single"/>
        </w:rPr>
        <w:t xml:space="preserve">1. </w:t>
      </w:r>
      <w:r>
        <w:rPr>
          <w:rStyle w:val="Fontepargpadro"/>
          <w:rFonts w:ascii="Arial" w:hAnsi="Arial"/>
          <w:b/>
          <w:bCs/>
          <w:sz w:val="22"/>
          <w:szCs w:val="22"/>
          <w:u w:val="single"/>
        </w:rPr>
        <w:t>AUSÊNCIA DE DIREITO ADQUIRIDO – JULGAMENTO PELO C. TST DO INCJULGRREMBREP – 528-80.2018.5.14.0004.</w:t>
      </w:r>
    </w:p>
    <w:p>
      <w:pPr>
        <w:pStyle w:val="Normal"/>
        <w:spacing w:lineRule="auto" w:line="360"/>
        <w:ind w:left="0" w:right="0" w:firstLine="1701"/>
        <w:jc w:val="both"/>
        <w:rPr>
          <w:rFonts w:ascii="Arial" w:hAnsi="Arial" w:cs="Arial Narrow"/>
          <w:b/>
          <w:bCs/>
          <w:sz w:val="22"/>
          <w:szCs w:val="22"/>
          <w:u w:val="single"/>
        </w:rPr>
      </w:pPr>
      <w:r>
        <w:rPr>
          <w:rFonts w:cs="Arial Narrow" w:ascii="Arial" w:hAnsi="Arial"/>
          <w:b/>
          <w:bCs/>
          <w:sz w:val="22"/>
          <w:szCs w:val="22"/>
          <w:u w:val="single"/>
        </w:rPr>
      </w:r>
    </w:p>
    <w:p>
      <w:pPr>
        <w:pStyle w:val="Normal"/>
        <w:spacing w:lineRule="auto" w:line="360"/>
        <w:ind w:left="0" w:right="0" w:firstLine="1701"/>
        <w:jc w:val="both"/>
        <w:rPr/>
      </w:pPr>
      <w:r>
        <w:rPr>
          <w:rStyle w:val="Fontepargpadro"/>
          <w:rFonts w:cs="Arial Narrow" w:ascii="Arial" w:hAnsi="Arial"/>
          <w:sz w:val="22"/>
          <w:szCs w:val="22"/>
        </w:rPr>
        <w:t xml:space="preserve">De início, cumpre destacar que houve julgamento pelo TST no âmbito do Processo </w:t>
      </w:r>
      <w:r>
        <w:rPr>
          <w:rStyle w:val="Fontepargpadro"/>
          <w:rFonts w:cs="Arial Narrow" w:ascii="Arial" w:hAnsi="Arial"/>
          <w:b/>
          <w:sz w:val="22"/>
          <w:szCs w:val="22"/>
          <w:u w:val="single"/>
        </w:rPr>
        <w:t>INCJULGRREMBREP – 528-80.2018.5.14.</w:t>
      </w:r>
      <w:r>
        <w:rPr>
          <w:rStyle w:val="Fontepargpadro"/>
          <w:rFonts w:cs="Arial Narrow" w:ascii="Arial" w:hAnsi="Arial"/>
          <w:b/>
          <w:bCs/>
          <w:sz w:val="22"/>
          <w:szCs w:val="22"/>
          <w:u w:val="single"/>
        </w:rPr>
        <w:t>0004 incidente de uniformização de jurisprudência visando unificar o entendimento acerca da (im)possibilidade de incorporação de gratificação de função, qualquer que seja o tempo de exercício, face o que dispõe o art. 468, §2º, da CLT</w:t>
      </w:r>
      <w:r>
        <w:rPr>
          <w:rStyle w:val="Fontepargpadro"/>
          <w:rFonts w:cs="Arial Narrow" w:ascii="Arial" w:hAnsi="Arial"/>
          <w:sz w:val="22"/>
          <w:szCs w:val="22"/>
        </w:rPr>
        <w:t>.</w:t>
      </w:r>
    </w:p>
    <w:p>
      <w:pPr>
        <w:pStyle w:val="Normal"/>
        <w:spacing w:lineRule="auto" w:line="360"/>
        <w:ind w:left="0" w:right="0" w:firstLine="1701"/>
        <w:jc w:val="both"/>
        <w:rPr/>
      </w:pPr>
      <w:r>
        <w:rPr>
          <w:rStyle w:val="Fontepargpadro"/>
          <w:rFonts w:ascii="Arial" w:hAnsi="Arial"/>
          <w:sz w:val="22"/>
          <w:szCs w:val="22"/>
        </w:rPr>
        <w:t xml:space="preserve">Nesse norte, ao julgar o </w:t>
      </w:r>
      <w:r>
        <w:rPr>
          <w:rStyle w:val="Fontepargpadro"/>
          <w:rFonts w:ascii="Arial" w:hAnsi="Arial"/>
          <w:bCs/>
          <w:sz w:val="22"/>
          <w:szCs w:val="22"/>
        </w:rPr>
        <w:t xml:space="preserve">INCJULGRREMBREP – 528-80.2018.5.14.0004 </w:t>
      </w:r>
      <w:r>
        <w:rPr>
          <w:rStyle w:val="Fontepargpadro"/>
          <w:rFonts w:ascii="Arial" w:hAnsi="Arial"/>
          <w:sz w:val="22"/>
          <w:szCs w:val="22"/>
        </w:rPr>
        <w:t>o Tribunal Pleno do C. TST fixou a seguinte tese:</w:t>
      </w:r>
    </w:p>
    <w:p>
      <w:pPr>
        <w:pStyle w:val="Normal"/>
        <w:spacing w:lineRule="auto" w:line="360"/>
        <w:ind w:left="0" w:right="0" w:firstLine="1701"/>
        <w:jc w:val="both"/>
        <w:rPr>
          <w:rFonts w:ascii="Arial" w:hAnsi="Arial"/>
          <w:sz w:val="22"/>
          <w:szCs w:val="22"/>
        </w:rPr>
      </w:pPr>
      <w:r>
        <w:rPr>
          <w:rFonts w:ascii="Arial" w:hAnsi="Arial"/>
          <w:sz w:val="22"/>
          <w:szCs w:val="22"/>
        </w:rPr>
      </w:r>
    </w:p>
    <w:p>
      <w:pPr>
        <w:pStyle w:val="Normal"/>
        <w:tabs>
          <w:tab w:val="clear" w:pos="420"/>
        </w:tabs>
        <w:spacing w:lineRule="auto" w:line="240"/>
        <w:ind w:left="1701" w:right="0" w:hanging="0"/>
        <w:jc w:val="both"/>
        <w:rPr/>
      </w:pPr>
      <w:r>
        <w:rPr>
          <w:rStyle w:val="Fontepargpadro"/>
          <w:rFonts w:ascii="Arial" w:hAnsi="Arial"/>
          <w:sz w:val="22"/>
          <w:szCs w:val="22"/>
        </w:rPr>
        <w:t>Incidente de Recurso Repetitivo nº 23: “</w:t>
      </w:r>
      <w:r>
        <w:rPr>
          <w:rStyle w:val="Fontepargpadro"/>
          <w:rFonts w:ascii="Arial" w:hAnsi="Arial"/>
          <w:b/>
          <w:sz w:val="22"/>
          <w:szCs w:val="22"/>
          <w:u w:val="single"/>
        </w:rPr>
        <w:t>A Lei nº 13.467/2017 possui aplicação imediata aos contratos de trabalho em curso, passando a regular os direitos decorrentes de lei cujos fatos geradores tenham se efetivado a partir de sua vigência</w:t>
      </w:r>
      <w:r>
        <w:rPr>
          <w:rStyle w:val="Fontepargpadro"/>
          <w:rFonts w:ascii="Arial" w:hAnsi="Arial"/>
          <w:sz w:val="22"/>
          <w:szCs w:val="22"/>
        </w:rPr>
        <w:t>”.</w:t>
      </w:r>
    </w:p>
    <w:p>
      <w:pPr>
        <w:pStyle w:val="Normal"/>
        <w:spacing w:lineRule="auto" w:line="360"/>
        <w:ind w:left="0" w:right="0" w:firstLine="1701"/>
        <w:jc w:val="both"/>
        <w:rPr>
          <w:rFonts w:ascii="Arial" w:hAnsi="Arial"/>
          <w:sz w:val="22"/>
          <w:szCs w:val="22"/>
        </w:rPr>
      </w:pPr>
      <w:r>
        <w:rPr>
          <w:rFonts w:ascii="Arial" w:hAnsi="Arial"/>
          <w:sz w:val="22"/>
          <w:szCs w:val="22"/>
        </w:rPr>
      </w:r>
    </w:p>
    <w:p>
      <w:pPr>
        <w:pStyle w:val="Normal"/>
        <w:spacing w:lineRule="auto" w:line="360"/>
        <w:ind w:left="0" w:right="0" w:firstLine="1701"/>
        <w:jc w:val="both"/>
        <w:rPr/>
      </w:pPr>
      <w:r>
        <w:rPr>
          <w:rStyle w:val="Fontepargpadro"/>
          <w:rFonts w:ascii="Arial" w:hAnsi="Arial"/>
          <w:sz w:val="22"/>
          <w:szCs w:val="22"/>
        </w:rPr>
        <w:t xml:space="preserve">Assim, importante citar os valiosos ensinamentos constantes na emanta do v. acórdão proferido no </w:t>
      </w:r>
      <w:r>
        <w:rPr>
          <w:rStyle w:val="Fontepargpadro"/>
          <w:rFonts w:ascii="Arial" w:hAnsi="Arial"/>
          <w:bCs/>
          <w:sz w:val="22"/>
          <w:szCs w:val="22"/>
        </w:rPr>
        <w:t xml:space="preserve">INCJULGRREMBREP – 528-80.2018.5.14.0004, </w:t>
      </w:r>
      <w:r>
        <w:rPr>
          <w:rStyle w:val="Fontepargpadro"/>
          <w:rFonts w:ascii="Arial" w:hAnsi="Arial"/>
          <w:bCs/>
          <w:i/>
          <w:sz w:val="22"/>
          <w:szCs w:val="22"/>
        </w:rPr>
        <w:t>verbis:</w:t>
      </w:r>
    </w:p>
    <w:p>
      <w:pPr>
        <w:pStyle w:val="Normal"/>
        <w:spacing w:lineRule="auto" w:line="360"/>
        <w:ind w:left="0" w:right="0" w:firstLine="1701"/>
        <w:jc w:val="both"/>
        <w:rPr>
          <w:rFonts w:ascii="Arial" w:hAnsi="Arial"/>
          <w:sz w:val="22"/>
          <w:szCs w:val="22"/>
        </w:rPr>
      </w:pPr>
      <w:r>
        <w:rPr>
          <w:rFonts w:ascii="Arial" w:hAnsi="Arial"/>
          <w:sz w:val="22"/>
          <w:szCs w:val="22"/>
        </w:rPr>
      </w:r>
    </w:p>
    <w:p>
      <w:pPr>
        <w:pStyle w:val="Normal"/>
        <w:tabs>
          <w:tab w:val="clear" w:pos="420"/>
        </w:tabs>
        <w:spacing w:lineRule="auto" w:line="240"/>
        <w:ind w:left="1701" w:right="0" w:hanging="0"/>
        <w:jc w:val="both"/>
        <w:rPr/>
      </w:pPr>
      <w:r>
        <w:rPr>
          <w:rStyle w:val="Fontepargpadro"/>
          <w:rFonts w:ascii="Arial" w:hAnsi="Arial"/>
          <w:b/>
          <w:sz w:val="22"/>
          <w:szCs w:val="22"/>
        </w:rPr>
        <w:t>INCIDENTE DE RECURSOS REPETITIVOS. TEMA 23. DIREITO INTERTEMPORAL. LEI Nº 13.467/2017. APLICAÇÃO IMEDIATA AOS CONTRATOS EM CURSO. PARCELAS PREVISTAS EM LEI. TRATO SUCESSIVO. FATOS POSTERIORES À SUPRESSÃO DE DIREITO PELA VIA LEGISLATIVA (LEI Nº 13.467/2017). INEXISTÊNCIA DE DIREITO ADQUIRIDO A REGIME JURÍDICO.</w:t>
      </w:r>
      <w:r>
        <w:rPr>
          <w:rStyle w:val="Fontepargpadro"/>
          <w:rFonts w:ascii="Arial" w:hAnsi="Arial"/>
          <w:sz w:val="22"/>
          <w:szCs w:val="22"/>
        </w:rPr>
        <w:t xml:space="preserve"> 1. Incidente de Recursos Repetitivos instaurado perante o Tribunal Pleno para decidir se, </w:t>
      </w:r>
      <w:r>
        <w:rPr>
          <w:rStyle w:val="Fontepargpadro"/>
          <w:rFonts w:ascii="Arial" w:hAnsi="Arial"/>
          <w:i/>
          <w:sz w:val="22"/>
          <w:szCs w:val="22"/>
        </w:rPr>
        <w:t>“quanto aos direitos laborais decorrentes de lei e pagos no curso do contrato de trabalho, remanesce a obrigação de sua observância ou pagamento nesses contratos em curso, no período posterior à entrada em vigor de lei que os suprime/altera?”</w:t>
      </w:r>
      <w:r>
        <w:rPr>
          <w:rStyle w:val="Fontepargpadro"/>
          <w:rFonts w:ascii="Arial" w:hAnsi="Arial"/>
          <w:sz w:val="22"/>
          <w:szCs w:val="22"/>
        </w:rPr>
        <w:t xml:space="preserve"> 2. Nos termos do art. 6º da LINDB a lei nova se aplica imediatamente aos contratos de trabalho em curso, ou seja, regendo a relação quanto a fatos que forem ocorrendo a partir de sua vigência, seja porque inexiste ato jurídico perfeito antes de integralmente ocorrido seu suporte fático, seja porque inexiste direito adquirido a um determinado regime jurídico decorrente de lei, como ocorre com as normas imperativas que regem a relação de emprego. 3. Da mesma forma, a CLT, em seu art. 912, estabelece regra muito similar, segundo a qual </w:t>
      </w:r>
      <w:r>
        <w:rPr>
          <w:rStyle w:val="Fontepargpadro"/>
          <w:rFonts w:ascii="Arial" w:hAnsi="Arial"/>
          <w:i/>
          <w:sz w:val="22"/>
          <w:szCs w:val="22"/>
        </w:rPr>
        <w:t>“Os dispositivos de caráter imperativo terão aplicação imediata às relações iniciadas, mas não consumadas, antes da vigência desta Consolidação”</w:t>
      </w:r>
      <w:r>
        <w:rPr>
          <w:rStyle w:val="Fontepargpadro"/>
          <w:rFonts w:ascii="Arial" w:hAnsi="Arial"/>
          <w:sz w:val="22"/>
          <w:szCs w:val="22"/>
        </w:rPr>
        <w:t>. 4. Só há ato jurídico perfeito quanto aos fatos já consumados segundo a lei da época e apenas há direito adquirido quando completados todos os pressupostos fáticos para seu exercício imediato (ou exercício postergado por termo ou condição inalterável a arbítrio de outrem, LINDB, art. 6º, §§1º e 2º</w:t>
      </w:r>
      <w:r>
        <w:rPr>
          <w:rStyle w:val="Fontepargpadro"/>
          <w:rFonts w:ascii="Arial" w:hAnsi="Arial"/>
          <w:b/>
          <w:sz w:val="22"/>
          <w:szCs w:val="22"/>
          <w:u w:val="single"/>
        </w:rPr>
        <w:t xml:space="preserve">). 5. Quando o conteúdo de um contrato decorre de lei, tratando-se de situação institucional ou estatutária, a lei nova imperativa se aplica imediatamente aos contratos em curso, quanto aos seus fatos pendentes ou futuros. É que, nestes casos, a lei nova não afeta um verdadeiro ajuste entre as partes, mas tão somente o regime jurídico imperativo, que incidia independente da vontade daquelas e, por isso, se sujeita a eventuais alterações subsequentes, pelo legislador. </w:t>
      </w:r>
      <w:r>
        <w:rPr>
          <w:rStyle w:val="Fontepargpadro"/>
          <w:rFonts w:ascii="Arial" w:hAnsi="Arial"/>
          <w:sz w:val="22"/>
          <w:szCs w:val="22"/>
        </w:rPr>
        <w:t xml:space="preserve">6. No estudo da doutrina clássica, este é o típico caso do contrato de emprego, dotado de elevada carga de regulação estatal obrigatória. Há um feixe de limites, obrigações e direitos mínimos, assim como de normas de segurança, higiene e saúde, etc. São direitos, portanto, decorrentes das balizas do direito positivo e não da livre convenção entre as partes, sendo que a lei que altera ou suprime direitos trabalhistas se aplica de imediato aos contratos em curso, quanto aos fatos posteriores à sua entrada em vigor. </w:t>
      </w:r>
      <w:r>
        <w:rPr>
          <w:rStyle w:val="Fontepargpadro"/>
          <w:rFonts w:ascii="Arial" w:hAnsi="Arial"/>
          <w:b/>
          <w:sz w:val="22"/>
          <w:szCs w:val="22"/>
          <w:u w:val="single"/>
        </w:rPr>
        <w:t>7. As ocorrências anteriores à alteração da lei constituem fatos pretéritos, consumados (</w:t>
      </w:r>
      <w:r>
        <w:rPr>
          <w:rStyle w:val="Fontepargpadro"/>
          <w:rFonts w:ascii="Arial" w:hAnsi="Arial"/>
          <w:b/>
          <w:i/>
          <w:sz w:val="22"/>
          <w:szCs w:val="22"/>
          <w:u w:val="single"/>
        </w:rPr>
        <w:t>faits accomplis, facta praeterita, fatti compiuti</w:t>
      </w:r>
      <w:r>
        <w:rPr>
          <w:rStyle w:val="Fontepargpadro"/>
          <w:rFonts w:ascii="Arial" w:hAnsi="Arial"/>
          <w:b/>
          <w:sz w:val="22"/>
          <w:szCs w:val="22"/>
          <w:u w:val="single"/>
        </w:rPr>
        <w:t>), não atingidos pela nova lei, enquanto que os fatos incompletos ou futuros (</w:t>
      </w:r>
      <w:r>
        <w:rPr>
          <w:rStyle w:val="Fontepargpadro"/>
          <w:rFonts w:ascii="Arial" w:hAnsi="Arial"/>
          <w:b/>
          <w:i/>
          <w:sz w:val="22"/>
          <w:szCs w:val="22"/>
          <w:u w:val="single"/>
        </w:rPr>
        <w:t>situations en cours – facta pendentia</w:t>
      </w:r>
      <w:r>
        <w:rPr>
          <w:rStyle w:val="Fontepargpadro"/>
          <w:rFonts w:ascii="Arial" w:hAnsi="Arial"/>
          <w:b/>
          <w:sz w:val="22"/>
          <w:szCs w:val="22"/>
          <w:u w:val="single"/>
        </w:rPr>
        <w:t xml:space="preserve">) recebem a aplicação imediata desta, já que a concretização do respectivo fato gerador ainda não havia ocorrido quando da entrada em vigor da nova lei que alterou o regime jurídico atinente a determinada parcela trabalhista. 8. Não há falar em direito adquirido quanto aos fatos posteriores à alteração legal, ou seja, não realizados antes da alteração legal, já que, no direito brasileiro, inexiste direito adquirido a um determinado estatuto legal ou regime jurídico, inclusive àquele que predomina nas relações de emprego. </w:t>
      </w:r>
      <w:r>
        <w:rPr>
          <w:rStyle w:val="Fontepargpadro"/>
          <w:rFonts w:ascii="Arial" w:hAnsi="Arial"/>
          <w:sz w:val="22"/>
          <w:szCs w:val="22"/>
        </w:rPr>
        <w:t>9. Por outro lado, não há como afastar a aplicação da nova norma aos contratos em curso quanto ao período posterior à sua vigência, em face do princípio da irredutibilidade salarial. A garantia de irredutibilidade não se refere a parcelas específicas nem à sua forma de cálculo, mas apenas ao montante nominal da soma das parcelas permanentes</w:t>
      </w:r>
      <w:r>
        <w:rPr>
          <w:rStyle w:val="Fontepargpadro"/>
          <w:rFonts w:ascii="Arial" w:hAnsi="Arial"/>
          <w:b/>
          <w:sz w:val="22"/>
          <w:szCs w:val="22"/>
          <w:u w:val="single"/>
        </w:rPr>
        <w:t>. Tais parcelas, entretanto, não estão implicadas nas alterações legais em discussão neste incidente, o qual discute exatamente as parcelas que não podem ser consideradas permanentes, já que dependentes de fatos posteriores à alteração normativa</w:t>
      </w:r>
      <w:r>
        <w:rPr>
          <w:rStyle w:val="Fontepargpadro"/>
          <w:rFonts w:ascii="Arial" w:hAnsi="Arial"/>
          <w:sz w:val="22"/>
          <w:szCs w:val="22"/>
        </w:rPr>
        <w:t xml:space="preserve">. 10. Da mesma forma, não há falar, no presente incidente, em vedação ao retrocesso social, em aplicação da norma mais favorável, nem na manutenção da condição mais benéfica ou inalterabilidade lesiva – uma vez que os princípios não alcançam a regra de direito intertemporal. 11. Na realidade, a vedação ao retrocesso social constitui critério de controle de constitucionalidade, a norma mais favorável é princípio hermenêutico para compatibilização de normas simultaneamente vigentes (e não sucessivamente). Quanto à condição mais benéfica ou inalterabilidade contratual lesiva, se referem à preservação de cláusulas em face de alteração contratual in pejus (não a alterações por norma heterônoma). 12. De tal modo, o Incidente de Recurso Repetitivo nº 23 deve ser recepcionado fixando-se a seguinte tese: </w:t>
      </w:r>
      <w:r>
        <w:rPr>
          <w:rStyle w:val="Fontepargpadro"/>
          <w:rFonts w:ascii="Arial" w:hAnsi="Arial"/>
          <w:b/>
          <w:i/>
          <w:sz w:val="22"/>
          <w:szCs w:val="22"/>
        </w:rPr>
        <w:t xml:space="preserve">“A Lei nº 13.467/2017 possui aplicação imediata aos contratos de trabalho em curso, passando a regular os direitos decorrentes de lei cujos fatos geradores tenham se efetivado a partir de sua vigência”. </w:t>
      </w:r>
      <w:r>
        <w:rPr>
          <w:rStyle w:val="Fontepargpadro"/>
          <w:rFonts w:ascii="Arial" w:hAnsi="Arial"/>
          <w:sz w:val="22"/>
          <w:szCs w:val="22"/>
        </w:rPr>
        <w:t>(d.n.)</w:t>
      </w:r>
    </w:p>
    <w:p>
      <w:pPr>
        <w:pStyle w:val="Normal"/>
        <w:spacing w:lineRule="auto" w:line="360"/>
        <w:ind w:left="0" w:right="0" w:firstLine="1701"/>
        <w:jc w:val="both"/>
        <w:rPr>
          <w:rFonts w:ascii="Arial" w:hAnsi="Arial"/>
          <w:sz w:val="22"/>
          <w:szCs w:val="22"/>
        </w:rPr>
      </w:pPr>
      <w:r>
        <w:rPr>
          <w:rFonts w:ascii="Arial" w:hAnsi="Arial"/>
          <w:sz w:val="22"/>
          <w:szCs w:val="22"/>
        </w:rPr>
      </w:r>
    </w:p>
    <w:p>
      <w:pPr>
        <w:pStyle w:val="Normal"/>
        <w:spacing w:lineRule="auto" w:line="360"/>
        <w:ind w:left="0" w:right="0" w:firstLine="1701"/>
        <w:jc w:val="both"/>
        <w:rPr/>
      </w:pPr>
      <w:r>
        <w:rPr>
          <w:rStyle w:val="Fontepargpadro"/>
          <w:rFonts w:ascii="Arial" w:hAnsi="Arial"/>
          <w:sz w:val="22"/>
          <w:szCs w:val="22"/>
        </w:rPr>
        <w:t xml:space="preserve">Ora, com a tese fixada no âmbito do </w:t>
      </w:r>
      <w:r>
        <w:rPr>
          <w:rStyle w:val="Fontepargpadro"/>
          <w:rFonts w:ascii="Arial" w:hAnsi="Arial"/>
          <w:bCs/>
          <w:sz w:val="22"/>
          <w:szCs w:val="22"/>
        </w:rPr>
        <w:t>INCJULGRREMBREP – 528-80.2018.5.14.0004, não mais pode se considerar a situação exposta pela parte autora como direito adquirido.</w:t>
      </w:r>
    </w:p>
    <w:p>
      <w:pPr>
        <w:pStyle w:val="Normal"/>
        <w:spacing w:lineRule="auto" w:line="360"/>
        <w:ind w:left="0" w:right="0" w:firstLine="1701"/>
        <w:jc w:val="both"/>
        <w:rPr/>
      </w:pPr>
      <w:r>
        <w:rPr>
          <w:rStyle w:val="Fontepargpadro"/>
          <w:rFonts w:ascii="Arial" w:hAnsi="Arial"/>
          <w:bCs/>
          <w:sz w:val="22"/>
          <w:szCs w:val="22"/>
        </w:rPr>
        <w:t>Dessa forma, um a vez que a dispensa do reclamante da função gratificada ocorreu posteriormente à vigência da Lei n. 13.467/2017, o pleito deve ser improcedente. É o que se requer.</w:t>
      </w:r>
    </w:p>
    <w:p>
      <w:pPr>
        <w:pStyle w:val="Normal"/>
        <w:spacing w:lineRule="auto" w:line="360"/>
        <w:ind w:left="0" w:right="0" w:firstLine="1701"/>
        <w:jc w:val="both"/>
        <w:rPr>
          <w:rFonts w:ascii="Arial" w:hAnsi="Arial" w:cs="Arial Narrow"/>
          <w:sz w:val="22"/>
          <w:szCs w:val="22"/>
        </w:rPr>
      </w:pPr>
      <w:r>
        <w:rPr>
          <w:rFonts w:cs="Arial Narrow" w:ascii="Arial" w:hAnsi="Arial"/>
          <w:sz w:val="22"/>
          <w:szCs w:val="22"/>
        </w:rPr>
      </w:r>
    </w:p>
    <w:p>
      <w:pPr>
        <w:pStyle w:val="Textojustificado"/>
        <w:tabs>
          <w:tab w:val="clear" w:pos="420"/>
        </w:tabs>
        <w:spacing w:lineRule="auto" w:line="360" w:before="0" w:after="0"/>
        <w:ind w:left="1701" w:right="0" w:hanging="0"/>
        <w:jc w:val="both"/>
        <w:rPr/>
      </w:pPr>
      <w:r>
        <w:rPr>
          <w:rStyle w:val="Nfaseforte"/>
          <w:rFonts w:cs="Arial Narrow" w:ascii="Arial" w:hAnsi="Arial"/>
          <w:color w:val="FF0000"/>
          <w:sz w:val="22"/>
          <w:szCs w:val="22"/>
          <w:u w:val="single"/>
        </w:rPr>
        <w:t xml:space="preserve">2. </w:t>
      </w:r>
      <w:r>
        <w:rPr>
          <w:rStyle w:val="Nfaseforte"/>
          <w:rFonts w:cs="Arial Narrow" w:ascii="Arial" w:hAnsi="Arial"/>
          <w:b/>
          <w:bCs/>
          <w:color w:val="FF0000"/>
          <w:sz w:val="22"/>
          <w:szCs w:val="22"/>
          <w:u w:val="single"/>
        </w:rPr>
        <w:t>INCOMPETÊNCIA DA JUSTIÇA DO QUANTO AO PEDIDO DE PAGAMENTO DE CONTRIBUIÇÕES À PREVIDÊNCIA PRIVADA (POSTALIS). - SE HOUVER PEDIDO DE CONTRIBUIÇÕES À PREV. PRIVADA</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Em relação ao pedido de condenação da Reclamada a "RECOLHER a cota da patrocinadora na conta de participação da reclamante no plano de previdência complementar", argui desde já a Empresa Brasileira de Correios e Telégrafos a incompetência absoluta da Justiça do Trabalho para o julgamento dessa matéria.</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Isso porque, a teor do disposto no art. 114 da Constituição Federal, a Justiça do Trabalho detém competência apenas para a execução das parcelas previdenciárias decorrentes das sentenças que proferir.</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Ocorre que recolhimentos de contribuições ao órgão de Previdência Privada não decorrem de sentença condenatória proferida pela Justiça do Trabalho, mas do próprio vínculo existente entre participante, patrocinadora e gestora do plano. Tal entendimento, aliás, foi consagrado pelo E. STF no julgamento do RE 569056-3.</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É isso o que se extrai também do disposto no artigo 202, § 2º, da CF, a saber:</w:t>
      </w:r>
    </w:p>
    <w:p>
      <w:pPr>
        <w:pStyle w:val="Citacao"/>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Citacao"/>
        <w:tabs>
          <w:tab w:val="clear" w:pos="420"/>
        </w:tabs>
        <w:spacing w:lineRule="auto" w:line="240" w:before="0" w:after="0"/>
        <w:ind w:left="1701" w:right="0" w:hanging="0"/>
        <w:jc w:val="both"/>
        <w:rPr/>
      </w:pPr>
      <w:r>
        <w:rPr>
          <w:rStyle w:val="Fontepargpadro"/>
          <w:rFonts w:cs="Arial Narrow" w:ascii="Arial" w:hAnsi="Arial"/>
          <w:color w:val="FF0000"/>
          <w:sz w:val="22"/>
          <w:szCs w:val="22"/>
        </w:rPr>
        <w:t>“</w:t>
      </w:r>
      <w:r>
        <w:rPr>
          <w:rStyle w:val="Fontepargpadro"/>
          <w:rFonts w:cs="Arial Narrow" w:ascii="Arial" w:hAnsi="Arial"/>
          <w:color w:val="FF0000"/>
          <w:sz w:val="22"/>
          <w:szCs w:val="22"/>
        </w:rPr>
        <w:t>Art. 202 – O regime de previdência privada, de caráter complementar e organizado de forma autônoma em relação ao regime geral de previdência social, será facultativo, baseado na constituição de reservas que garantam o bene􀄰cio contratado, e regulado por lei complementar.</w:t>
      </w:r>
    </w:p>
    <w:p>
      <w:pPr>
        <w:pStyle w:val="Citacao"/>
        <w:tabs>
          <w:tab w:val="clear" w:pos="420"/>
        </w:tabs>
        <w:spacing w:lineRule="auto" w:line="240" w:before="0" w:after="0"/>
        <w:ind w:left="1701" w:right="0" w:hanging="0"/>
        <w:jc w:val="both"/>
        <w:rPr>
          <w:rFonts w:ascii="Arial" w:hAnsi="Arial" w:cs="Arial Narrow"/>
          <w:color w:val="FF0000"/>
          <w:sz w:val="22"/>
          <w:szCs w:val="22"/>
        </w:rPr>
      </w:pPr>
      <w:r>
        <w:rPr>
          <w:rFonts w:cs="Arial Narrow" w:ascii="Arial" w:hAnsi="Arial"/>
          <w:color w:val="FF0000"/>
          <w:sz w:val="22"/>
          <w:szCs w:val="22"/>
        </w:rPr>
        <w:t>(...)</w:t>
      </w:r>
    </w:p>
    <w:p>
      <w:pPr>
        <w:pStyle w:val="Citacao"/>
        <w:tabs>
          <w:tab w:val="clear" w:pos="420"/>
        </w:tabs>
        <w:spacing w:lineRule="auto" w:line="240" w:before="0" w:after="0"/>
        <w:ind w:left="1701" w:right="0" w:hanging="0"/>
        <w:jc w:val="both"/>
        <w:rPr/>
      </w:pPr>
      <w:r>
        <w:rPr>
          <w:rStyle w:val="Fontepargpadro"/>
          <w:rFonts w:cs="Arial Narrow" w:ascii="Arial" w:hAnsi="Arial"/>
          <w:color w:val="FF0000"/>
          <w:sz w:val="22"/>
          <w:szCs w:val="22"/>
        </w:rPr>
        <w:t>§ 2º - As contribuições do empregador, os benefícios e as condições contratuais previstas nos estatutos, regulamentos e planos de benefícios das entidades de previdência privada não integram o contrato de trabalho dos participantes, assim como, à exceção dos benefícios concedidos, não integram a remuneração dos participantes, nos termos da lei”.</w:t>
      </w:r>
    </w:p>
    <w:p>
      <w:pPr>
        <w:pStyle w:val="Textojustificadorecuoprimeiralinha"/>
        <w:spacing w:lineRule="auto" w:line="24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No mesmo sentido, a Lei Complementar nº 109 de 29 de Maio de 2001, que dispõe sobre o Regime de Previdência Complementar, sendo parte as Entidades Fechadas de Previdência Privada, “in verbis”:</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Citacao"/>
        <w:tabs>
          <w:tab w:val="clear" w:pos="420"/>
        </w:tabs>
        <w:spacing w:lineRule="auto" w:line="240" w:before="0" w:after="0"/>
        <w:ind w:left="1701" w:right="0" w:hanging="0"/>
        <w:jc w:val="both"/>
        <w:rPr>
          <w:rFonts w:ascii="Arial" w:hAnsi="Arial" w:cs="Arial Narrow"/>
          <w:color w:val="FF0000"/>
          <w:sz w:val="22"/>
          <w:szCs w:val="22"/>
        </w:rPr>
      </w:pPr>
      <w:r>
        <w:rPr>
          <w:rFonts w:cs="Arial Narrow" w:ascii="Arial" w:hAnsi="Arial"/>
          <w:color w:val="FF0000"/>
          <w:sz w:val="22"/>
          <w:szCs w:val="22"/>
        </w:rPr>
        <w:t>“</w:t>
      </w:r>
      <w:r>
        <w:rPr>
          <w:rFonts w:cs="Arial Narrow" w:ascii="Arial" w:hAnsi="Arial"/>
          <w:color w:val="FF0000"/>
          <w:sz w:val="22"/>
          <w:szCs w:val="22"/>
        </w:rPr>
        <w:t>Art. 68. As contribuições de empregador, os benefícios e as condições contratuais previstos nos estatutos, regulamentos e planos de benefícios das entidades de previdência complementar não integram o contrato de trabalho dos participantes, assim como, à exceção dos benefícios concedidos, não integram a remuneração dos participantes.”</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Ademais, os recolhimentos previdenciários não efetuados representam crédito eventualmente devido à Postalis, e não ao Reclamante, razão pela qual não há que se falar em competência desta Justiça Laboral para o julgamento do pedido em questão.</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Assim, deve ser declarada a incompetência absoluta da Justiça do Trabalho neste particular, com a consequente extinção do referido pleito sem julgamento de mérito, nos termos do artigo 485, IV, do Código de Processo Civil, aplicado subsidiariamente ao processo do Trabalho.</w:t>
      </w:r>
    </w:p>
    <w:p>
      <w:pPr>
        <w:pStyle w:val="Normal"/>
        <w:pBdr>
          <w:top w:val="single" w:sz="6" w:space="4" w:color="000000"/>
          <w:left w:val="single" w:sz="6" w:space="4" w:color="000000"/>
          <w:bottom w:val="single" w:sz="6" w:space="4" w:color="000000"/>
          <w:right w:val="single" w:sz="6" w:space="4" w:color="000000"/>
        </w:pBdr>
        <w:bidi w:val="0"/>
        <w:spacing w:lineRule="exact" w:line="240" w:before="320" w:after="260"/>
        <w:ind w:left="0" w:right="0" w:hanging="0"/>
        <w:jc w:val="center"/>
        <w:rPr/>
      </w:pPr>
      <w:r>
        <w:rPr>
          <w:rStyle w:val="Nfaseforte"/>
          <w:rFonts w:cs="Arial Narrow" w:ascii="Arial" w:hAnsi="Arial"/>
          <w:color w:val="FF0000"/>
          <w:sz w:val="22"/>
          <w:szCs w:val="22"/>
          <w:u w:val="single"/>
        </w:rPr>
        <w:t>PREJUDICIAL DE MÉRITO – PRESCRIÇÃO TOTAL. - SE HOUVER PEDIDO DE FAT/ITF</w:t>
      </w:r>
      <w:r>
        <w:rPr>
          <w:rStyle w:val="Nfaseforte"/>
          <w:rFonts w:cs="Arial Narrow" w:ascii="Arial" w:hAnsi="Arial"/>
          <w:b/>
          <w:bCs/>
          <w:sz w:val="22"/>
          <w:szCs w:val="22"/>
          <w:u w:val="single"/>
        </w:rPr>
        <w:t xml:space="preserve"> </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Consoante já exposto, observa-se que um dos fundamentos da presente ação reside na argumentação de que a Reclamada teria sonegado o direito ao Reclamante de perceber a Função de Apoio Técnico/Operacional (Módulo 55 do MANPES) e a ITF (Módulo 36 do MANPES), parcelas esta garantidas por normas internas da ECT.</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Ocorre que, conforme reconhecido na própria exordial e consoante se comprova dos documentos em anexo, as referidas normas foram revogadas, respectivamente, em 01/05/2012 (Módulo 55 do MANPES - FAT/FAO) e 15/05/2014 (Módulo 36 do MANPES - ITF).</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Ora, em assim sendo, deveria o Reclamante haver ajuizado a competente ação para postular a integração em questão dentro dos cinco anos contados a partir da data da suposta lesão aos seus direitos, ou seja, após maio de 2012 para a FAT e maio de 2014 para a ITF, meses em que ocorreram as revogações das normas internas que garantiriam os supostos direitos do obreiro.</w:t>
      </w:r>
    </w:p>
    <w:p>
      <w:pPr>
        <w:pStyle w:val="Textojustificadorecuoprimeiralinha"/>
        <w:spacing w:lineRule="auto" w:line="360" w:before="0" w:after="0"/>
        <w:ind w:left="0" w:right="0" w:firstLine="1701"/>
        <w:jc w:val="both"/>
        <w:rPr/>
      </w:pPr>
      <w:r>
        <w:rPr>
          <w:rStyle w:val="Fontepargpadro"/>
          <w:rFonts w:cs="Arial Narrow" w:ascii="Arial" w:hAnsi="Arial"/>
          <w:color w:val="FF0000"/>
          <w:sz w:val="22"/>
          <w:szCs w:val="22"/>
        </w:rPr>
        <w:t xml:space="preserve">Todavia, verifica-se que a presente ação somente foi ajuizada em 11 de dezembro de 2020 (mais de cinco anos após o início do curso do prazo prescricional, portanto), de modo que não há outra conclusão que não a de que ocorreu, </w:t>
      </w:r>
      <w:r>
        <w:rPr>
          <w:rStyle w:val="Nfase"/>
          <w:rFonts w:cs="Arial Narrow" w:ascii="Arial" w:hAnsi="Arial"/>
          <w:color w:val="FF0000"/>
          <w:sz w:val="22"/>
          <w:szCs w:val="22"/>
        </w:rPr>
        <w:t>in casu</w:t>
      </w:r>
      <w:r>
        <w:rPr>
          <w:rStyle w:val="Fontepargpadro"/>
          <w:rFonts w:cs="Arial Narrow" w:ascii="Arial" w:hAnsi="Arial"/>
          <w:color w:val="FF0000"/>
          <w:sz w:val="22"/>
          <w:szCs w:val="22"/>
        </w:rPr>
        <w:t>, a prescrição total da pretensão autoral, tudo nos termos do que orienta a Súmula 294 do C. TST, verbis:</w:t>
      </w:r>
    </w:p>
    <w:p>
      <w:pPr>
        <w:pStyle w:val="Citacao"/>
        <w:tabs>
          <w:tab w:val="clear" w:pos="420"/>
        </w:tabs>
        <w:spacing w:lineRule="auto" w:line="360" w:before="0" w:after="0"/>
        <w:ind w:left="1701" w:right="0" w:hanging="0"/>
        <w:jc w:val="both"/>
        <w:rPr>
          <w:rFonts w:ascii="Arial" w:hAnsi="Arial" w:cs="Arial Narrow"/>
          <w:color w:val="FF0000"/>
          <w:sz w:val="22"/>
          <w:szCs w:val="22"/>
        </w:rPr>
      </w:pPr>
      <w:r>
        <w:rPr>
          <w:rFonts w:cs="Arial Narrow" w:ascii="Arial" w:hAnsi="Arial"/>
          <w:color w:val="FF0000"/>
          <w:sz w:val="22"/>
          <w:szCs w:val="22"/>
        </w:rPr>
      </w:r>
    </w:p>
    <w:p>
      <w:pPr>
        <w:pStyle w:val="Citacao"/>
        <w:tabs>
          <w:tab w:val="clear" w:pos="420"/>
        </w:tabs>
        <w:spacing w:lineRule="auto" w:line="240" w:before="0" w:after="0"/>
        <w:ind w:left="1701" w:right="0" w:hanging="0"/>
        <w:jc w:val="both"/>
        <w:rPr>
          <w:rFonts w:ascii="Arial" w:hAnsi="Arial" w:cs="Arial Narrow"/>
          <w:color w:val="FF0000"/>
          <w:sz w:val="22"/>
          <w:szCs w:val="22"/>
        </w:rPr>
      </w:pPr>
      <w:r>
        <w:rPr>
          <w:rFonts w:cs="Arial Narrow" w:ascii="Arial" w:hAnsi="Arial"/>
          <w:color w:val="FF0000"/>
          <w:sz w:val="22"/>
          <w:szCs w:val="22"/>
        </w:rPr>
        <w:t>“</w:t>
      </w:r>
      <w:r>
        <w:rPr>
          <w:rFonts w:cs="Arial Narrow" w:ascii="Arial" w:hAnsi="Arial"/>
          <w:color w:val="FF0000"/>
          <w:sz w:val="22"/>
          <w:szCs w:val="22"/>
        </w:rPr>
        <w:t>PRESCRIÇÃO. ALTERAÇÃO CONTRATUAL. TRABALHADOR URBANO (mantida) - Res. 121/2003, DJ 19, 20 e 21.11.2003</w:t>
      </w:r>
    </w:p>
    <w:p>
      <w:pPr>
        <w:pStyle w:val="Citacao"/>
        <w:tabs>
          <w:tab w:val="clear" w:pos="420"/>
        </w:tabs>
        <w:spacing w:lineRule="auto" w:line="240" w:before="0" w:after="0"/>
        <w:ind w:left="1701" w:right="0" w:hanging="0"/>
        <w:jc w:val="both"/>
        <w:rPr>
          <w:rFonts w:ascii="Arial" w:hAnsi="Arial" w:cs="Arial Narrow"/>
          <w:color w:val="FF0000"/>
          <w:sz w:val="22"/>
          <w:szCs w:val="22"/>
        </w:rPr>
      </w:pPr>
      <w:r>
        <w:rPr>
          <w:rFonts w:cs="Arial Narrow" w:ascii="Arial" w:hAnsi="Arial"/>
          <w:color w:val="FF0000"/>
          <w:sz w:val="22"/>
          <w:szCs w:val="22"/>
        </w:rPr>
        <w:t>Tratando-se de ação que envolva pedido de prestações sucessivas decorrente de alteração do pactuado, a prescrição é total, exceto quando o direito à parcela esteja também assegurado por preceito de lei.</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Ressalte-se, por oportuno, que o direito vindicado não se encontra previsto em lei, mas, incontroversamente, em norma interna da Reclamada. Em assim sendo, forçoso o reconhecimento da prescrição da pretensão em apreço nos termos da parte inicial da supratranscrita súmula 294 do TST.</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Pede-se vênia para transcrever ementa de julgado oriundo deste e. TRT da 24ª Região em caso IDÊNTICO ao presente:</w:t>
      </w:r>
    </w:p>
    <w:p>
      <w:pPr>
        <w:pStyle w:val="Citaca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Citacao"/>
        <w:tabs>
          <w:tab w:val="clear" w:pos="420"/>
        </w:tabs>
        <w:spacing w:lineRule="auto" w:line="240" w:before="0" w:after="0"/>
        <w:ind w:left="1701" w:right="0" w:firstLine="567"/>
        <w:jc w:val="both"/>
        <w:rPr/>
      </w:pPr>
      <w:r>
        <w:rPr>
          <w:rStyle w:val="Nfaseforte"/>
          <w:rFonts w:cs="Arial Narrow" w:ascii="Arial" w:hAnsi="Arial"/>
          <w:color w:val="FF0000"/>
          <w:sz w:val="22"/>
          <w:szCs w:val="22"/>
        </w:rPr>
        <w:t>2.2.1 - PRESCRIÇÃO TOTAL - SÚMULA Nº 294 DO TST</w:t>
      </w:r>
      <w:r>
        <w:rPr>
          <w:rStyle w:val="Fontepargpadro"/>
          <w:rFonts w:cs="Arial Narrow" w:ascii="Arial" w:hAnsi="Arial"/>
          <w:color w:val="FF0000"/>
          <w:sz w:val="22"/>
          <w:szCs w:val="22"/>
        </w:rPr>
        <w:br/>
        <w:t>Postula o reclamante seja afastada a pronúncia da prescrição total porque o direito perseguido está sim assegurado por lei e, consequentemente, a prescrição quinquenal só pode atingir as parcelas vencidas antes de 1º.7.2015 e jamais o fundo do direito, pois resguardado pelos artigos 5º, XXXVI, 7º, VI, da Constituição Federal; 9º, 444 e 468 da CLT; e 2º da Lei nº 12.317/2010, que garantem a irredutibilidade salarial, atraindo a aplicação da segunda parte da Súmula 294 do TST: "exceto quando o direito à parcela esteja também assegurado por preceito de lei"; a pretensão resistida diz respeito ao direito à manutenção de vantagens já asseguradas e incorporadas ao contrato de trabalho, cuja lesão contratual ocorreu de forma periódica e progressiva, traduzindo prestações de trato sucessivo, que se renovaram mês a mês, a cada oportunidade em que a reclamada deixou de efetuar o pagamento das parcelas perseguidas, fluindo a contar de então o prazo prescricional; os regramentos internos da recorrida, notadamente as normas RELATÓRIO DIREC 029-2005, CIRCULAR DIREC 682/2005 e MANPES Módulo 55, desde 2005 estabeleceram para todos os empregados, indistintamente, o direito - após o exercício de no mínimo 79 meses de função de confiança, gratificada ou de atividade especial - à incorporação da gratificação de função proporcional ao tempo de exercício em caso de dispensa por iniciativa patronal na ordem de 70%; a incidência da prescrição só poderá ser acolhida de forma parcial, pois o ato provocador da alteração contratual violou o disposto no art. 468 da CLT e no inciso VI, do art. 7º da Constituição Federal; tem direito a integração proporcional da gratificação suprimida, tendo em vista que a lesão de direito atingiu prestações periódicas, cuja prescrição se conta do vencimento de cada uma das parcelas e não do direito do qual se originam; a actio natas urgiu com a retirada da gratificação de função do seu complexo remuneratório, ou seja com a concretização da sua dispensa do cargo ocupado; como se deixou de integrar a gratificação de função aos salários, desde então passou a sofrer prejuízo (CF, art. 7º, XXIX); segundo doutrina e jurisprudência atuais, o entendimento representado na primeira parte do texto da Súmula nº 294 do TST e aplicado pelo juízo - prescrição total por ato único do empregador - está superado, ao menos, a contar da entrada em vigor do Código Civil de 2002.</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Não tem razão.</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Em conformidade com o contido na sentença o entendimento prevalecente no TST é de que a pretensão de incorporação de gratificação de função recebida por mais de 10 anos é parcial, pois a parcela decorre da CF (art. 7º, VI) e da lei (art. 468, parágrafo único, da CLT) - parte final da Súmula 219.</w:t>
      </w:r>
    </w:p>
    <w:p>
      <w:pPr>
        <w:pStyle w:val="Citacao"/>
        <w:tabs>
          <w:tab w:val="clear" w:pos="420"/>
        </w:tabs>
        <w:spacing w:lineRule="auto" w:line="240" w:before="0" w:after="0"/>
        <w:ind w:left="1701" w:right="0" w:firstLine="567"/>
        <w:jc w:val="both"/>
        <w:rPr/>
      </w:pPr>
      <w:r>
        <w:rPr>
          <w:rStyle w:val="Fontepargpadro"/>
          <w:rFonts w:cs="Arial Narrow" w:ascii="Arial" w:hAnsi="Arial"/>
          <w:color w:val="FF0000"/>
          <w:sz w:val="22"/>
          <w:szCs w:val="22"/>
        </w:rPr>
        <w:t>A parcela vindicada nesta demanda, contudo, não tem amparo no princípio da estabilidade financeira do empregado (art. 7º, VI, da CR, art. 468, parágrafo único, da CLT, e Súmula 372, I, do TST). E nem poderia, pois a pretensão relativa à incorporação salarial com base na estabilidade financeira foi julgada definitivamente nos autos nº 0025826-26.2017.5.</w:t>
      </w:r>
      <w:r>
        <w:rPr>
          <w:rStyle w:val="Nfaseforte"/>
          <w:rFonts w:cs="Arial Narrow" w:ascii="Arial" w:hAnsi="Arial"/>
          <w:color w:val="FF0000"/>
          <w:sz w:val="22"/>
          <w:szCs w:val="22"/>
          <w:u w:val="single"/>
        </w:rPr>
        <w:t>24.0006.</w:t>
      </w:r>
    </w:p>
    <w:p>
      <w:pPr>
        <w:pStyle w:val="Citacao"/>
        <w:tabs>
          <w:tab w:val="clear" w:pos="420"/>
        </w:tabs>
        <w:spacing w:lineRule="auto" w:line="240" w:before="0" w:after="0"/>
        <w:ind w:left="1701" w:right="0" w:firstLine="567"/>
        <w:jc w:val="both"/>
        <w:rPr/>
      </w:pPr>
      <w:r>
        <w:rPr>
          <w:rStyle w:val="Nfaseforte"/>
          <w:rFonts w:cs="Arial Narrow" w:ascii="Arial" w:hAnsi="Arial"/>
          <w:color w:val="FF0000"/>
          <w:sz w:val="22"/>
          <w:szCs w:val="22"/>
          <w:u w:val="single"/>
        </w:rPr>
        <w:t>O que se discute, como reconhecido pelo próprio reclamante na impugnação à defesa, é a aplicabilidade do regulamento interno da ré, especificamente dos RELATÓRIO/DIREC-029/2005, de 30 de março de 2005, CIRCULAR/DIREC-682/2005, de 14 de abril de 2005, e MANPES - Manual de Pessoal, Módulos 55, que regulamentaram a Função de Apoio Técnico/Operacional - FAT/FAO, inclusive a incorporação na hipótese de exercício de função gratificada por cinco anos, contínuos ou não, dentro de um período de 15 anos.</w:t>
      </w:r>
    </w:p>
    <w:p>
      <w:pPr>
        <w:pStyle w:val="Citacao"/>
        <w:tabs>
          <w:tab w:val="clear" w:pos="420"/>
        </w:tabs>
        <w:spacing w:lineRule="auto" w:line="240" w:before="0" w:after="0"/>
        <w:ind w:left="1701" w:right="0" w:firstLine="567"/>
        <w:jc w:val="both"/>
        <w:rPr/>
      </w:pPr>
      <w:r>
        <w:rPr>
          <w:rStyle w:val="Nfaseforte"/>
          <w:rFonts w:cs="Arial Narrow" w:ascii="Arial" w:hAnsi="Arial"/>
          <w:color w:val="FF0000"/>
          <w:sz w:val="22"/>
          <w:szCs w:val="22"/>
          <w:u w:val="single"/>
        </w:rPr>
        <w:t>Ocorre que esta demanda foi proposta em 16.7.2019, isso é, mais de cinco anos após a alteração do regulamento interno. Com efeito, em 1º.5.2012, a ré revogou as disposições relativas ao FAT/FAO e excluiu o direito de incorporação pretendido, conforme Mem.03019/2012-GCRP/CEGEP-Circular (ID 3d61ff2), cuja autenticidade não foi impugnada pelo demandante.</w:t>
      </w:r>
    </w:p>
    <w:p>
      <w:pPr>
        <w:pStyle w:val="Citacao"/>
        <w:tabs>
          <w:tab w:val="clear" w:pos="420"/>
        </w:tabs>
        <w:spacing w:lineRule="auto" w:line="240" w:before="0" w:after="0"/>
        <w:ind w:left="1701" w:right="0" w:firstLine="567"/>
        <w:jc w:val="both"/>
        <w:rPr/>
      </w:pPr>
      <w:r>
        <w:rPr>
          <w:rStyle w:val="Nfaseforte"/>
          <w:rFonts w:cs="Arial Narrow" w:ascii="Arial" w:hAnsi="Arial"/>
          <w:color w:val="FF0000"/>
          <w:sz w:val="22"/>
          <w:szCs w:val="22"/>
          <w:u w:val="single"/>
        </w:rPr>
        <w:t>Nos termos da Súmula 294 do TST, "tratando-se de ação que envolva pedido de prestações sucessivas decorrente de alteração do pactuado, a prescrição é total, exceto quando o direito à parcela esteja também assegurado por preceito de lei". Não se aplica, no caso, a segunda parte, pois a parcela decorre apenas de norma interna da empresa, unilateralmente suprimida.</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Confira-se, por fim, precedente do TST acerca da incidência da prescrição total nas hipóteses de alteração do regulamento da empresa:</w:t>
      </w:r>
    </w:p>
    <w:p>
      <w:pPr>
        <w:pStyle w:val="Citacao"/>
        <w:tabs>
          <w:tab w:val="clear" w:pos="420"/>
        </w:tabs>
        <w:spacing w:lineRule="auto" w:line="240" w:before="0" w:after="0"/>
        <w:ind w:left="2410" w:right="0" w:hanging="142"/>
        <w:jc w:val="both"/>
        <w:rPr>
          <w:rFonts w:ascii="Arial" w:hAnsi="Arial" w:cs="Arial Narrow"/>
          <w:color w:val="FF0000"/>
          <w:sz w:val="22"/>
          <w:szCs w:val="22"/>
        </w:rPr>
      </w:pPr>
      <w:r>
        <w:rPr>
          <w:rFonts w:cs="Arial Narrow" w:ascii="Arial" w:hAnsi="Arial"/>
          <w:color w:val="FF0000"/>
          <w:sz w:val="22"/>
          <w:szCs w:val="22"/>
        </w:rPr>
        <w:t>"AGRAVO EM AGRAVO DE INSTRUMENTO EM RECURSO DE REVISTA INTERPOSTO ANTES DA VIGÊNCIA DA LEI 13.015/2014. EMBASA. PROMOÇÕES. PROGRESSÕES POR ANTIGUIDADE. DIFERENÇAS SALARIAIS. PRESCRIÇÃO TOTAL. TEMA PACIFICADO NA SBDI-1/TST. No caso em tela, envolvendo pedido de prestações sucessivas decorrente de alteração do pactuado, por ato único do empregador, são aplicáveis os termos da Súmula 294 do TST. Nesse sentido é a jurisprudência atual da SBDI-1, firmada no sentido de que a revogação do Plano de 1986 pela Embasa configura alteração contratual, a atrair a incidência da primeira parte da Súmula nº 294 do TST. Somente não ocorre a prescrição absoluta, nos termos da Súmula n° 294, quando a lesão é continuada em face de violação de dispositivo de lei. Precedentes". (Ag- AIRR-421-33.2014.5.05.0002, 3ª Turma, Relator Ministro Alexandre de Souza Agra Belmonte, DEJT 6.3.2020, grifo acrescido).</w:t>
      </w:r>
    </w:p>
    <w:p>
      <w:pPr>
        <w:pStyle w:val="Citacao"/>
        <w:tabs>
          <w:tab w:val="clear" w:pos="420"/>
        </w:tabs>
        <w:spacing w:lineRule="auto" w:line="240" w:before="0" w:after="0"/>
        <w:ind w:left="1701" w:right="0" w:firstLine="567"/>
        <w:jc w:val="both"/>
        <w:rPr/>
      </w:pPr>
      <w:r>
        <w:rPr>
          <w:rStyle w:val="Nfaseforte"/>
          <w:rFonts w:cs="Arial Narrow" w:ascii="Arial" w:hAnsi="Arial"/>
          <w:color w:val="FF0000"/>
          <w:sz w:val="22"/>
          <w:szCs w:val="22"/>
          <w:u w:val="single"/>
        </w:rPr>
        <w:t>Portanto, a prescrição a incidir não é a parcial, que envolve as parcelas anteriores ao quinquênio, mas sim a total, que atinge o direito de ação, pois houve supressão do acordado por ato único do empregador.</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Ainda, em petição inicial o reclamante afirma que em 9.7.2012 foi designado como titular da função gratificada denominada "gerente agência de correio banco postal", da qual foi destituído em abril/2019, requerendo a apuração e integração aos salários da gratificação de função convencional + CIP a contar de 19.4.2019.</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Ou seja, a designação para a função que pretende ver incorporada ocorreu após a revogação das normas internas que tratavam da incorporação.</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Nesse passo, não houve incorporação do contido nas normas da reclamada ao contrato de trabalho porque, por ocasião da revogação do regramento interno, não ocupava o recorrente a função gratificada vindicada (gerente), mais um fundamento a afastar a pretensão.</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Aliás, tal circunstância é reconhecida em razões recursais, verbis:</w:t>
      </w:r>
    </w:p>
    <w:p>
      <w:pPr>
        <w:pStyle w:val="Citacao"/>
        <w:tabs>
          <w:tab w:val="clear" w:pos="420"/>
        </w:tabs>
        <w:spacing w:lineRule="auto" w:line="240" w:before="0" w:after="0"/>
        <w:ind w:left="2268" w:right="0" w:firstLine="567"/>
        <w:jc w:val="both"/>
        <w:rPr>
          <w:rFonts w:ascii="Arial" w:hAnsi="Arial" w:cs="Arial Narrow"/>
          <w:color w:val="FF0000"/>
          <w:sz w:val="22"/>
          <w:szCs w:val="22"/>
        </w:rPr>
      </w:pPr>
      <w:r>
        <w:rPr>
          <w:rFonts w:cs="Arial Narrow" w:ascii="Arial" w:hAnsi="Arial"/>
          <w:color w:val="FF0000"/>
          <w:sz w:val="22"/>
          <w:szCs w:val="22"/>
        </w:rPr>
        <w:t>"Somente aqueles empregados da reclamada contratados e investidos em funções de confiança após as modificações introduzidas - módulo 55 revogado em 1.5.2012 e módulo 36 em 15.5.2014 - não terão repercussões trabalhistas das normas revogadas."(ID. 0d86f21 - Pág. 15), grifei.</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Por tais fundamentos, a pronúncia da prescrição total e a extinção do processo com resolução do mérito (art. 487, II do CPC) é medida que se impõe.</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Nego provimento." (TRT 24 RO 0024632-20.2019.5.24.0006; 1ª Turma/ Relator : Des. NERY SÁ E SILVA DE AZAMBUJA; julgado em 30/06/2020) - d.n.</w:t>
      </w:r>
    </w:p>
    <w:p>
      <w:pPr>
        <w:pStyle w:val="Textojustificadorecuoprimeiralinha"/>
        <w:spacing w:lineRule="auto" w:line="240" w:before="0" w:after="0"/>
        <w:ind w:left="0" w:right="0" w:firstLine="1701"/>
        <w:jc w:val="both"/>
        <w:rPr>
          <w:rFonts w:ascii="Arial" w:hAnsi="Arial" w:cs="Arial Narrow"/>
          <w:color w:val="FF0000"/>
          <w:sz w:val="22"/>
          <w:szCs w:val="22"/>
        </w:rPr>
      </w:pPr>
      <w:r>
        <w:rPr>
          <w:rFonts w:cs="Arial Narrow" w:ascii="Arial" w:hAnsi="Arial"/>
          <w:color w:val="FF0000"/>
          <w:sz w:val="22"/>
          <w:szCs w:val="22"/>
        </w:rPr>
        <w:t>Outrossim, no mesmo sentido:</w:t>
      </w:r>
    </w:p>
    <w:p>
      <w:pPr>
        <w:pStyle w:val="Citacao"/>
        <w:spacing w:lineRule="auto" w:line="24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w:t>
      </w:r>
      <w:r>
        <w:rPr>
          <w:rFonts w:cs="Arial Narrow" w:ascii="Arial" w:hAnsi="Arial"/>
          <w:color w:val="FF0000"/>
          <w:sz w:val="22"/>
          <w:szCs w:val="22"/>
        </w:rPr>
        <w:t>PRESCRIÇÃO. GRATIFICAÇÃO DE FUNÇÃO. A revogação do regulamento da empresa, por meio da qual foram extintas a Funções de Apoio Técnico e de Apoio Operacional- FAT/FAO, caracteriza-se como uma alteração contratual atraindo a incidência da Súmula n. 294 do TST.</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MÉRITO</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PRESCRIÇÃO. GRATIFICAÇÃO DE FUNÇÃO</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O juízo de origem pronunciou a prescrição parcial quinquenal e condenou a ré ao pagamento de diferenças salariais decorrentes da designação para a Função de Apoio Técnico e de Apoio Operacional - FAT/FAO. Determinou, ainda, a obrigação da reclamada a proceder o enquadramento do autor na norma interna da empresa de 2008, na Função de Apoio Técnico e de Apoio Operacional FAT/FAO, com base na média apurada (fls. 292/297).</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A reclamada postula a modificação do julgado, a fim de que seja julgada improcedente a reclamação. Alega, inicialmente, que o pedido se encontra embasado em norma interna extinta a mais de cinco anos, razão pela qual está fulminado pela prescrição.</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Assim, sustenta que é indevida a incorporação da gratificação de função tanto pelas regras da FAT/FAO, porque decorridos mais de cinco anos de sua revogação, bem assim porque não atendidos os requisitos previstos pela ITF/GPTF. Argumenta que a Função de Apoio Operacional - FAO ou Função de Apoio Técnico - FAT, prevista no Manual de Pessoal - MANPES, no seu módulo 55 foi revogada em 1º-05-2012 pelo ITF/GPTF, conforme Mem. 03019/2012. Nesse passo, alega que a pretensão se encontra fulminada pela prescrição, visto que o reclamante ajuizou reclamação em 09-11-2017, mais de cinco anos após a alteração do regulamento. De outro lado, sustenta que para ter direito ao ITF - incorporação administrativa por tempo de função, o autor teria que ter no mínimo dez anos de função, o que não é caso. Afirma que para a concessão da GPTF - gratificação provisória por tempo de função, é necessário no mínimo cinco anos de função. Salienta que o Módulo 36 do MANPES, que devia as regras de concessão do GPTF foi revogado em maio de 2014, conforme se verifica o Mem. 00676/2014 e do "Primeira Hora", que é um informativo destinado a todos os colaboradores da ré. Argumenta que a GPTF foi instituída em manual de pessoal da empresa dentro de seu poder diretivo, podendo ser extinta por conveniência, em decorrência de limites orçamentários da empresa e em razão do impacto financeiro e orçamentário causado pelo aumento da despesa. Assim, não</w:t>
        <w:br/>
        <w:t>haveria falar em supressão de parcela que implique em alteração contratual ilícita. Acrescenta que por se tratar de uma empresa pública, a questão da incorporação da gratificação de função deve ser analisada sob o enfoque dos princípios da legalidade, moralidade e eficiência.</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Ao exame.</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O autor alegou que recebeu gratificação de função por mais de 110 meses, tendo sido suprimida em 2014, por ato da empresa e sem justo motivo.</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Salientou que a Função de Apoio Operacional foi substituída pela gratificação GPTF em outubro de 2012.</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Entende que faz jus ao pagamento da gratificação de função de maneira proporcional em conformidade com o regramento interno da FAG, uma vez que a norma interna que trata do pagamento da gratificação de função se incorporou ao seu contrato de trabalho, sendo que a alteração por meio de normas internas posteriores somente pode ocorrer desde que não cause prejuízos. Assim, com fulcro no Manual de Pessoal EMI de 1º-01-2008, norma interna denominada FAT/FAO, o reclamante requer a condenação da ré ao pagamento da gratificação de função no valor de 90% do valor percebido em outubro de 2012.</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É incontroverso que o Manual de Pessoal - Módulo 55 instituiu a Função de Apoio Técnico e de Apoio Operacional em 1º-01-2008. Por outro lado, a reclamada comprovou por meio do documento acostado à fl. 150 (Mem. Circurlar 4170/2012/GEGEP), que as Funções de Apoio Técnico e de Apoio Operacional- FAT/FAO foram extintas a partir de 1º-05-2012, com a revogação do Módulo 55 do MANPES.</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Nesse contexto, assiste razão à reclamada, visto que a pretensão deduzida pelo reclamante se encontra fulminada pela prescrição quinquenal total, consoante o disposto na Súmula n. 294 do TST, de seguinte teor:</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PRESCRIÇÃO. ALTERAÇÃO CONTRATUAL. TRABALHADOR URBANO. Tratando-se de ação que envolva pedido de prestações sucessivas decorrente de alteração do pactuado, a prescrição é total, exceto quando o direito à parcela esteja também assegurado por preceito de lei.</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Com efeito, a revogação do regulamento da empresa, por meio da qual foram extintas a Funções de Apoio Técnico e de Apoio Operacional- FAT/FAO, caracteriza-se como uma alteração contratual atraindo a incidência do referido verbete sumular.</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Dessa forma, tendo em vista que a presente ação foi ajuizada somente 09-11-2017, após transcorridos mais de cinco anos do ato único da empregadora, no caso, a revogação da norma interna em que o autor ampara seu pedido, corrida em outubro de 2012, forçoso reconhecer a</w:t>
        <w:br/>
        <w:t>incidência da prescrição total quinquenal.</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Diante do exposto, dou provimento ao recurso para pronunciar a prescrição da pretensão ao pagamento da gratificação de função no valor de 90% do valor percebido em outubro de 2012, por força da norma interna FAT/FAO, julgando extinto o processo com resolução do mérito.” (TRT 12 – RO nº 0001682-89.2017.5.12.0048; 6ª Câmara; Relatora: LÍLIA LEONOR ABREU; julgado em 21/08/2018).</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w:t>
      </w:r>
      <w:r>
        <w:rPr>
          <w:rFonts w:cs="Arial Narrow" w:ascii="Arial" w:hAnsi="Arial"/>
          <w:color w:val="FF0000"/>
          <w:sz w:val="22"/>
          <w:szCs w:val="22"/>
        </w:rPr>
        <w:t>A reversão do cargo de confiança ao cargo anterior é uma regra excepcional de alteração do contrato (parágrafo único do art. 468 da CLT), e é considerada constitucional. Isso porque não se configura redução salarial a supressão de gratificação de função. A gratificação ajustada é salário (art. 475 da CLT), porém a lei admite o seu pagamento apenas em certas circunstâncias, como também ocorre outras parcelas salariais, como os adicionais, as horas extras. A irredutibilidade salarial não é absoluta, é sim em relação ao que foi pactuado.</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Inexiste lei garantindo incorporação definitiva de gratificação de função de confiança no salário.</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O que existe é o entendimento da Súmula 372 do TST, I, que entende que ‘percebida a gratificação de função por dez ou mais anos pelo empregado, se o empregador, sem justo motivo, revertê-lo a seu cargo efetivo, não poderá retirar-lhe a gratificação tendo em vista o princípio da estabilidade financeira’.</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Essa Súmula, no entanto, não especifica como se proceder à incorporação da gratificação quando esta sofreu variações no curso dos 10 anos. A jurisprudência não é uniforma à respeito, ora utilizando critérios de se pagar o valor mais alto, ora no sentido de se proceder à média, ou outro critério.</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A regra estabelecida pela reclamada há 15 anos antes de o autor ajuizar a ação, foi a de incorporar a gratificação de função por meio de um adicional compensatório, conforme RH 03.04.01, estabelecida de forma proporcional ao tempo de serviço, isso por meio de uma tabela, conforme regulamento interno.</w:t>
      </w:r>
    </w:p>
    <w:p>
      <w:pPr>
        <w:pStyle w:val="Citacao"/>
        <w:tabs>
          <w:tab w:val="clear" w:pos="420"/>
        </w:tabs>
        <w:spacing w:lineRule="auto" w:line="240" w:before="0" w:after="0"/>
        <w:ind w:left="1701" w:right="0" w:firstLine="567"/>
        <w:jc w:val="both"/>
        <w:rPr/>
      </w:pPr>
      <w:r>
        <w:rPr>
          <w:rStyle w:val="Nfaseforte"/>
          <w:rFonts w:cs="Arial Narrow" w:ascii="Arial" w:hAnsi="Arial"/>
          <w:color w:val="FF0000"/>
          <w:sz w:val="22"/>
          <w:szCs w:val="22"/>
          <w:u w:val="single"/>
        </w:rPr>
        <w:t>Entendo, assim, que se aplica a Súmula 294 do TST. Trata-se de alteração contratual de pagamento de parcela (adicional compensatório) não prevista em lei. Ainda que a Ré nada tivesse pago ao autor em decorrência de seu retorno ao cargo anterior, ocorrido em 1998, nenhum direito seria assegurado ao autor por lei, pois esta não determina que as gratificações sejam incorporadas definitivamente nos salários, tanto é que se o empregado ficar menos de 10 anos no cargo de confiança a jurisprudência não defere incorporação. Por isso, também, que a matéria não é agasalhada pelo princípio constitucional de irredutibilidade salarial. A aplicação do entendimento meramente jurisprudencial, embora ‘retroaja’, tem prazo prescricional. Não se trata de direito líquido e certo, mas sim de tema interpretativo à luz da alteração contratual.</w:t>
      </w:r>
    </w:p>
    <w:p>
      <w:pPr>
        <w:pStyle w:val="Citacao"/>
        <w:tabs>
          <w:tab w:val="clear" w:pos="420"/>
        </w:tabs>
        <w:spacing w:lineRule="auto" w:line="240" w:before="0" w:after="0"/>
        <w:ind w:left="1701" w:right="0" w:firstLine="567"/>
        <w:jc w:val="both"/>
        <w:rPr>
          <w:rFonts w:ascii="Arial" w:hAnsi="Arial" w:cs="Arial Narrow"/>
          <w:color w:val="FF0000"/>
          <w:sz w:val="22"/>
          <w:szCs w:val="22"/>
        </w:rPr>
      </w:pPr>
      <w:r>
        <w:rPr>
          <w:rFonts w:cs="Arial Narrow" w:ascii="Arial" w:hAnsi="Arial"/>
          <w:color w:val="FF0000"/>
          <w:sz w:val="22"/>
          <w:szCs w:val="22"/>
        </w:rPr>
        <w:t>Acolho a prescrição total, para extinguir o pleito com resolução de mérito. Ante o exposto, requer a Reclamada seja reconhecida a prescrição total quinquenal do pleito exordial, com a consequente extinção do feito com julgamento de mérito, nos termos do art. 487, II, do CPC.” (TRT1 PROCESSO: 0001305-57.2012.5.01.0030 – RO; 9ª Turma, Relator: Desembargador IVAN DA COSTA ALEMÃO FERREIRA; julgado em 21/01/2014) – d.n.</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Confira-se, por fim, precedente do TST acerca da incidência da prescrição total nas hipóteses de alteração do regulamento da empresa:</w:t>
      </w:r>
    </w:p>
    <w:p>
      <w:pPr>
        <w:pStyle w:val="Citacao"/>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Citacao"/>
        <w:tabs>
          <w:tab w:val="clear" w:pos="420"/>
        </w:tabs>
        <w:spacing w:lineRule="auto" w:line="240" w:before="0" w:after="0"/>
        <w:ind w:left="1701" w:right="0" w:hanging="0"/>
        <w:jc w:val="both"/>
        <w:rPr/>
      </w:pPr>
      <w:r>
        <w:rPr>
          <w:rStyle w:val="Fontepargpadro"/>
          <w:rFonts w:cs="Arial Narrow" w:ascii="Arial" w:hAnsi="Arial"/>
          <w:color w:val="FF0000"/>
          <w:sz w:val="22"/>
          <w:szCs w:val="22"/>
        </w:rPr>
        <w:t>"</w:t>
      </w:r>
      <w:r>
        <w:rPr>
          <w:rStyle w:val="Fontepargpadro"/>
          <w:rFonts w:cs="Arial Narrow" w:ascii="Arial" w:hAnsi="Arial"/>
          <w:i/>
          <w:iCs/>
          <w:color w:val="FF0000"/>
          <w:sz w:val="22"/>
          <w:szCs w:val="22"/>
        </w:rPr>
        <w:t xml:space="preserve">AGRAVO EM AGRAVO DE INSTRUMENTO EM RECURSO DE REVISTA INTERPOSTO ANTES DA VIGÊNCIA DA LEI 13.015/2014. EMBASA. PROMOÇÕES. PROGRESSÕES POR ANTIGUIDADE. DIFERENÇAS SALARIAIS. PRESCRIÇÃO TOTAL. TEMA PACIFICADO NA SBDI-1/TST. No caso em tela, ennvolvendo pedido de prestações sucessivas decorrente de alteração do pactuado, por ato único do empregador, são aplicáveis os termos da Súmula 294 do TST. Nesse sentido é a jurisprudência atual da SBDI-1, firmada no sentido de que a revogação do Plano de 1986 pela Embasa configura alteração contratual, a atrair a incidência da primeira parte da Súmula nº 294 do TST. </w:t>
      </w:r>
      <w:r>
        <w:rPr>
          <w:rStyle w:val="Nfaseforte"/>
          <w:rFonts w:cs="Arial Narrow" w:ascii="Arial" w:hAnsi="Arial"/>
          <w:i/>
          <w:iCs/>
          <w:color w:val="FF0000"/>
          <w:sz w:val="22"/>
          <w:szCs w:val="22"/>
        </w:rPr>
        <w:t>Somente não ocorre a prescrição absoluta, nos termos da Súmula n° 294, quando a lesão é continuada em face de violação de dispositivo de lei</w:t>
      </w:r>
      <w:r>
        <w:rPr>
          <w:rStyle w:val="Fontepargpadro"/>
          <w:rFonts w:cs="Arial Narrow" w:ascii="Arial" w:hAnsi="Arial"/>
          <w:i/>
          <w:iCs/>
          <w:color w:val="FF0000"/>
          <w:sz w:val="22"/>
          <w:szCs w:val="22"/>
        </w:rPr>
        <w:t>. Precedentes</w:t>
      </w:r>
      <w:r>
        <w:rPr>
          <w:rStyle w:val="Fontepargpadro"/>
          <w:rFonts w:cs="Arial Narrow" w:ascii="Arial" w:hAnsi="Arial"/>
          <w:color w:val="FF0000"/>
          <w:sz w:val="22"/>
          <w:szCs w:val="22"/>
        </w:rPr>
        <w:t>". (Ag-AIRR-421-33.2014.5.05.0002, 3ª Turma, Relator Ministro Alexandre de Souza Agra Belmonte, DEJT 06/03/2020, grifo acrescido).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pPr>
      <w:r>
        <w:rPr>
          <w:rStyle w:val="Nfase"/>
          <w:rFonts w:cs="Arial Narrow" w:ascii="Arial" w:hAnsi="Arial"/>
          <w:color w:val="FF0000"/>
          <w:sz w:val="22"/>
          <w:szCs w:val="22"/>
        </w:rPr>
        <w:t>Data maxima venia</w:t>
      </w:r>
      <w:r>
        <w:rPr>
          <w:rStyle w:val="Fontepargpadro"/>
          <w:rFonts w:cs="Arial Narrow" w:ascii="Arial" w:hAnsi="Arial"/>
          <w:color w:val="FF0000"/>
          <w:sz w:val="22"/>
          <w:szCs w:val="22"/>
        </w:rPr>
        <w:t>, entendimento em sentido contrário implicaria em violação não só ao art. 7º, XXIX, da CF, mas ao próprio princípio constitucional da segurança jurídica (art. 5º, XXXVI), que, embora não esteja expresso no texto constitucional, constitui fundamento basilar do Estado Democrático de Direito.</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Dessarte, requer a Reclamada desde já seja reconhecida a prescrição total da pretensão autoral de ver aplicado ao caso as normas internas da ECT, com a consequente extinção do feito nos termos do art. 487, II, do CPC/2015.</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Sucessivamente, requer seja declarada a prescrição parcial de todas as parcelas referentes a período anterior a cinco anos da propositura da ação.</w:t>
      </w:r>
    </w:p>
    <w:p>
      <w:pPr>
        <w:pStyle w:val="Normal"/>
        <w:pBdr>
          <w:top w:val="single" w:sz="6" w:space="4" w:color="000000"/>
          <w:left w:val="single" w:sz="6" w:space="4" w:color="000000"/>
          <w:bottom w:val="single" w:sz="6" w:space="4" w:color="000000"/>
          <w:right w:val="single" w:sz="6" w:space="4" w:color="000000"/>
        </w:pBdr>
        <w:bidi w:val="0"/>
        <w:spacing w:lineRule="exact" w:line="240" w:before="320" w:after="260"/>
        <w:ind w:left="0" w:right="0" w:hanging="0"/>
        <w:jc w:val="center"/>
        <w:rPr/>
      </w:pPr>
      <w:r>
        <w:rPr>
          <w:rStyle w:val="Nfaseforte"/>
          <w:rFonts w:cs="Arial Narrow" w:ascii="Arial" w:hAnsi="Arial"/>
          <w:color w:val="FF0000"/>
          <w:sz w:val="22"/>
          <w:szCs w:val="22"/>
          <w:u w:val="single"/>
        </w:rPr>
        <w:t>MÉRITO</w:t>
      </w:r>
    </w:p>
    <w:p>
      <w:pPr>
        <w:pStyle w:val="Textojustificado"/>
        <w:widowControl/>
        <w:suppressAutoHyphens w:val="false"/>
        <w:spacing w:lineRule="auto" w:line="360" w:before="0" w:after="0"/>
        <w:ind w:left="1701" w:right="0" w:hanging="0"/>
        <w:jc w:val="both"/>
        <w:textAlignment w:val="auto"/>
        <w:rPr/>
      </w:pPr>
      <w:r>
        <w:rPr>
          <w:rStyle w:val="Nfaseforte"/>
          <w:rFonts w:cs="Arial Narrow" w:ascii="Arial" w:hAnsi="Arial"/>
          <w:sz w:val="22"/>
          <w:szCs w:val="22"/>
          <w:u w:val="single"/>
        </w:rPr>
        <w:t>1. INCORPORAÇÃO DE GRATIFICAÇÃO DE FUNÇÃO - SÚMULA 372 DO C. TST.</w:t>
      </w:r>
    </w:p>
    <w:p>
      <w:pPr>
        <w:pStyle w:val="Textojustificado"/>
        <w:widowControl/>
        <w:suppressAutoHyphens w:val="false"/>
        <w:spacing w:lineRule="auto" w:line="360" w:before="0" w:after="0"/>
        <w:ind w:left="1701" w:right="0" w:hanging="0"/>
        <w:jc w:val="both"/>
        <w:textAlignment w:val="auto"/>
        <w:rPr>
          <w:rFonts w:ascii="Arial" w:hAnsi="Arial" w:cs="Arial Narrow"/>
          <w:sz w:val="22"/>
          <w:szCs w:val="22"/>
          <w:u w:val="single"/>
        </w:rPr>
      </w:pPr>
      <w:r>
        <w:rPr/>
      </w:r>
    </w:p>
    <w:p>
      <w:pPr>
        <w:pStyle w:val="Textojustificado"/>
        <w:widowControl/>
        <w:suppressAutoHyphens w:val="false"/>
        <w:spacing w:lineRule="auto" w:line="360" w:before="0" w:after="0"/>
        <w:ind w:left="1701" w:right="0" w:hanging="0"/>
        <w:jc w:val="both"/>
        <w:textAlignment w:val="auto"/>
        <w:rPr/>
      </w:pPr>
      <w:r>
        <w:rPr>
          <w:rStyle w:val="Nfaseforte"/>
          <w:rFonts w:cs="Arial Narrow" w:ascii="Arial" w:hAnsi="Arial"/>
          <w:sz w:val="22"/>
          <w:szCs w:val="22"/>
          <w:u w:val="single"/>
        </w:rPr>
        <w:t>1.1. INEXISTÊNCIA DE OFENSA AO PRINCÍPIO DA IRREDUTIBILIDADE SALARIAL.</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O exercício de função gratificada com a respectiva contraprestação pecuniária mediante pagamento de gratificação não integra o salário para o fim pretendido pela obreira, nos moldes dos artigos 450, 468 e 499 da CLT, de modo que não há falar que a supressão da gratificação da empregada ocasionou lesão ao princípio instabilidade econômica.</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Isso porque não está aqui a tratar de parcela de cunho salarial, mas de verba que jamais foi indexada ou incorporada ao salário. Com efeito, a gratificação de função, como deixa clara a sua denominação, visa remunerar o empregado pelo fato de o mesmo estar exercendo uma função comissionada, ou seja, um conjunto de atribuições que a própria legislação, reconhecendo sua especificidade, autoriza o afastamento de forma unilateral (art. 468 da CLT).</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Não há dúvidas de que a gratificação de função constitui-se como salário condição, pois está vinculada ao exercício de um conjunto de atribuições específicas, sendo, normalmente, destinada aos empregados que exercem atividades especiais ou de maior responsabilidade. Assim, enquanto o trabalhador exercer a função gratificada, fará jus ao recebimento do respectivo benefício, podendo este ser suprimido pelo patrono quando o empregado deixar de exercê-la.</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Observe-se que a designação para exercício da função gratificada é uma prerrogativa inerente ao poder diretivo do empregador, até porque envolve a própria distribuição de mão-de-obra.</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Em assim sendo, não há como se chegar a outra conclusão que não a de que, embora compreendida no complexo salarial do empregado, a gratificação percebida pelo desempenho de uma função de confiança não se apresenta como parcela autônoma, pois não decorre simplesmente da prestação de trabalho e sim de condições especiais variáveis (art. 457 da CLT), de modo que a supressão de gratificação certamente não viola o princípio da irredutibilidade salarial (art. 7º, VI da CF), que se refere, tão somente, ao chamado salário </w:t>
      </w:r>
      <w:r>
        <w:rPr>
          <w:rStyle w:val="Nfase"/>
          <w:rFonts w:cs="Arial Narrow" w:ascii="Arial" w:hAnsi="Arial"/>
          <w:sz w:val="22"/>
          <w:szCs w:val="22"/>
        </w:rPr>
        <w:t>strictu sensu</w:t>
      </w:r>
      <w:r>
        <w:rPr>
          <w:rStyle w:val="Fontepargpadro"/>
          <w:rFonts w:cs="Arial Narrow" w:ascii="Arial" w:hAnsi="Arial"/>
          <w:sz w:val="22"/>
          <w:szCs w:val="22"/>
        </w:rPr>
        <w:t>.</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É, aliás, nessa esteira que se tem o parágrafo primeiro do art. 468 da CLT, que, excepcionando o princípio geral da vedação de alterações contratuais ao trabalhador, autoriza a reversão do empregado para o cargo efetivo sem que tal alteração configure ato ilícito do empregador.</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Ora, se própria lei permite a reversão do empregado que exerce o cargo de confiança ao cargo de origem, certamente é descabido falar em redução salarial pela supressão do pagamento.</w:t>
      </w:r>
    </w:p>
    <w:p>
      <w:pPr>
        <w:pStyle w:val="Textojustificadorecuoprimeiralinha"/>
        <w:spacing w:lineRule="auto" w:line="360" w:before="0" w:after="0"/>
        <w:ind w:left="0" w:right="0" w:firstLine="1701"/>
        <w:jc w:val="both"/>
        <w:rPr/>
      </w:pPr>
      <w:r>
        <w:rPr>
          <w:rStyle w:val="Nfase"/>
          <w:rFonts w:cs="Arial Narrow" w:ascii="Arial" w:hAnsi="Arial"/>
          <w:b/>
          <w:bCs/>
          <w:sz w:val="22"/>
          <w:szCs w:val="22"/>
        </w:rPr>
        <w:t>Data venia</w:t>
      </w:r>
      <w:r>
        <w:rPr>
          <w:rStyle w:val="Nfaseforte"/>
          <w:rFonts w:cs="Arial Narrow" w:ascii="Arial" w:hAnsi="Arial"/>
          <w:sz w:val="22"/>
          <w:szCs w:val="22"/>
        </w:rPr>
        <w:t xml:space="preserve">, entender de forma diversa constituiria verdadeiro contrassenso, pois, em arrepio às normas vigentes e ao próprio </w:t>
      </w:r>
      <w:r>
        <w:rPr>
          <w:rStyle w:val="Nfase"/>
          <w:rFonts w:cs="Arial Narrow" w:ascii="Arial" w:hAnsi="Arial"/>
          <w:b/>
          <w:bCs/>
          <w:sz w:val="22"/>
          <w:szCs w:val="22"/>
        </w:rPr>
        <w:t xml:space="preserve">jus variandi </w:t>
      </w:r>
      <w:r>
        <w:rPr>
          <w:rStyle w:val="Nfaseforte"/>
          <w:rFonts w:cs="Arial Narrow" w:ascii="Arial" w:hAnsi="Arial"/>
          <w:sz w:val="22"/>
          <w:szCs w:val="22"/>
        </w:rPr>
        <w:t>do empregador, estar-se-ia obrigando empresas a terem permanentemente determinado empregado designado para uma função de confiança, sob pena de serem obrigadas a remunerar dois funcionários para um mesmo conjunto de atribuições quando, na realidade, somente um deles desempenha tal função.</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Outrossim, o §2º do art. 468 da CLT é claro ao dispor que a destituição de função de confiança, com consequente retorno ao cargo efetivo, “(...) </w:t>
      </w:r>
      <w:r>
        <w:rPr>
          <w:rStyle w:val="Nfaseforte"/>
          <w:rFonts w:cs="Arial Narrow" w:ascii="Arial" w:hAnsi="Arial"/>
          <w:sz w:val="22"/>
          <w:szCs w:val="22"/>
          <w:u w:val="single"/>
        </w:rPr>
        <w:t>com ou sem justo motivo, não assegura ao empregado o direito à manutenção do pagamento da gratificação correspondente, que não será incorporada, independentemente do tempo de exercício da respectiva função</w:t>
      </w:r>
      <w:r>
        <w:rPr>
          <w:rStyle w:val="Fontepargpadro"/>
          <w:rFonts w:cs="Arial Narrow" w:ascii="Arial" w:hAnsi="Arial"/>
          <w:sz w:val="22"/>
          <w:szCs w:val="22"/>
        </w:rPr>
        <w:t>”.</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Está-se diante, no mínimo, de momento de </w:t>
      </w:r>
      <w:r>
        <w:rPr>
          <w:rStyle w:val="Nfaseforte"/>
          <w:rFonts w:cs="Arial Narrow" w:ascii="Arial" w:hAnsi="Arial"/>
          <w:sz w:val="22"/>
          <w:szCs w:val="22"/>
          <w:u w:val="single"/>
        </w:rPr>
        <w:t>SUPERAÇÃO LEGISLATIVA DA JURISPRUDÊNCIA (“Overruling ope legis”)</w:t>
      </w:r>
      <w:r>
        <w:rPr>
          <w:rStyle w:val="Fontepargpadro"/>
          <w:rFonts w:cs="Arial Narrow" w:ascii="Arial" w:hAnsi="Arial"/>
          <w:sz w:val="22"/>
          <w:szCs w:val="22"/>
        </w:rPr>
        <w:t xml:space="preserve">, de modo que, </w:t>
      </w:r>
      <w:r>
        <w:rPr>
          <w:rStyle w:val="Nfase"/>
          <w:rFonts w:cs="Arial Narrow" w:ascii="Arial" w:hAnsi="Arial"/>
          <w:sz w:val="22"/>
          <w:szCs w:val="22"/>
        </w:rPr>
        <w:t>data maxima venia</w:t>
      </w:r>
      <w:r>
        <w:rPr>
          <w:rStyle w:val="Fontepargpadro"/>
          <w:rFonts w:cs="Arial Narrow" w:ascii="Arial" w:hAnsi="Arial"/>
          <w:sz w:val="22"/>
          <w:szCs w:val="22"/>
        </w:rPr>
        <w:t>, não se pode mais aplicar o entendimento outrora sedimentado pelo C. TST.</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Cabe destacar, neste ponto, que, com o devido respeito a posicionamento contrário, referido verbete não pode ser utilizado para argumentar um suposto “direito adquirido” dos empregados que, mesmo com mais de dez anos de exercício de função gratificada, ainda não haviam dispensados de suas funções quando do início da vigência da Lei nº 13.467/2017 (11/11/2017). Nesses casos, poder-se-ia falar no máximo em expectativa de direito, que, contudo, não é apta a impor ao empregador uma obrigação que se sobreponha à Lei n° 13.467/2017.</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Veja-se, nesse ponto que a parte autora foi dispensada posteriormente ao início da vigência da lei nº 13.467/2017, de modo que, por evidente, não faz jus à um instituto que inequivocamente o direito não alberg.</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Com efeito, conquanto o critério de justiça buscado na súmula 372, I, do C. TST vise o equilíbrio sócio econômico, tal entendimento, </w:t>
      </w:r>
      <w:r>
        <w:rPr>
          <w:rStyle w:val="Nfase"/>
          <w:rFonts w:cs="Arial Narrow" w:ascii="Arial" w:hAnsi="Arial"/>
          <w:sz w:val="22"/>
          <w:szCs w:val="22"/>
        </w:rPr>
        <w:t>data venia</w:t>
      </w:r>
      <w:r>
        <w:rPr>
          <w:rStyle w:val="Fontepargpadro"/>
          <w:rFonts w:cs="Arial Narrow" w:ascii="Arial" w:hAnsi="Arial"/>
          <w:sz w:val="22"/>
          <w:szCs w:val="22"/>
        </w:rPr>
        <w:t xml:space="preserve">, não encontra no ordenamento jurídico pátrio fundamento legal a ampará-lo, configurando clara interpretação </w:t>
      </w:r>
      <w:r>
        <w:rPr>
          <w:rStyle w:val="Nfase"/>
          <w:rFonts w:cs="Arial Narrow" w:ascii="Arial" w:hAnsi="Arial"/>
          <w:sz w:val="22"/>
          <w:szCs w:val="22"/>
        </w:rPr>
        <w:t>contra legem</w:t>
      </w:r>
      <w:r>
        <w:rPr>
          <w:rStyle w:val="Fontepargpadro"/>
          <w:rFonts w:cs="Arial Narrow" w:ascii="Arial" w:hAnsi="Arial"/>
          <w:sz w:val="22"/>
          <w:szCs w:val="22"/>
        </w:rPr>
        <w:t>.</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Aliás, neste ponto, veja-se que o §3º do art. 8º da CLT dispõe expressamente que “</w:t>
      </w:r>
      <w:r>
        <w:rPr>
          <w:rStyle w:val="Nfaseforte"/>
          <w:rFonts w:cs="Arial Narrow" w:ascii="Arial" w:hAnsi="Arial"/>
          <w:sz w:val="22"/>
          <w:szCs w:val="22"/>
        </w:rPr>
        <w:t xml:space="preserve">Súmulas e outros enunciados de jurisprudência editados pelo Tribunal Superior do Trabalho e pelos Tribunais Regionais do Trabalho não poderão restringir direitos legalmente previstos nem criar obrigações que não estejam previstas </w:t>
      </w:r>
      <w:r>
        <w:rPr>
          <w:rStyle w:val="Nfaseforte"/>
          <w:rFonts w:cs="Arial Narrow" w:ascii="Arial" w:hAnsi="Arial"/>
          <w:sz w:val="22"/>
          <w:szCs w:val="22"/>
          <w:u w:val="single"/>
        </w:rPr>
        <w:t>em lei</w:t>
      </w:r>
      <w:r>
        <w:rPr>
          <w:rStyle w:val="Fontepargpadro"/>
          <w:rFonts w:cs="Arial Narrow" w:ascii="Arial" w:hAnsi="Arial"/>
          <w:sz w:val="22"/>
          <w:szCs w:val="22"/>
        </w:rPr>
        <w:t>” (d.n.).</w:t>
      </w:r>
    </w:p>
    <w:p>
      <w:pPr>
        <w:pStyle w:val="Textojustificadorecuoprimeiralinha"/>
        <w:spacing w:lineRule="auto" w:line="360" w:before="0" w:after="0"/>
        <w:ind w:left="0" w:right="0" w:firstLine="1701"/>
        <w:jc w:val="both"/>
        <w:rPr/>
      </w:pPr>
      <w:r>
        <w:rPr>
          <w:rStyle w:val="Nfaseforte"/>
          <w:rFonts w:cs="Arial Narrow" w:ascii="Arial" w:hAnsi="Arial"/>
          <w:sz w:val="22"/>
          <w:szCs w:val="22"/>
          <w:u w:val="single"/>
        </w:rPr>
        <w:t>Recentemente, a 4ª Turma do C. TST decidiu, em caso idêntico ao presente, nesse sentido, senão vejamos:</w:t>
      </w:r>
    </w:p>
    <w:p>
      <w:pPr>
        <w:pStyle w:val="Citaca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Citacao"/>
        <w:tabs>
          <w:tab w:val="clear" w:pos="420"/>
        </w:tabs>
        <w:spacing w:lineRule="auto" w:line="240" w:before="0" w:after="0"/>
        <w:ind w:left="1701" w:right="0" w:hanging="0"/>
        <w:jc w:val="both"/>
        <w:rPr/>
      </w:pPr>
      <w:r>
        <w:rPr>
          <w:rStyle w:val="Fontepargpadro"/>
          <w:rFonts w:cs="Arial Narrow" w:ascii="Arial" w:hAnsi="Arial"/>
          <w:sz w:val="22"/>
          <w:szCs w:val="22"/>
        </w:rPr>
        <w:t>“</w:t>
      </w:r>
      <w:r>
        <w:rPr>
          <w:rStyle w:val="Fontepargpadro"/>
          <w:rFonts w:cs="Arial Narrow" w:ascii="Arial" w:hAnsi="Arial"/>
          <w:sz w:val="22"/>
          <w:szCs w:val="22"/>
        </w:rPr>
        <w:t xml:space="preserve">INCORPORAÇÃO DE GRATIFICAÇÃO DE FUNÇÃO EXERCIDA POR MAIS DE 10 ANOS – SÚMULA 372, I, DO TST FRENTE AO ART. 468, § 2º, DA CLT – TRANSCENDÊNCIA JURÍDICA DA CAUSA – INEXISTÊNCIA DE DIREITO ADQUIRIDO – RECURSO DESPROVIDO. (...) 3. O inciso I da Súmula 372 do TST tem como “leading case” o precedente do processo E-RR-01944/1989 (Red. Min. Orlando Teixeira da Costa, DJ 12/02/1993), em que se elencaram expressamente 4 princípios que embasariam o deferimento da pretensão incorporativa: a) princípio da habitualidade; b) princípio da irredutibilidade salarial; c) princípio da analogia com direito reconhecido aos servidores públicos; d) princípio da continuidade da jurisprudência. Nele se chegou a afirmar que “o legislador, dispondo sobre a espécie (art. 468, parágrafo único da CLT), esqueceu-se de explicitar se a reversão ao cargo efetivo, quando o trabalhador deixar o exercício de função de confiança, importa na perda da gratificação respectiva, mesmo tendo prestado relevantes serviços ao empregador, naquela situação, por longo tempo”. 4. Verifica-se, pela “ratio decidendi” do precedente que embasou o inciso I da Súmula 372, que o TST, ao invés de reconhecer na lacuna da lei o silêncio eloquente do legislador, que não abriu exceções à regra, inovou no ordenamento jurídico, criando vantagem trabalhista não prevista em lei, incorrendo em manifesto ativismo judiciário e voluntarismo jurídico, mormente por estabelecer parâmetros discricionários quanto ao tempo de percepção (10 anos) e condições de manutenção (não reversão por justa causa) da gratificação. Louvou-se, para tanto, na regra do art. 62, § 2º, da Lei 8.112/90, da incorporação de quintos pelos servidores públicos da União, revogado desde 1997, o que retiraria inclusive a base analógica da jurisprudência do TST. 5. A Lei 13.467/17, levando em conta os excessos protecionistas da jurisprudência trabalhista, veio a disciplinar matérias tratadas em verbetes sumulados do TST, mas fazendo-o em termos mais modestos, a par de estabelecer regras hermenêuticas na aplicação do direito, vedando explicitamente a redução ou criação de direitos por súmula (Art. 8º, § 2º, da CLT). 6. No caso do art. 468, § 2º, da CLT, a reforma trabalhista explicitou que a reversão ao cargo efetivo não dá ao trabalhador comissionado o direito à manutenção da gratificação de função, independentemente do tempo em que a tenha recebido. 7. </w:t>
      </w:r>
      <w:r>
        <w:rPr>
          <w:rStyle w:val="Nfaseforte"/>
          <w:rFonts w:cs="Arial Narrow" w:ascii="Arial" w:hAnsi="Arial"/>
          <w:sz w:val="22"/>
          <w:szCs w:val="22"/>
          <w:u w:val="single"/>
        </w:rPr>
        <w:t>Como a base da incorporação da gratificação de função, antes da reforma trabalhista de 2017, era apenas jurisprudencial, com súmula criando direito sem base legal, não há que se falar em direito adquirido frente à Lei 13.467/17, uma vez que, já na definição de Gabba sobre direito adquirido, este se caracteriza como um conflito de direito intertemporal, entre lei antiga e lei nova (“fato idôneo a produzi-lo, em virtude de a lei do tempo no qual o fato se consumou”) e não entre a lei nova e fonte inidônea para criar direito novo. 8. Nesses termos, inexistindo direito adquirido à incorporação da gratificação de função, ainda que exercida por mais de 10 anos, frente à norma expressa do art. 468, § 2º, da CLT, é de se dar provimento ao recurso de revista patronal, para restabelecer a sentença que julgou improcedente a reclamação trabalhista em que a vantagem era postulada.</w:t>
      </w:r>
      <w:r>
        <w:rPr>
          <w:rStyle w:val="Fontepargpadro"/>
          <w:rFonts w:cs="Arial Narrow" w:ascii="Arial" w:hAnsi="Arial"/>
          <w:sz w:val="22"/>
          <w:szCs w:val="22"/>
        </w:rPr>
        <w:t xml:space="preserve"> Recurso de revista conhecido e provido.” (TST-RR-377-71.2017.5.09.0010, 4ª Turma, rel. Min. Ives Gandra da Silva Martins Filho, julgado em 12/8/2020.) - d.n.</w:t>
      </w:r>
    </w:p>
    <w:p>
      <w:pPr>
        <w:pStyle w:val="Textojustificadorecuoprimeiralinha"/>
        <w:spacing w:lineRule="auto" w:line="240" w:before="0" w:after="0"/>
        <w:ind w:left="0" w:right="0" w:firstLine="1701"/>
        <w:jc w:val="both"/>
        <w:rPr>
          <w:rFonts w:ascii="Arial" w:hAnsi="Arial" w:cs="Arial Narrow"/>
          <w:sz w:val="22"/>
          <w:szCs w:val="22"/>
        </w:rPr>
      </w:pPr>
      <w:r>
        <w:rPr>
          <w:rFonts w:cs="Arial Narrow" w:ascii="Arial" w:hAnsi="Arial"/>
          <w:sz w:val="22"/>
          <w:szCs w:val="22"/>
        </w:rPr>
      </w:r>
    </w:p>
    <w:p>
      <w:pPr>
        <w:pStyle w:val="Normal"/>
        <w:spacing w:lineRule="auto" w:line="360"/>
        <w:ind w:left="0" w:right="0" w:firstLine="1701"/>
        <w:jc w:val="both"/>
        <w:rPr/>
      </w:pPr>
      <w:r>
        <w:rPr>
          <w:rStyle w:val="Fontepargpadro"/>
          <w:rFonts w:cs="Arial Narrow" w:ascii="Arial" w:hAnsi="Arial"/>
          <w:sz w:val="22"/>
          <w:szCs w:val="22"/>
        </w:rPr>
        <w:t xml:space="preserve">O Tribunal Pleno do C. TST, no âmbito do Processo </w:t>
      </w:r>
      <w:r>
        <w:rPr>
          <w:rStyle w:val="Fontepargpadro"/>
          <w:rFonts w:cs="Arial Narrow" w:ascii="Arial" w:hAnsi="Arial"/>
          <w:b/>
          <w:sz w:val="22"/>
          <w:szCs w:val="22"/>
          <w:u w:val="single"/>
        </w:rPr>
        <w:t>INCJULGRREMBREP – 528-80.2018.5.14.</w:t>
      </w:r>
      <w:r>
        <w:rPr>
          <w:rStyle w:val="Fontepargpadro"/>
          <w:rFonts w:cs="Arial Narrow" w:ascii="Arial" w:hAnsi="Arial"/>
          <w:b/>
          <w:bCs/>
          <w:sz w:val="22"/>
          <w:szCs w:val="22"/>
          <w:u w:val="single"/>
        </w:rPr>
        <w:t>0004 (incidente de uniformização de jurisprudência visando unificar o entendimento acerca da (im)possibilidade de incorporação de gratificação de função, qualquer que seja o tempo de exercício, face o que dispõe o art. 468, §2º, da CLT),</w:t>
      </w:r>
      <w:r>
        <w:rPr>
          <w:rStyle w:val="Fontepargpadro"/>
          <w:rFonts w:cs="Arial Narrow" w:ascii="Arial" w:hAnsi="Arial"/>
          <w:bCs/>
          <w:sz w:val="22"/>
          <w:szCs w:val="22"/>
        </w:rPr>
        <w:t xml:space="preserve"> </w:t>
      </w:r>
      <w:r>
        <w:rPr>
          <w:rStyle w:val="Fontepargpadro"/>
          <w:rFonts w:ascii="Arial" w:hAnsi="Arial"/>
          <w:sz w:val="22"/>
          <w:szCs w:val="22"/>
        </w:rPr>
        <w:t xml:space="preserve">jogou uma pá de cal sobre o assunto e </w:t>
      </w:r>
      <w:r>
        <w:rPr>
          <w:rStyle w:val="Fontepargpadro"/>
          <w:rFonts w:ascii="Arial" w:hAnsi="Arial"/>
          <w:b/>
          <w:sz w:val="22"/>
          <w:szCs w:val="22"/>
          <w:u w:val="single"/>
        </w:rPr>
        <w:t>fixou a seguinte tese</w:t>
      </w:r>
      <w:r>
        <w:rPr>
          <w:rStyle w:val="Fontepargpadro"/>
          <w:rFonts w:ascii="Arial" w:hAnsi="Arial"/>
          <w:sz w:val="22"/>
          <w:szCs w:val="22"/>
        </w:rPr>
        <w:t>:</w:t>
      </w:r>
    </w:p>
    <w:p>
      <w:pPr>
        <w:pStyle w:val="Normal"/>
        <w:spacing w:lineRule="auto" w:line="360"/>
        <w:ind w:left="0" w:right="0" w:firstLine="1701"/>
        <w:jc w:val="both"/>
        <w:rPr>
          <w:rFonts w:ascii="Arial" w:hAnsi="Arial"/>
          <w:sz w:val="22"/>
          <w:szCs w:val="22"/>
        </w:rPr>
      </w:pPr>
      <w:r>
        <w:rPr>
          <w:rFonts w:ascii="Arial" w:hAnsi="Arial"/>
          <w:sz w:val="22"/>
          <w:szCs w:val="22"/>
        </w:rPr>
      </w:r>
    </w:p>
    <w:p>
      <w:pPr>
        <w:pStyle w:val="Normal"/>
        <w:tabs>
          <w:tab w:val="clear" w:pos="420"/>
        </w:tabs>
        <w:spacing w:lineRule="auto" w:line="240"/>
        <w:ind w:left="1701" w:right="0" w:hanging="0"/>
        <w:jc w:val="both"/>
        <w:rPr/>
      </w:pPr>
      <w:r>
        <w:rPr>
          <w:rStyle w:val="Fontepargpadro"/>
          <w:rFonts w:ascii="Arial" w:hAnsi="Arial"/>
          <w:sz w:val="22"/>
          <w:szCs w:val="22"/>
        </w:rPr>
        <w:t xml:space="preserve">Incidente de Recurso Repetitivo nº 23: </w:t>
      </w:r>
      <w:r>
        <w:rPr>
          <w:rStyle w:val="Fontepargpadro"/>
          <w:rFonts w:ascii="Arial" w:hAnsi="Arial"/>
          <w:b/>
          <w:sz w:val="22"/>
          <w:szCs w:val="22"/>
          <w:u w:val="single"/>
        </w:rPr>
        <w:t>“A Lei nº 13.467/2017 possui aplicação imediata aos contratos de trabalho em curso, passando a regular os direitos decorrentes de lei cujos fatos geradores tenham se efetivado a partir de sua vigência</w:t>
      </w:r>
      <w:r>
        <w:rPr>
          <w:rStyle w:val="Fontepargpadro"/>
          <w:rFonts w:ascii="Arial" w:hAnsi="Arial"/>
          <w:sz w:val="22"/>
          <w:szCs w:val="22"/>
        </w:rPr>
        <w:t>”.</w:t>
      </w:r>
    </w:p>
    <w:p>
      <w:pPr>
        <w:pStyle w:val="Normal"/>
        <w:spacing w:lineRule="auto" w:line="360"/>
        <w:ind w:left="0" w:right="0" w:firstLine="1701"/>
        <w:jc w:val="both"/>
        <w:rPr>
          <w:rFonts w:ascii="Arial" w:hAnsi="Arial"/>
          <w:sz w:val="22"/>
          <w:szCs w:val="22"/>
        </w:rPr>
      </w:pPr>
      <w:r>
        <w:rPr>
          <w:rFonts w:ascii="Arial" w:hAnsi="Arial"/>
          <w:sz w:val="22"/>
          <w:szCs w:val="22"/>
        </w:rPr>
      </w:r>
    </w:p>
    <w:p>
      <w:pPr>
        <w:pStyle w:val="Normal"/>
        <w:spacing w:lineRule="auto" w:line="360"/>
        <w:ind w:left="0" w:right="0" w:firstLine="1701"/>
        <w:jc w:val="both"/>
        <w:rPr/>
      </w:pPr>
      <w:r>
        <w:rPr>
          <w:rStyle w:val="Fontepargpadro"/>
          <w:rFonts w:ascii="Arial" w:hAnsi="Arial"/>
          <w:sz w:val="22"/>
          <w:szCs w:val="22"/>
        </w:rPr>
        <w:t xml:space="preserve">No caso, o fato gerador do pedido de incorporação de gratificação de função é a dispensa, que, incontroversamente, ocorreu após o início da vigência da Lei nº 13.467/2017. Assim é que não há como se cogitar, </w:t>
      </w:r>
      <w:r>
        <w:rPr>
          <w:rStyle w:val="Fontepargpadro"/>
          <w:rFonts w:ascii="Arial" w:hAnsi="Arial"/>
          <w:i/>
          <w:sz w:val="22"/>
          <w:szCs w:val="22"/>
        </w:rPr>
        <w:t>data vênia</w:t>
      </w:r>
      <w:r>
        <w:rPr>
          <w:rStyle w:val="Fontepargpadro"/>
          <w:rFonts w:ascii="Arial" w:hAnsi="Arial"/>
          <w:sz w:val="22"/>
          <w:szCs w:val="22"/>
        </w:rPr>
        <w:t xml:space="preserve">, a inaplicabilidade da integralidade do que dispõe o referido dispositivo legal, que </w:t>
      </w:r>
      <w:r>
        <w:rPr>
          <w:rStyle w:val="Fontepargpadro"/>
          <w:rFonts w:ascii="Arial" w:hAnsi="Arial"/>
          <w:b/>
          <w:sz w:val="22"/>
          <w:szCs w:val="22"/>
          <w:u w:val="single"/>
        </w:rPr>
        <w:t xml:space="preserve">expressamente veda, independentemente de </w:t>
      </w:r>
      <w:r>
        <w:rPr>
          <w:rStyle w:val="Nfaseforte"/>
          <w:rFonts w:cs="Arial Narrow" w:ascii="Arial" w:hAnsi="Arial"/>
          <w:sz w:val="22"/>
          <w:szCs w:val="22"/>
          <w:u w:val="single"/>
        </w:rPr>
        <w:t>sem justo motivo e do tempo de exercício da respectiva função, a incorporação.</w:t>
      </w:r>
    </w:p>
    <w:p>
      <w:pPr>
        <w:pStyle w:val="Normal"/>
        <w:spacing w:lineRule="auto" w:line="360"/>
        <w:ind w:left="0" w:right="0" w:firstLine="1701"/>
        <w:jc w:val="both"/>
        <w:rPr/>
      </w:pPr>
      <w:r>
        <w:rPr>
          <w:rStyle w:val="Fontepargpadro"/>
          <w:rFonts w:ascii="Arial" w:hAnsi="Arial"/>
          <w:sz w:val="22"/>
          <w:szCs w:val="22"/>
        </w:rPr>
        <w:t xml:space="preserve">Nesse sentido, pede-se vênia para transcrever a ementa do v. acórdão proferido no </w:t>
      </w:r>
      <w:r>
        <w:rPr>
          <w:rStyle w:val="Fontepargpadro"/>
          <w:rFonts w:ascii="Arial" w:hAnsi="Arial"/>
          <w:bCs/>
          <w:sz w:val="22"/>
          <w:szCs w:val="22"/>
        </w:rPr>
        <w:t xml:space="preserve">INCJULGRREMBREP – 528-80.2018.5.14.0004, </w:t>
      </w:r>
      <w:r>
        <w:rPr>
          <w:rStyle w:val="Fontepargpadro"/>
          <w:rFonts w:ascii="Arial" w:hAnsi="Arial"/>
          <w:bCs/>
          <w:i/>
          <w:sz w:val="22"/>
          <w:szCs w:val="22"/>
        </w:rPr>
        <w:t>verbis:</w:t>
      </w:r>
    </w:p>
    <w:p>
      <w:pPr>
        <w:pStyle w:val="Normal"/>
        <w:spacing w:lineRule="auto" w:line="360"/>
        <w:ind w:left="0" w:right="0" w:firstLine="1701"/>
        <w:jc w:val="both"/>
        <w:rPr>
          <w:rFonts w:ascii="Arial" w:hAnsi="Arial"/>
          <w:sz w:val="22"/>
          <w:szCs w:val="22"/>
        </w:rPr>
      </w:pPr>
      <w:r>
        <w:rPr>
          <w:rFonts w:ascii="Arial" w:hAnsi="Arial"/>
          <w:sz w:val="22"/>
          <w:szCs w:val="22"/>
        </w:rPr>
      </w:r>
    </w:p>
    <w:p>
      <w:pPr>
        <w:pStyle w:val="Normal"/>
        <w:tabs>
          <w:tab w:val="clear" w:pos="420"/>
        </w:tabs>
        <w:spacing w:lineRule="auto" w:line="240"/>
        <w:ind w:left="1701" w:right="0" w:hanging="0"/>
        <w:jc w:val="both"/>
        <w:rPr/>
      </w:pPr>
      <w:r>
        <w:rPr>
          <w:rStyle w:val="Fontepargpadro"/>
          <w:rFonts w:ascii="Arial" w:hAnsi="Arial"/>
          <w:b/>
          <w:sz w:val="22"/>
          <w:szCs w:val="22"/>
        </w:rPr>
        <w:t>INCIDENTE DE RECURSOS REPETITIVOS. TEMA 23. DIREITO INTERTEMPORAL. LEI Nº 13.467/2017. APLICAÇÃO IMEDIATA AOS CONTRATOS EM CURSO. PARCELAS PREVISTAS EM LEI. TRATO SUCESSIVO. FATOS POSTERIORES À SUPRESSÃO DE DIREITO PELA VIA LEGISLATIVA (LEI Nº 13.467/2017). INEXISTÊNCIA DE DIREITO ADQUIRIDO A REGIME JURÍDICO.</w:t>
      </w:r>
      <w:r>
        <w:rPr>
          <w:rStyle w:val="Fontepargpadro"/>
          <w:rFonts w:ascii="Arial" w:hAnsi="Arial"/>
          <w:sz w:val="22"/>
          <w:szCs w:val="22"/>
        </w:rPr>
        <w:t xml:space="preserve"> 1. Incidente de Recursos Repetitivos instaurado perante o Tribunal Pleno para decidir se, </w:t>
      </w:r>
      <w:r>
        <w:rPr>
          <w:rStyle w:val="Fontepargpadro"/>
          <w:rFonts w:ascii="Arial" w:hAnsi="Arial"/>
          <w:i/>
          <w:sz w:val="22"/>
          <w:szCs w:val="22"/>
        </w:rPr>
        <w:t>“quanto aos direitos laborais decorrentes de lei e pagos no curso do contrato de trabalho, remanesce a obrigação de sua observância ou pagamento nesses contratos em curso, no período posterior à entrada em vigor de lei que os suprime/altera?”</w:t>
      </w:r>
      <w:r>
        <w:rPr>
          <w:rStyle w:val="Fontepargpadro"/>
          <w:rFonts w:ascii="Arial" w:hAnsi="Arial"/>
          <w:sz w:val="22"/>
          <w:szCs w:val="22"/>
        </w:rPr>
        <w:t xml:space="preserve"> 2. Nos termos do art. 6º da LINDB a lei nova se aplica imediatamente aos contratos de trabalho em curso, ou seja, regendo a relação quanto a fatos que forem ocorrendo a partir de sua vigência, seja porque inexiste ato jurídico perfeito antes de integralmente ocorrido seu suporte fático, seja porque inexiste direito adquirido a um determinado regime jurídico decorrente de lei, como ocorre com as normas imperativas que regem a relação de emprego. 3. Da mesma forma, a CLT, em seu art. 912, estabelece regra muito similar, segundo a qual </w:t>
      </w:r>
      <w:r>
        <w:rPr>
          <w:rStyle w:val="Fontepargpadro"/>
          <w:rFonts w:ascii="Arial" w:hAnsi="Arial"/>
          <w:i/>
          <w:sz w:val="22"/>
          <w:szCs w:val="22"/>
        </w:rPr>
        <w:t>“Os dispositivos de caráter imperativo terão aplicação imediata às relações iniciadas, mas não consumadas, antes da vigência desta Consolidação”</w:t>
      </w:r>
      <w:r>
        <w:rPr>
          <w:rStyle w:val="Fontepargpadro"/>
          <w:rFonts w:ascii="Arial" w:hAnsi="Arial"/>
          <w:sz w:val="22"/>
          <w:szCs w:val="22"/>
        </w:rPr>
        <w:t>. 4. Só há ato jurídico perfeito quanto aos fatos já consumados segundo a lei da época e apenas há direito adquirido quando completados todos os pressupostos fáticos para seu exercício imediato (ou exercício postergado por termo ou condição inalterável a arbítrio de outrem, LINDB, art. 6º, §§1º e 2º</w:t>
      </w:r>
      <w:r>
        <w:rPr>
          <w:rStyle w:val="Fontepargpadro"/>
          <w:rFonts w:ascii="Arial" w:hAnsi="Arial"/>
          <w:b/>
          <w:sz w:val="22"/>
          <w:szCs w:val="22"/>
          <w:u w:val="single"/>
        </w:rPr>
        <w:t xml:space="preserve">). 5. Quando o conteúdo de um contrato decorre de lei, tratando-se de situação institucional ou estatutária, a lei nova imperativa se aplica imediatamente aos contratos em curso, quanto aos seus fatos pendentes ou futuros. É que, nestes casos, a lei nova não afeta um verdadeiro ajuste entre as partes, mas tão somente o regime jurídico imperativo, que incidia independente da vontade daquelas e, por isso, se sujeita a eventuais alterações subsequentes, pelo legislador. </w:t>
      </w:r>
      <w:r>
        <w:rPr>
          <w:rStyle w:val="Fontepargpadro"/>
          <w:rFonts w:ascii="Arial" w:hAnsi="Arial"/>
          <w:sz w:val="22"/>
          <w:szCs w:val="22"/>
        </w:rPr>
        <w:t xml:space="preserve">6. No estudo da doutrina clássica, este é o típico caso do contrato de emprego, dotado de elevada carga de regulação estatal obrigatória. Há um feixe de limites, obrigações e direitos mínimos, assim como de normas de segurança, higiene e saúde, etc. São direitos, portanto, decorrentes das balizas do direito positivo e não da livre convenção entre as partes, sendo que a lei que altera ou suprime direitos trabalhistas se aplica de imediato aos contratos em curso, quanto aos fatos posteriores à sua entrada em vigor. </w:t>
      </w:r>
      <w:r>
        <w:rPr>
          <w:rStyle w:val="Fontepargpadro"/>
          <w:rFonts w:ascii="Arial" w:hAnsi="Arial"/>
          <w:b/>
          <w:sz w:val="22"/>
          <w:szCs w:val="22"/>
          <w:u w:val="single"/>
        </w:rPr>
        <w:t>7. As ocorrências anteriores à alteração da lei constituem fatos pretéritos, consumados (</w:t>
      </w:r>
      <w:r>
        <w:rPr>
          <w:rStyle w:val="Fontepargpadro"/>
          <w:rFonts w:ascii="Arial" w:hAnsi="Arial"/>
          <w:b/>
          <w:i/>
          <w:sz w:val="22"/>
          <w:szCs w:val="22"/>
          <w:u w:val="single"/>
        </w:rPr>
        <w:t>faits accomplis, facta praeterita, fatti compiuti</w:t>
      </w:r>
      <w:r>
        <w:rPr>
          <w:rStyle w:val="Fontepargpadro"/>
          <w:rFonts w:ascii="Arial" w:hAnsi="Arial"/>
          <w:b/>
          <w:sz w:val="22"/>
          <w:szCs w:val="22"/>
          <w:u w:val="single"/>
        </w:rPr>
        <w:t>), não atingidos pela nova lei, enquanto que os fatos incompletos ou futuros (</w:t>
      </w:r>
      <w:r>
        <w:rPr>
          <w:rStyle w:val="Fontepargpadro"/>
          <w:rFonts w:ascii="Arial" w:hAnsi="Arial"/>
          <w:b/>
          <w:i/>
          <w:sz w:val="22"/>
          <w:szCs w:val="22"/>
          <w:u w:val="single"/>
        </w:rPr>
        <w:t>situations en cours – facta pendentia</w:t>
      </w:r>
      <w:r>
        <w:rPr>
          <w:rStyle w:val="Fontepargpadro"/>
          <w:rFonts w:ascii="Arial" w:hAnsi="Arial"/>
          <w:b/>
          <w:sz w:val="22"/>
          <w:szCs w:val="22"/>
          <w:u w:val="single"/>
        </w:rPr>
        <w:t xml:space="preserve">) recebem a aplicação imediata desta, já que a concretização do respectivo fato gerador ainda não havia ocorrido quando da entrada em vigor da nova lei que alterou o regime jurídico atinente a determinada parcela trabalhista. 8. Não há falar em direito adquirido quanto aos fatos posteriores à alteração legal, ou seja, não realizados antes da alteração legal, já que, no direito brasileiro, inexiste direito adquirido a um determinado estatuto legal ou regime jurídico, inclusive àquele que predomina nas relações de emprego. </w:t>
      </w:r>
      <w:r>
        <w:rPr>
          <w:rStyle w:val="Fontepargpadro"/>
          <w:rFonts w:ascii="Arial" w:hAnsi="Arial"/>
          <w:sz w:val="22"/>
          <w:szCs w:val="22"/>
        </w:rPr>
        <w:t>9. Por outro lado, não há como afastar a aplicação da nova norma aos contratos em curso quanto ao período posterior à sua vigência, em face do princípio da irredutibilidade salarial. A garantia de irredutibilidade não se refere a parcelas específicas nem à sua forma de cálculo, mas apenas ao montante nominal da soma das parcelas permanentes</w:t>
      </w:r>
      <w:r>
        <w:rPr>
          <w:rStyle w:val="Fontepargpadro"/>
          <w:rFonts w:ascii="Arial" w:hAnsi="Arial"/>
          <w:b/>
          <w:sz w:val="22"/>
          <w:szCs w:val="22"/>
          <w:u w:val="single"/>
        </w:rPr>
        <w:t>. Tais parcelas, entretanto, não estão implicadas nas alterações legais em discussão neste incidente, o qual discute exatamente as parcelas que não podem ser consideradas permanentes, já que dependentes de fatos posteriores à alteração normativa</w:t>
      </w:r>
      <w:r>
        <w:rPr>
          <w:rStyle w:val="Fontepargpadro"/>
          <w:rFonts w:ascii="Arial" w:hAnsi="Arial"/>
          <w:sz w:val="22"/>
          <w:szCs w:val="22"/>
        </w:rPr>
        <w:t xml:space="preserve">. 10. Da mesma forma, não há falar, no presente incidente, em vedação ao retrocesso social, em aplicação da norma mais favorável, nem na manutenção da condição mais benéfica ou inalterabilidade lesiva – uma vez que os princípios não alcançam a regra de direito intertemporal. 11. Na realidade, a vedação ao retrocesso social constitui critério de controle de constitucionalidade, a norma mais favorável é princípio hermenêutico para compatibilização de normas simultaneamente vigentes (e não sucessivamente). Quanto à condição mais benéfica ou inalterabilidade contratual lesiva, se referem à preservação de cláusulas em face de alteração contratual in pejus (não a alterações por norma heterônoma). 12. De tal modo, o Incidente de Recurso Repetitivo nº 23 deve ser recepcionado fixando-se a seguinte tese: </w:t>
      </w:r>
      <w:r>
        <w:rPr>
          <w:rStyle w:val="Fontepargpadro"/>
          <w:rFonts w:ascii="Arial" w:hAnsi="Arial"/>
          <w:b/>
          <w:i/>
          <w:sz w:val="22"/>
          <w:szCs w:val="22"/>
        </w:rPr>
        <w:t xml:space="preserve">“A Lei nº 13.467/2017 possui aplicação imediata aos contratos de trabalho em curso, passando a regular os direitos decorrentes de lei cujos fatos geradores tenham se efetivado a partir de sua vigência”. </w:t>
      </w:r>
      <w:r>
        <w:rPr>
          <w:rStyle w:val="Fontepargpadro"/>
          <w:rFonts w:ascii="Arial" w:hAnsi="Arial"/>
          <w:sz w:val="22"/>
          <w:szCs w:val="22"/>
        </w:rPr>
        <w:t>(d.n.)</w:t>
      </w:r>
    </w:p>
    <w:p>
      <w:pPr>
        <w:pStyle w:val="Normal"/>
        <w:spacing w:lineRule="auto" w:line="360"/>
        <w:ind w:left="0" w:right="0" w:firstLine="1701"/>
        <w:jc w:val="both"/>
        <w:rPr>
          <w:rFonts w:ascii="Arial" w:hAnsi="Arial"/>
          <w:sz w:val="22"/>
          <w:szCs w:val="22"/>
        </w:rPr>
      </w:pPr>
      <w:r>
        <w:rPr>
          <w:rFonts w:ascii="Arial" w:hAnsi="Arial"/>
          <w:sz w:val="22"/>
          <w:szCs w:val="22"/>
        </w:rPr>
      </w:r>
    </w:p>
    <w:p>
      <w:pPr>
        <w:pStyle w:val="Textojustificadorecuoprimeiralinha"/>
        <w:spacing w:lineRule="auto" w:line="360" w:before="0" w:after="0"/>
        <w:ind w:left="0" w:right="0" w:firstLine="1701"/>
        <w:jc w:val="both"/>
        <w:rPr/>
      </w:pPr>
      <w:r>
        <w:rPr>
          <w:rStyle w:val="Nfaseforte"/>
          <w:rFonts w:cs="Arial Narrow" w:ascii="Arial" w:hAnsi="Arial"/>
          <w:color w:val="FF0000"/>
          <w:sz w:val="22"/>
          <w:szCs w:val="22"/>
          <w:u w:val="single"/>
        </w:rPr>
        <w:t>Ademais, cabe destacar que a parte Autora não possuía, quando do início da vigência da lei nº 13.467/2017, dez anos de exercício de função gratificada, de modo que não se aplicaria a ele, sequer em tese, o instituto da incorporação previsto na supramencionada súmula 372 do C. TST. Nesse sentido, convém destacar julgado oriundo da 1ª Turma deste e. Tribunal Regional:</w:t>
      </w:r>
    </w:p>
    <w:p>
      <w:pPr>
        <w:pStyle w:val="Textojustificadorecuoprimeiralinha"/>
        <w:spacing w:lineRule="auto" w:line="360" w:before="0" w:after="0"/>
        <w:ind w:left="0" w:right="0" w:firstLine="1701"/>
        <w:jc w:val="both"/>
        <w:rPr>
          <w:rFonts w:ascii="Arial" w:hAnsi="Arial"/>
          <w:sz w:val="22"/>
          <w:szCs w:val="22"/>
        </w:rPr>
      </w:pPr>
      <w:r>
        <w:rPr>
          <w:rFonts w:ascii="Arial" w:hAnsi="Arial"/>
          <w:sz w:val="22"/>
          <w:szCs w:val="22"/>
        </w:rPr>
      </w:r>
    </w:p>
    <w:p>
      <w:pPr>
        <w:pStyle w:val="Textojustificadorecuoprimeiralinha"/>
        <w:tabs>
          <w:tab w:val="clear" w:pos="420"/>
        </w:tabs>
        <w:spacing w:lineRule="auto" w:line="240" w:before="0" w:after="0"/>
        <w:ind w:left="1701" w:right="0" w:hanging="0"/>
        <w:jc w:val="both"/>
        <w:rPr/>
      </w:pPr>
      <w:r>
        <w:rPr>
          <w:rStyle w:val="Nfaseforte"/>
          <w:rFonts w:cs="Arial Narrow" w:ascii="Arial" w:hAnsi="Arial"/>
          <w:b w:val="false"/>
          <w:color w:val="FF0000"/>
          <w:sz w:val="22"/>
          <w:szCs w:val="22"/>
          <w:u w:val="single"/>
        </w:rPr>
        <w:t>“</w:t>
      </w:r>
      <w:r>
        <w:rPr>
          <w:rStyle w:val="Nfaseforte"/>
          <w:rFonts w:cs="Arial Narrow" w:ascii="Arial" w:hAnsi="Arial"/>
          <w:color w:val="FF0000"/>
          <w:sz w:val="22"/>
          <w:szCs w:val="22"/>
          <w:u w:val="single"/>
        </w:rPr>
        <w:t>INCORPORAÇÃO DE GRATIFICAÇÃO DE FUNÇÃO. INAPLICABILIDADE DA SÚMULA 372 DO C. TST. FATO CONSUMADO APÓS A VIGÊNCIA DA LEI N. 13.467/2017.Considerando que o autor contava com menos de 10 anos de exercício de função de confiança quando do advento da Lei n. 13.467/2017, que introduziu o § 2º do art. 468 da CLT, não consumado o preenchimento do requisito temporal, portanto, fazendo jus o autor apenas a mera expectativa de direito, não se aplicando ao caso o disposto no inciso I da Súmula 372 do TST. Apelo provido, no particular.</w:t>
      </w:r>
      <w:r>
        <w:rPr>
          <w:rStyle w:val="Nfaseforte"/>
          <w:rFonts w:cs="Arial Narrow" w:ascii="Arial" w:hAnsi="Arial"/>
          <w:b w:val="false"/>
          <w:color w:val="FF0000"/>
          <w:sz w:val="22"/>
          <w:szCs w:val="22"/>
        </w:rPr>
        <w:t xml:space="preserve"> (TRT24 – RO 0024316-82.2020.5.24.0002; 1ª Turma; Rel. Desembargador Federal MARCIO VASQUES THIBAU DE ALMEIDA; julgado em 13/04/2021) – d.n.</w:t>
      </w:r>
    </w:p>
    <w:p>
      <w:pPr>
        <w:pStyle w:val="Textojustificadorecuoprimeiralinha"/>
        <w:tabs>
          <w:tab w:val="clear" w:pos="420"/>
        </w:tabs>
        <w:spacing w:lineRule="auto" w:line="360" w:before="0" w:after="0"/>
        <w:ind w:left="1701" w:right="0" w:hanging="0"/>
        <w:jc w:val="both"/>
        <w:rPr>
          <w:rFonts w:ascii="Arial" w:hAnsi="Arial"/>
          <w:sz w:val="22"/>
          <w:szCs w:val="22"/>
        </w:rPr>
      </w:pPr>
      <w:r>
        <w:rPr>
          <w:rFonts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Ressalte-se, ainda, que a Consolidação das Leis do Trabalho dispõe que não há estabilidade no exercício dos cargos de diretoria, gerência ou outros de confiança imediata do empregador, conforme se verifica no artigo 499 da CLT, muito menos há direito a incorporação da gratificação percebida em referidas situações.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Complementando tais disposições, reza o art. 450 da CLT que ao empregado chamado a ocupar “... em comissão, interinamente, ou em substituição eventual ou temporária cargo diverso do que exercer na empresa, serão garantidas a contagem do tempo naquele serviço, bem como volta ao cargo anterior”.</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Diante dessas considerações, a Reclamada, </w:t>
      </w:r>
      <w:r>
        <w:rPr>
          <w:rStyle w:val="Nfase"/>
          <w:rFonts w:cs="Arial Narrow" w:ascii="Arial" w:hAnsi="Arial"/>
          <w:sz w:val="22"/>
          <w:szCs w:val="22"/>
        </w:rPr>
        <w:t>permissa venia</w:t>
      </w:r>
      <w:r>
        <w:rPr>
          <w:rStyle w:val="Fontepargpadro"/>
          <w:rFonts w:cs="Arial Narrow" w:ascii="Arial" w:hAnsi="Arial"/>
          <w:sz w:val="22"/>
          <w:szCs w:val="22"/>
        </w:rPr>
        <w:t>, jamais poderá ser compelida a pagar e incorporar a pretensa gratificação de função, sob o fundamento de manter a estabilidade financeira e manutenção do nível social e financeiro do reclamante.</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Aliás, é de se destacar que recentemente, a 4ª Turma do C. TST, em caso análogo, pronunciou-se no sentido de que a Lei 13.467/2017 (reforma trabalhista) deve prevalecer sobre a jurisprudência do TST, se esta houver sido pacificada sem base legal específica, mas apenas em princípios.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Na hipótese, discutia-se o direito de empregado perceber indenização por danos morais pelo uso de uniforme com logomarcas de fornecedores, sendo que prevaleceu o voto do ministro Ives Gandra, no sentido de que a jurisprudência do TST sobre o tema, calcada exclusivamente em princípio, não gera direito adquirido frente à reforma trabalhista, senão vejamos:</w:t>
      </w:r>
    </w:p>
    <w:p>
      <w:pPr>
        <w:pStyle w:val="Citaca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"No caso do pretenso direito à indenização por uso de logomarca, o que se contrapõe é a lei nova frente à jurisprudência pacificada do TST que, indevidamente, criou vantagem trabalhista sem base legal. Portanto, não há que se falar em direito adquirido.</w:t>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w:t>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Diante da existência de norma legal expressa disciplinando a matéria, não se pode esgrimir jurisprudência calcada em princípios genéricos, interpretados ampliativamente para criar direito</w:t>
        <w:br/>
        <w:t>sem base legal específica, restando, portanto, superada pela reforma." (TST - RR 305- 75.2015.5.05.0492; 4ª Turma; Redator: Min. Ives Gandra Martins; julgado em 09/06/2020) - d.n.</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Ora, tal entendimento encaixa-se perfeitamente ao caso em apreço, em que a parte autora alega possuir direito a incorporação de gratificação de função com base no entendimento consubstanciado na Súmula 372 do C. TST (entendimento este, frise-se, que nunca encontrou amparo em qualquer dispositivo legal, mas unicamente no princípio da estabilidade financeira (pois o art. 7º, VI, da CF estabelece o princípio da irredutibilidade salarial, não remuneratória), apesar de já assentado pela no artigo 468, §§1º e 2º, da CLT que "Não se considera alteração unilateral a determinação do empregador para que o respectivo empregado reverta ao cargo efetivo, anteriormente ocupado, deixando o exercício de função de confiança", sendo que essa alteração, "(...) </w:t>
      </w:r>
      <w:r>
        <w:rPr>
          <w:rStyle w:val="Nfaseforte"/>
          <w:rFonts w:cs="Arial Narrow" w:ascii="Arial" w:hAnsi="Arial"/>
          <w:sz w:val="22"/>
          <w:szCs w:val="22"/>
          <w:u w:val="single"/>
        </w:rPr>
        <w:t>com ou sem justo motivo, não assegura ao empregado o direito à manutenção do pagamento da gratificação correspondente, que não será incorporada, independentemente do tempo de exercício da respectiva função</w:t>
      </w:r>
      <w:r>
        <w:rPr>
          <w:rStyle w:val="Fontepargpadro"/>
          <w:rFonts w:cs="Arial Narrow" w:ascii="Arial" w:hAnsi="Arial"/>
          <w:sz w:val="22"/>
          <w:szCs w:val="22"/>
        </w:rPr>
        <w:t>" (d.n.).</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Ao deixar de ser paga a gratificação de função em razão da dispensa da Reclamante função, apenas cumpriu-se a lei, vez que não havia razão para a continuidade do pagamento da gratificação empregado após o mesmo não mais ocupar essa função, sabendo-se que é requisito fundamental do ato administrativo o motivo ou causa que determine e, mais, a finalidade ou objetivo de interesse público é outro requisito do ato administrativo que não pode ser esquecido em situação como a dos autos.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Excelência, imputar à Reclamada a incorporação de quantia correspondente à média das gratificações percebidas pelo obreiro sem motivo ou causa a pretexto de estabilidade econômica pelo tempo que a desempenhou afronta ao direito/dever que tem a Reclamada de assalariar seus empregados na forma da legislação a que estes se submetem, equivale à negativa de vigência ao princípio da reserva legal assim expressado no inciso II do art. 5° da CF/88: “ninguém está obrigado a fazer ou deixar de fazer alguma coisa senão em virtude de lei”.</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Dessarte, não há violação ao princípio da irredutibilidade salarial descrito no art. 7º, incido VI da Constituição da República Federativa do Brasil. </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Não se pode olvidar que a ECT, na qualidade de integrante da Administração Pública Indireta, está sujeita à observância dos princípios constitucionais referentes à Administração Pública insculpidos no caput do artigo 37 da CF/88, dentre eles os da moralidade e da eficiência, que impõem à Administração, sob pena de vício insanável, o dever pautar seus atos na ética e boa administração de recursos públicos.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Ora, é notório que o deferimento de verba gratificada, sem o exercício da respectiva função, fere tais preceitos. Tanto é assim que, como já destacado, à Administração Pública Direta (repise-se, mais próxima da ECT do que as entidades públicas de direito privado) é vedada a incorporação ao salário das gratificações pagas aos servidores públicos em geral.</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spacing w:lineRule="auto" w:line="360" w:before="0" w:after="0"/>
        <w:ind w:left="0" w:right="0" w:firstLine="1701"/>
        <w:jc w:val="both"/>
        <w:rPr/>
      </w:pPr>
      <w:r>
        <w:rPr>
          <w:rStyle w:val="Nfaseforte"/>
          <w:rFonts w:cs="Arial Narrow" w:ascii="Arial" w:hAnsi="Arial"/>
          <w:sz w:val="22"/>
          <w:szCs w:val="22"/>
          <w:u w:val="single"/>
        </w:rPr>
        <w:t>1.2. SUPERAÇÃO DA SÚMULA 372, I, DO C. TST – “OVERRULING”.</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Como já dito alhures, o Direito não é estanque, sendo que as interpretações jurídicas são alteradas de acordo com as realidades social e jurídica de determinada época, mormente se considerarmos que tais realidades são dinâmicas e sempre estão à frente do legislador, especialmente numa sociedade de conflitos massificados, tecnologicamente avançada e de rápidas mudanças no contexto social e de crise como a que se vivencia no Brasil no momento.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Não raro, essas circunstâncias novas acarretam mudanças que precisam ser compreendidas e absorvidas pelo Direito, razão pela qual se faz imprescindível a técnica de superação de precedentes por meio do “overruling”, ou seja, o afastamento de determinado entendimento jurisprudencial consolidado, com a sua consequente substituição por outro, em decorrência de mudanças sociais, econômicas e jurídicas, como, por exemplo, alterações legislativas, avanços tecnológicos, crises econômicas e financeiras, etc.</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Sobre o assunto, pede-se vênia para transcrever trecho de acórdão sob relatoria do eminente Desembargador Federal do Trabalho, Dr. Francisco das Limas Chagas Filho, que, em caso similar (TRT24 – RO 0025161-88.2016.5.24.0056, 2ª Turma, julgado em 27/09/2017), ministrou verdadeira aula sobre o instituto do “overruling”, ou superação de precedentes:</w:t>
      </w:r>
    </w:p>
    <w:p>
      <w:pPr>
        <w:pStyle w:val="Citaca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w:t>
      </w:r>
      <w:r>
        <w:rPr>
          <w:rFonts w:cs="Arial Narrow" w:ascii="Arial" w:hAnsi="Arial"/>
          <w:sz w:val="22"/>
          <w:szCs w:val="22"/>
        </w:rPr>
        <w:t>(...) Em que pese ao precedente representado pelo entendimento consubstanciado na Súmula 241 do Colendo Tribunal Superior do Trabalho, entendo razoável solução diversa no caso concreto.</w:t>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Deveras, os fatos da realidade da vida são dinâmicos e sempre estão à frente do legislador, especialmente numa sociedade de conflitos massificados, tecnologicamente avançada e de</w:t>
        <w:br/>
        <w:t>rápidas mudanças no contexto social e de crise como a que se vivencia no Brasil no momento.</w:t>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Essa realidade obriga, não raro, a mudanças que precisam ser compreendidas e absorvidas pelo Direito, embora este sempre esteja atrás dos fatos, inclusive no campo processual.</w:t>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Desse modo, o precedente pode ser superado pela técnica do "overruling", por meio da qual perde a força vinculante e é substituído por outro em face de um juízo negativo sobre a sua ‘ratio decidendi’, fundado em substanciais razões ou de mudanças sociais, econômicas e jurídicas para abandoná-lo como, por exemplo, alterações legislativas, mudança do modelo econômico, conquistas tecnológicas, crises econômicas e financeiras, entre outras.</w:t>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Nessa hipótese, o julgador não está obrigado a segui-lo, pois a realidade não pode ser desprezada pelo Direito que existe e tem a missão de disciplinar exatamente as relações e vida em sociedade, embora se exija demonstração, de forma fundamentada na decisão, das razões da superação.</w:t>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Desse modo, o precedente sofre a influência das mudanças e conquistas da sociedade que não podem ser ignoradas. Por conseguinte, necessita ser superado ou revisto quando houver alterações que sejam suficientes para mudar a visão do julgador, como ocorre no caso ora examinado como, aliás, era previsto no art. 521, § 7º do novo Código de Processo Civil aprovado pela Câmara dos Deputados que previa expressamente a superação em face de superveniente realidade econômica, política, social ou ainda da revogação ou alteração de norma em que se fundou a tese adotada.</w:t>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Apesar de não ter sido referida proposta normativa incorporada expressamente pelo Código, comungo com o pensamento de abalizada doutrina no sentido de que "parece incontestável que tais circunstâncias autorizam a superação do entendimento fixado em súmula ou precedente".</w:t>
      </w:r>
    </w:p>
    <w:p>
      <w:pPr>
        <w:pStyle w:val="Citaca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Citacao"/>
        <w:spacing w:lineRule="auto" w:line="360" w:before="0" w:after="0"/>
        <w:ind w:left="0" w:right="0" w:firstLine="1701"/>
        <w:jc w:val="both"/>
        <w:rPr>
          <w:rFonts w:ascii="Arial" w:hAnsi="Arial" w:cs="Arial Narrow"/>
          <w:sz w:val="22"/>
          <w:szCs w:val="22"/>
        </w:rPr>
      </w:pPr>
      <w:r>
        <w:rPr>
          <w:rFonts w:cs="Arial Narrow" w:ascii="Arial" w:hAnsi="Arial"/>
          <w:sz w:val="22"/>
          <w:szCs w:val="22"/>
        </w:rPr>
        <w:t>Aliás, nesse sentido o Enunciado 322 do FPPC assenta: A modificação de precedente vinculante poderá fundar-se, entre outros motivos, na revogação ou modificação da lei em que ele se baseou, ou em alteração econômica, política, cultural ou social referente a matéria decidida.</w:t>
      </w:r>
    </w:p>
    <w:p>
      <w:pPr>
        <w:pStyle w:val="Citacao"/>
        <w:spacing w:lineRule="auto" w:line="360" w:before="0" w:after="0"/>
        <w:ind w:left="0" w:right="0" w:firstLine="1701"/>
        <w:jc w:val="both"/>
        <w:rPr>
          <w:rFonts w:ascii="Arial" w:hAnsi="Arial" w:cs="Arial Narrow"/>
          <w:sz w:val="22"/>
          <w:szCs w:val="22"/>
        </w:rPr>
      </w:pPr>
      <w:r>
        <w:rPr>
          <w:rFonts w:cs="Arial Narrow" w:ascii="Arial" w:hAnsi="Arial"/>
          <w:sz w:val="22"/>
          <w:szCs w:val="22"/>
        </w:rPr>
        <w:t>Nessa perspectiva, e considerada a realidade social de crise vivenciada pela grande maioria das empresas, entendo possível, no caso concreto, a superação do entendimento constante da Súmula 241 do Colendo Tribunal Superior do Trabalho, em nome da preservação das empresas e, como consequência, do emprego de muitos trabalhadores."</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No caso, tem-se a calamitosa situação financeira vivenciada pela ECT, em especial em decorrência do exagerado gasto com pessoal. Aliás, sobre o assunto, pede-se vênia para transcrever trecho de reportagem do grupo G1, elaborada com base em Relatório da CGU, que detectou questões preocupantes à própria saúde financeira da empresa em razão do aumento de gastos com folha de pessoal (url https://g1.globo.com/economia/noticia/triplica-prejuizo-dos-correios-com-pagamentode-indenizacoes-aponta-relatorio-da-cgu.ghtml, acessada em 20/12/2017), </w:t>
      </w:r>
      <w:r>
        <w:rPr>
          <w:rStyle w:val="Nfase"/>
          <w:rFonts w:cs="Arial Narrow" w:ascii="Arial" w:hAnsi="Arial"/>
          <w:sz w:val="22"/>
          <w:szCs w:val="22"/>
        </w:rPr>
        <w:t>verbis</w:t>
      </w:r>
      <w:r>
        <w:rPr>
          <w:rStyle w:val="Fontepargpadro"/>
          <w:rFonts w:cs="Arial Narrow" w:ascii="Arial" w:hAnsi="Arial"/>
          <w:sz w:val="22"/>
          <w:szCs w:val="22"/>
        </w:rPr>
        <w:t>:</w:t>
      </w:r>
    </w:p>
    <w:p>
      <w:pPr>
        <w:pStyle w:val="Citacao"/>
        <w:tabs>
          <w:tab w:val="clear" w:pos="420"/>
        </w:tabs>
        <w:spacing w:lineRule="auto" w:line="360" w:before="0" w:after="0"/>
        <w:ind w:left="1701" w:right="0" w:firstLine="567"/>
        <w:jc w:val="both"/>
        <w:rPr>
          <w:rFonts w:ascii="Arial" w:hAnsi="Arial" w:cs="Arial Narrow"/>
          <w:sz w:val="22"/>
          <w:szCs w:val="22"/>
        </w:rPr>
      </w:pPr>
      <w:r>
        <w:rPr>
          <w:rFonts w:cs="Arial Narrow" w:ascii="Arial" w:hAnsi="Arial"/>
          <w:sz w:val="22"/>
          <w:szCs w:val="22"/>
        </w:rPr>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w:t>
      </w:r>
      <w:r>
        <w:rPr>
          <w:rFonts w:cs="Arial Narrow" w:ascii="Arial" w:hAnsi="Arial"/>
          <w:sz w:val="22"/>
          <w:szCs w:val="22"/>
        </w:rPr>
        <w:t>Gastos com pessoal</w:t>
      </w:r>
    </w:p>
    <w:p>
      <w:pPr>
        <w:pStyle w:val="Citacao"/>
        <w:tabs>
          <w:tab w:val="clear" w:pos="420"/>
        </w:tabs>
        <w:spacing w:lineRule="auto" w:line="240" w:before="0" w:after="0"/>
        <w:ind w:left="1701" w:right="0" w:firstLine="567"/>
        <w:jc w:val="both"/>
        <w:rPr/>
      </w:pPr>
      <w:r>
        <w:rPr>
          <w:rStyle w:val="Nfaseforte"/>
          <w:rFonts w:cs="Arial Narrow" w:ascii="Arial" w:hAnsi="Arial"/>
          <w:sz w:val="22"/>
          <w:szCs w:val="22"/>
          <w:u w:val="single"/>
        </w:rPr>
        <w:t>Outro ponto da administração dos Correios considerado preocupante pela CGU foi o aumento da despesa com pessoal.</w:t>
      </w:r>
    </w:p>
    <w:p>
      <w:pPr>
        <w:pStyle w:val="Citacao"/>
        <w:tabs>
          <w:tab w:val="clear" w:pos="420"/>
        </w:tabs>
        <w:spacing w:lineRule="auto" w:line="240" w:before="0" w:after="0"/>
        <w:ind w:left="1701" w:right="0" w:firstLine="567"/>
        <w:jc w:val="both"/>
        <w:rPr/>
      </w:pPr>
      <w:r>
        <w:rPr>
          <w:rStyle w:val="Nfaseforte"/>
          <w:rFonts w:cs="Arial Narrow" w:ascii="Arial" w:hAnsi="Arial"/>
          <w:sz w:val="22"/>
          <w:szCs w:val="22"/>
          <w:u w:val="single"/>
        </w:rPr>
        <w:t>De acordo com o relatório, o número de funcionários dos Correios subiu apenas 0,43% entre 2011 e 2016, mas o custo total com os empregados cresceu 62,61% no mesmo período.</w:t>
      </w:r>
    </w:p>
    <w:p>
      <w:pPr>
        <w:pStyle w:val="Citacao"/>
        <w:tabs>
          <w:tab w:val="clear" w:pos="420"/>
        </w:tabs>
        <w:spacing w:lineRule="auto" w:line="240" w:before="0" w:after="0"/>
        <w:ind w:left="1701" w:right="0" w:firstLine="567"/>
        <w:jc w:val="both"/>
        <w:rPr/>
      </w:pPr>
      <w:r>
        <w:rPr>
          <w:rStyle w:val="Nfaseforte"/>
          <w:rFonts w:cs="Arial Narrow" w:ascii="Arial" w:hAnsi="Arial"/>
          <w:sz w:val="22"/>
          <w:szCs w:val="22"/>
          <w:u w:val="single"/>
        </w:rPr>
        <w:t>Já os gastos com os chamados benefícios pós-emprego, que incluem a previdência complementar e o plano de saúde dos empregados, mais que triplicaram no mesmo período, crescendo de R$ 118,6 milhões em 2011 para R$ 410,36 milhões em 2016.</w:t>
      </w:r>
    </w:p>
    <w:p>
      <w:pPr>
        <w:pStyle w:val="Citacao"/>
        <w:tabs>
          <w:tab w:val="clear" w:pos="420"/>
        </w:tabs>
        <w:spacing w:lineRule="auto" w:line="240" w:before="0" w:after="0"/>
        <w:ind w:left="1701" w:right="0" w:firstLine="567"/>
        <w:jc w:val="both"/>
        <w:rPr>
          <w:rFonts w:ascii="Arial" w:hAnsi="Arial" w:cs="Arial Narrow"/>
          <w:sz w:val="22"/>
          <w:szCs w:val="22"/>
        </w:rPr>
      </w:pPr>
      <w:r>
        <w:rPr>
          <w:rFonts w:cs="Arial Narrow" w:ascii="Arial" w:hAnsi="Arial"/>
          <w:sz w:val="22"/>
          <w:szCs w:val="22"/>
        </w:rPr>
        <w:t>Sobre os gastos com pessoal, a estatal informou por meio da assessoria estar realizando um Programa de Demissão Incentivada (PDI) que já diminuiu o quadro de pessoal em mais de 6 mil pessoas, e que os gastos com o plano de saúde dos funcionários estão sendo debatidos no Tribunal Superior do Trabalho, após fracassarem as negociações com o sindicato da categoria.” – d.n.</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Nessa perspectiva, e considerada a realidade social de crise vivenciada pela grande maioria das empresas brasileiras, em especial da ora Reclamada, empresa pública federal, que, fato público e notório, possui graves problemas financeiros que podem inclusive inviabilizar as suas atividades essenciais (prestação de serviço público), e que possivelmente não mais possui condições de arcar com os custos gerados a partir do entendimento consubstanciado na súmula 372 do TST, é imperiosa a superação do entendimento constante no referido verbete sumular, em nome da preservação das empresas e, como consequência, do emprego de muitos trabalhadores (mais de 100 mil empregados).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Isso sem mencionar a atual redação do art. 468, §2º, da CLT, que, agora, expressamente dispõe que a destituição de função de confiança, com consequente retorno ao cargo efetivo, “(...) com ou sem justo motivo, não assegura ao empregado o direito à manutenção do pagamento da gratificação correspondente, que não será incorporada, independentemente do tempo de exercício da respectiva função”.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Assim, também por este fundamento impõe-se a improcedência da presente Reclamatória.</w:t>
      </w:r>
    </w:p>
    <w:p>
      <w:pPr>
        <w:pStyle w:val="Textojustificado"/>
        <w:spacing w:lineRule="auto" w:line="360" w:before="0" w:after="0"/>
        <w:ind w:left="0" w:right="0" w:firstLine="1701"/>
        <w:jc w:val="both"/>
        <w:rPr>
          <w:rFonts w:ascii="Arial" w:hAnsi="Arial" w:cs="Arial Narrow"/>
          <w:sz w:val="22"/>
          <w:szCs w:val="22"/>
        </w:rPr>
      </w:pPr>
      <w:r>
        <w:rPr/>
      </w:r>
    </w:p>
    <w:p>
      <w:pPr>
        <w:pStyle w:val="Textojustificado"/>
        <w:spacing w:lineRule="auto" w:line="360" w:before="0" w:after="0"/>
        <w:ind w:left="0" w:right="0" w:firstLine="1701"/>
        <w:jc w:val="both"/>
        <w:rPr/>
      </w:pPr>
      <w:r>
        <w:rPr>
          <w:rStyle w:val="Nfaseforte"/>
          <w:rFonts w:cs="Arial Narrow" w:ascii="Arial" w:hAnsi="Arial"/>
          <w:sz w:val="22"/>
          <w:szCs w:val="22"/>
          <w:u w:val="single"/>
        </w:rPr>
        <w:t>1.3. INAPLICABILIDADE DA SÚMULA 372, I, DO C. TST À ECT.</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De todo modo, não há falar em aplicação do entendimento consubstanciado na Súmula 372 do C. TST à ECT.</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Isso porque inexiste qualquer obrigação legal de que a Reclamada, empresa pública federal equiparada à Fazenda Pública e, portanto, que se encontra regida pelos princípios constitucionais da legalidade, impessoalidade, moralidade, publicidade, eficiência e probidade, a pagar gratificação de função a empregado que não mais ocupa a função correspondente.</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Ao contrário, há disposição legal que veda A INCORPORAÇÃO AO SALÁRIO DAS GRATIFICAÇÕES PAGAS AOS SERVIDORES PÚBLICOS EM GERAL (Lei nº: 8.112/90, alterada pela Emenda Constitucional 19/98), norma esta que entende-se plenamente aplicável ao presente caso por analogia, equidade e estrita observância das normas constitucionais.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Observe-se que a Súmula nº 372 do C. TST não pode ser estendida à ECT, eis que, como já mencionado, está-se aqui a falar de ente integrante da Administração Pública indireta equiparada à Fazenda Pública face à natureza dos serviços essenciais prestados e que, portanto, é regida pelos princípios constitucionais previstos no caput do art. 37 da Carta Maior, preceitos estes, frise-se, que não se compatibilizam com a aplicação do entendimento jurisprudencial cristalizado no referido enunciado jurisprudencial ao caso em apreço.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Não se pode olvidar que a ECT, diferentemente mesmo das demais empresas públicas federais, não opera em usual superavit e, portanto, não possui a mesma capacidade econômica de arcar com custos que uma empresa particular ou pública que obtém constantes lucros com o desenvolvimento de sua atividade econômica, sendo fato público e notório que, mesmo quando alcança resultados positivos, o que, aliás, não foi o caso dos últimos anos, a Empresa Brasileira de Correios e Telégrafos não tem grandes lucros. Isso porque a maior parte das unidades da ECT espalhadas pelo interior do país são deficitárias, eis que o que, assim como ocorre com as pessoas jurídicas de direito público direto, o cumprimento da missão confiada à Reclamada não é a obtenção de lucro ou receitas, mas prestação universal de serviço público essencial.</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No caso, não há dúvidas de que a ECT possui natureza jurídica sui generis. Embora enquadrada como empresa pública, em razão da importância e do modo como cumpre a sua missão constitucional, qual seja, o monopólio do serviço postal (art. 22, V, da CF), a ECT difere-se em seu âmago das demais entidades, públicas ou particulares, submetidas às normas de direito privado.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Assemelha-se, nesse ponto, mais às entidades públicas integrantes da Administração Direta; tanto é assim que lhe são garantidas as mesmas prerrogativas destas últimas, como isenção de custas e depósito recursal, juros de mora conforme art. 1º-F da Lei nº 9.494/97, prazos em dobro para contestar e para recorrer, impenhorabilidade de bens, etc.</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Assim, </w:t>
      </w:r>
      <w:r>
        <w:rPr>
          <w:rStyle w:val="Nfase"/>
          <w:rFonts w:cs="Arial Narrow" w:ascii="Arial" w:hAnsi="Arial"/>
          <w:sz w:val="22"/>
          <w:szCs w:val="22"/>
        </w:rPr>
        <w:t xml:space="preserve">data maxima venia </w:t>
      </w:r>
      <w:r>
        <w:rPr>
          <w:rStyle w:val="Fontepargpadro"/>
          <w:rFonts w:cs="Arial Narrow" w:ascii="Arial" w:hAnsi="Arial"/>
          <w:sz w:val="22"/>
          <w:szCs w:val="22"/>
        </w:rPr>
        <w:t>para com entendimento contrário, não se pode aplicar indistintamente entendimentos como o consubstanciado na súmula nº 372 do C. TST à ECT.</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Mesmo sob o entendimento da súmula 372 do C. TST, não é possível, no presente caso, o deferimento do pleito exordial de incorporação de gratificação de função.</w:t>
      </w:r>
    </w:p>
    <w:p>
      <w:pPr>
        <w:pStyle w:val="Textojustificado"/>
        <w:tabs>
          <w:tab w:val="clear" w:pos="420"/>
        </w:tabs>
        <w:spacing w:lineRule="auto" w:line="360" w:before="0" w:after="0"/>
        <w:ind w:left="1701" w:right="0" w:hanging="0"/>
        <w:jc w:val="both"/>
        <w:rPr>
          <w:rFonts w:ascii="Arial" w:hAnsi="Arial" w:cs="Arial Narrow"/>
          <w:color w:val="008000"/>
          <w:sz w:val="22"/>
          <w:szCs w:val="22"/>
        </w:rPr>
      </w:pPr>
      <w:r>
        <w:rPr/>
      </w:r>
    </w:p>
    <w:p>
      <w:pPr>
        <w:pStyle w:val="Textojustificado"/>
        <w:tabs>
          <w:tab w:val="clear" w:pos="420"/>
        </w:tabs>
        <w:spacing w:lineRule="auto" w:line="360" w:before="0" w:after="0"/>
        <w:ind w:left="1701" w:right="0" w:hanging="0"/>
        <w:jc w:val="both"/>
        <w:rPr/>
      </w:pPr>
      <w:r>
        <w:rPr>
          <w:rStyle w:val="Nfaseforte"/>
          <w:rFonts w:cs="Arial Narrow" w:ascii="Arial" w:hAnsi="Arial"/>
          <w:color w:val="008000"/>
          <w:sz w:val="22"/>
          <w:szCs w:val="22"/>
          <w:u w:val="single"/>
        </w:rPr>
        <w:t>1.4. IMPOSSIBILIDADE DE CONTAGEM DO PERÍODO DE “MOTORIZADO”. - SE HOUVER FUNÇÃO DE MOTORIZADO.</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Outrossim, ainda que se possa cogitar a aplicação do entendimento consubstanciado na Súmula 372, I, do C. TST à ECT, bem como a possibilidade de incorporação de verba recebida a título de substituição, o que se admite por medida de cautela apenas, certo é que não faz o Reclamante jus à pretendida incorporação de gratificações de função, pois não percebeu verba incorporável por mais de dez anos.</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Explica-se.</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Por tratar-se de verba que, a rigor, mais se assemelha a adicional de risco (que pode ser suprimido quando não mais subsistir a condição que autoriza o seu pagamento – Súmulas 248 e 265 do C. TST) do que propriamente de verba paga pela fidúcia depositada no trabalhador, a parcela“Motorizado” não pode ser computada para efeito de incorporação. </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De fato, vê-se que a gra</w:t>
        <w:noBreakHyphen/>
        <w:t>ficação denominada "Motorizado" decorre de desempenho de atividade especial, de modo que, seja porque seu montante é quase sempre inferior a 1/3 da remuneração (não sendo, por tal motivo, aplicável a exceção do art. 224, § 2º, da CLT), seja porque a própria natureza jurídica da parcela difere das gratificações de função propriamente ditas, não é possível equipará-la às demais gratificações pagas em virtude do exercício de cargo de confiança.</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Assim, desconsiderado o tempo de exercício de “Motorizado”, tem-se que o Reclamante não possui (em caráter de titularidade) os dez anos de percepção de verba incorporável mencionados na Súmula 372, I, do C. TST até a data do início da vigência do art. 468, §2º, da CLT, o que obsta o deferimento do pleito exordial quanto a este ponto.</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tabs>
          <w:tab w:val="clear" w:pos="420"/>
        </w:tabs>
        <w:spacing w:lineRule="auto" w:line="360" w:before="0" w:after="0"/>
        <w:ind w:left="1701" w:right="0" w:hanging="0"/>
        <w:jc w:val="both"/>
        <w:rPr/>
      </w:pPr>
      <w:r>
        <w:rPr>
          <w:rStyle w:val="Nfaseforte"/>
          <w:rFonts w:cs="Arial Narrow" w:ascii="Arial" w:hAnsi="Arial"/>
          <w:color w:val="0000CD"/>
          <w:sz w:val="22"/>
          <w:szCs w:val="22"/>
        </w:rPr>
        <w:t>1.4. IMPOSSIBILIDADE DE CONTAGEM DO PERÍODO DE “QUEBRA DE CAIXA”. - SE HOUVER FUNÇÃO DE QUEBRA DE CAIXA.</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Outrossim, ainda que se possa cogitar a aplicação do entendimento consubstanciado na Súmula 372, I, do C. TST à ECT, o que se admite por medida de cautela apenas, certo é que a parte autora não faz jus à pretendida incorporação de gratificações de função, pois não percebeu verba incorporável por mais de dez anos.</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Explica-se.</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Por tratar-se de verba que, a rigor, mais se assemelha a adicional de risco (que pode ser suprimido quando não mais subsistir a condição que autoriza o seu pagamento – Súmulas 248 e 265 do C. TST) do que propriamente de verba paga pela fidúcia depositada no trabalhador, a parcela “Quebra de Caixa” não pode ser computada para efeito de incorporação.</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De fato, vê-se que a gratificação denominada "quebra de caixa" destina-se a cobrir eventuais prejuízos, os quais ocorrem com frequência com os empregados que lidam diariamente com numerário, de modo que, seja porque seu montante é quase sempre inferior a 1/3 da remuneração (não sendo, por tal motivo, aplicável a exceção do art. 224, § 2º, da CLT), seja porque a própria natureza jurídica da parcela difere das gratificações de função propriamente ditas, não é possível equipará-la às demais gratificações pagas em virtude do exercício de cargo de confiança.</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Nesse sentido:</w:t>
      </w:r>
    </w:p>
    <w:p>
      <w:pPr>
        <w:pStyle w:val="Citacao"/>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r>
    </w:p>
    <w:p>
      <w:pPr>
        <w:pStyle w:val="Citacao"/>
        <w:tabs>
          <w:tab w:val="clear" w:pos="420"/>
        </w:tabs>
        <w:spacing w:lineRule="auto" w:line="240" w:before="0" w:after="0"/>
        <w:ind w:left="1701" w:right="0" w:hanging="0"/>
        <w:jc w:val="both"/>
        <w:rPr>
          <w:rFonts w:ascii="Arial" w:hAnsi="Arial" w:cs="Arial Narrow"/>
          <w:color w:val="0000CD"/>
          <w:sz w:val="22"/>
          <w:szCs w:val="22"/>
        </w:rPr>
      </w:pPr>
      <w:r>
        <w:rPr>
          <w:rFonts w:cs="Arial Narrow" w:ascii="Arial" w:hAnsi="Arial"/>
          <w:color w:val="0000CD"/>
          <w:sz w:val="22"/>
          <w:szCs w:val="22"/>
        </w:rPr>
        <w:t>“</w:t>
      </w:r>
      <w:r>
        <w:rPr>
          <w:rFonts w:cs="Arial Narrow" w:ascii="Arial" w:hAnsi="Arial"/>
          <w:color w:val="0000CD"/>
          <w:sz w:val="22"/>
          <w:szCs w:val="22"/>
        </w:rPr>
        <w:t>GRATIFICAÇÃO DE QUEBRA DE CAIXA. NATUREZA JURÍDICA. É de sabença geral que a gratificação denominada ‘quebra de caixa’ destina-se a cobrir eventuais prejuízos, os quais ocorrem com frequência com os empregados que lidam diariamente com numerário, não se tratando, portanto, de parcela paga em razão da maior fidúcia destinada a determinado empregado. Por conseguinte, não há como equiparar a quebra de caixa às demais gratificações pagas em virtude do exercício de cargo de confiança” (TRT1 – Processo nº 0100276-55.2016.5.01.0283 (RO); 3ª Turma; Relatora Juíz do Trabalho Convocada Raquel de Oliveira Maciel; Data do Julgado: 14/07/2016).</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Veja-se que a função quebra de caixa não decorre de uma fidúcia especial depositada a determinado empregado para o exercício de atividade que exija do designado maior responsabilidade, mas é paga a todos os obreiros que atuam em caixa de agência dos Correios.</w:t>
      </w:r>
    </w:p>
    <w:p>
      <w:pPr>
        <w:pStyle w:val="Textojustificadorecuoprimeiralinha"/>
        <w:spacing w:lineRule="auto" w:line="360" w:before="0" w:after="0"/>
        <w:ind w:left="0" w:right="0" w:firstLine="1701"/>
        <w:jc w:val="both"/>
        <w:rPr/>
      </w:pPr>
      <w:r>
        <w:rPr>
          <w:rStyle w:val="Fontepargpadro"/>
          <w:rFonts w:cs="Arial Narrow" w:ascii="Arial" w:hAnsi="Arial"/>
          <w:color w:val="0000CD"/>
          <w:sz w:val="22"/>
          <w:szCs w:val="22"/>
        </w:rPr>
        <w:t xml:space="preserve">O quebra de caixa é concedido para empregados que exerçam uma atividade própria de seu cargo que é tida como especial, em face da condição especial do trabalho. Sendo assim, a estes empregados é concedido um adicional salarial denominado “Gratificação de Atividade Especial, sendo o valor compatível com a natureza e características das tarefas e condições do trabalho, conforme especificado nos Acordos Coletivos de Trabalho da categoria. Este é o entendimento exarado em importantes decisões judiciais destacando-se apenas a </w:t>
      </w:r>
      <w:r>
        <w:rPr>
          <w:rStyle w:val="Nfase"/>
          <w:rFonts w:cs="Arial Narrow" w:ascii="Arial" w:hAnsi="Arial"/>
          <w:color w:val="0000CD"/>
          <w:sz w:val="22"/>
          <w:szCs w:val="22"/>
        </w:rPr>
        <w:t xml:space="preserve">ratio decidendi </w:t>
      </w:r>
      <w:r>
        <w:rPr>
          <w:rStyle w:val="Fontepargpadro"/>
          <w:rFonts w:cs="Arial Narrow" w:ascii="Arial" w:hAnsi="Arial"/>
          <w:color w:val="0000CD"/>
          <w:sz w:val="22"/>
          <w:szCs w:val="22"/>
        </w:rPr>
        <w:t>apta a fazer precedentes:</w:t>
      </w:r>
    </w:p>
    <w:p>
      <w:pPr>
        <w:pStyle w:val="Citacao"/>
        <w:tabs>
          <w:tab w:val="clear" w:pos="420"/>
        </w:tabs>
        <w:spacing w:lineRule="auto" w:line="360" w:before="0" w:after="0"/>
        <w:ind w:left="1701" w:right="0" w:hanging="0"/>
        <w:jc w:val="both"/>
        <w:rPr>
          <w:rFonts w:ascii="Arial" w:hAnsi="Arial" w:cs="Arial Narrow"/>
          <w:color w:val="0000CD"/>
          <w:sz w:val="22"/>
          <w:szCs w:val="22"/>
        </w:rPr>
      </w:pPr>
      <w:r>
        <w:rPr>
          <w:rFonts w:cs="Arial Narrow" w:ascii="Arial" w:hAnsi="Arial"/>
          <w:color w:val="0000CD"/>
          <w:sz w:val="22"/>
          <w:szCs w:val="22"/>
        </w:rPr>
      </w:r>
    </w:p>
    <w:p>
      <w:pPr>
        <w:pStyle w:val="Citacao"/>
        <w:tabs>
          <w:tab w:val="clear" w:pos="420"/>
        </w:tabs>
        <w:spacing w:lineRule="auto" w:line="240" w:before="0" w:after="0"/>
        <w:ind w:left="1701" w:right="0" w:hanging="0"/>
        <w:jc w:val="both"/>
        <w:rPr>
          <w:rFonts w:ascii="Arial" w:hAnsi="Arial" w:cs="Arial Narrow"/>
          <w:color w:val="0000CD"/>
          <w:sz w:val="22"/>
          <w:szCs w:val="22"/>
        </w:rPr>
      </w:pPr>
      <w:r>
        <w:rPr>
          <w:rFonts w:cs="Arial Narrow" w:ascii="Arial" w:hAnsi="Arial"/>
          <w:color w:val="0000CD"/>
          <w:sz w:val="22"/>
          <w:szCs w:val="22"/>
        </w:rPr>
        <w:t>“</w:t>
      </w:r>
      <w:r>
        <w:rPr>
          <w:rFonts w:cs="Arial Narrow" w:ascii="Arial" w:hAnsi="Arial"/>
          <w:color w:val="0000CD"/>
          <w:sz w:val="22"/>
          <w:szCs w:val="22"/>
        </w:rPr>
        <w:t>(...) Antes desse período, recebia adicional por quebra de caixa, parcela que, por deter natureza de salário-condição e não gratificação de função, pode ser suprimida, caso cessem as circunstâncias que justificaram o seu pagamento. É que a parcela paga a título de quebra-de-caixa tem razão de ser na possibilidade de o empregado sofrer descontos salariais por diferenças pecuniárias encontradas no caixa do qual é responsável. Logo, por não se tratar de gratificação de função, não pode ser considerada na análise do período contratual que dá ensejo à incorporação salarial de que trata a Súmula n. 372 do TST. Dessa maneira, desconsiderando o período em que a função foi exercida em substituição e em que houve a percepção apenas do adicional de quebra de caixa, a conclusão é a de que a reclamante não recebeu gratificação de função por 10 (dez) anos ou mais. (...)” - PROCESSO: 0012264-56.2015.5.01.0265, Sentença Publicada em 08/03/2016, MM Juíza Simone Bemfica Borges. 2ª Vara do Trabalho de São Gonçalo/RJ.</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E ainda, em perfeita colocação, sinte􀆟za-se por fim, o Quebra de Caixa não como gratificação de cargo, mas sim como plus salarial, destacando-se o precedente:</w:t>
      </w:r>
    </w:p>
    <w:p>
      <w:pPr>
        <w:pStyle w:val="Citacao"/>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r>
    </w:p>
    <w:p>
      <w:pPr>
        <w:pStyle w:val="Citacao"/>
        <w:tabs>
          <w:tab w:val="clear" w:pos="420"/>
        </w:tabs>
        <w:spacing w:lineRule="auto" w:line="240" w:before="0" w:after="0"/>
        <w:ind w:left="1701" w:right="0" w:hanging="0"/>
        <w:jc w:val="both"/>
        <w:rPr/>
      </w:pPr>
      <w:r>
        <w:rPr>
          <w:rStyle w:val="Fontepargpadro"/>
          <w:rFonts w:cs="Arial Narrow" w:ascii="Arial" w:hAnsi="Arial"/>
          <w:color w:val="0000CD"/>
          <w:sz w:val="22"/>
          <w:szCs w:val="22"/>
        </w:rPr>
        <w:t>“</w:t>
      </w:r>
      <w:r>
        <w:rPr>
          <w:rStyle w:val="Fontepargpadro"/>
          <w:rFonts w:cs="Arial Narrow" w:ascii="Arial" w:hAnsi="Arial"/>
          <w:color w:val="0000CD"/>
          <w:sz w:val="22"/>
          <w:szCs w:val="22"/>
        </w:rPr>
        <w:t xml:space="preserve">(...) Quanto ao mérito da pretensão autoral, o pedido mediato de condenação da ré ao pagamento da gratificação de função suprimida em 31/07/2015 até que seja efetivada a incorporação com o trânsito em julgado, parcelas vencidas e vincendas e reflexos nas verbas tituladas é rejeitada, pois, ela exerceu funções gra􀆟ficadas de forma intercalada, i.e., sem continuidade, e, não bastasse, quebra de caixa não pode ser considerada como gratificação de cargo, na acepção do vocábulo, mas sim, um </w:t>
      </w:r>
      <w:r>
        <w:rPr>
          <w:rStyle w:val="Nfase"/>
          <w:rFonts w:cs="Arial Narrow" w:ascii="Arial" w:hAnsi="Arial"/>
          <w:color w:val="0000CD"/>
          <w:sz w:val="22"/>
          <w:szCs w:val="22"/>
        </w:rPr>
        <w:t xml:space="preserve">plus </w:t>
      </w:r>
      <w:r>
        <w:rPr>
          <w:rStyle w:val="Fontepargpadro"/>
          <w:rFonts w:cs="Arial Narrow" w:ascii="Arial" w:hAnsi="Arial"/>
          <w:color w:val="0000CD"/>
          <w:sz w:val="22"/>
          <w:szCs w:val="22"/>
        </w:rPr>
        <w:t>salarial pago visando à supressão de eventuais faltas de numerário no caixa, e não vantagem decorrente simplesmente do exercício do cargo. (...)” - PROCESSO: 0100276-55.2016.5.01.0283, Sentença Publicada em 06/05/2016, MM Juíz Cláudio Aurelio Azevedo Freitas. 3ª Vara do Trabalho de Campos dos Goytacazes/RJ</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Assim é que, a gratificação quebra de caixa é paga a qualquer empregado ocupante do cargo de Atendente Comercial, desde que execute as atividades em guichê. Chama-se atenção que a atividade de guichê é prevista nos editais de concurso público, uma vez que está descrita no plano de cargos, carreira e salários da reclamada.</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Sendo assim, o adicional quebra de caixa tem uma feição de seguro, já que se trata de uma parcela que resguarda o atendente comercial na ocorrência de diferença a menor no seu caixa.</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Desta forma, fica cabalmente demonstrado que para o exercício de funções comissionadas, função de confiança e função gratificada, só são designados empregados que inspiram uma confiança especial para o exercício das mesmas, já que não se tratam de atividades próprias do cargo, como é o caso da gratificação quebra de caixa.</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No aspecto, o c. Tribunal Superior do Trabalho consolidou o entendimento de que a percepção da gratificação de função por mais de 10 (dez) anos gera o direito do empregado à sua incorporação na remuneração, todavia não incluiu aquele que percebe a parcela denominada “Quebra de Caixa”, vejamos:</w:t>
      </w:r>
    </w:p>
    <w:p>
      <w:pPr>
        <w:pStyle w:val="Citacao"/>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r>
    </w:p>
    <w:p>
      <w:pPr>
        <w:pStyle w:val="Citacao"/>
        <w:tabs>
          <w:tab w:val="clear" w:pos="420"/>
        </w:tabs>
        <w:spacing w:lineRule="auto" w:line="240" w:before="0" w:after="0"/>
        <w:ind w:left="1701" w:right="0" w:hanging="0"/>
        <w:jc w:val="both"/>
        <w:rPr>
          <w:rFonts w:ascii="Arial" w:hAnsi="Arial" w:cs="Arial Narrow"/>
          <w:color w:val="0000CD"/>
          <w:sz w:val="22"/>
          <w:szCs w:val="22"/>
        </w:rPr>
      </w:pPr>
      <w:r>
        <w:rPr>
          <w:rFonts w:cs="Arial Narrow" w:ascii="Arial" w:hAnsi="Arial"/>
          <w:color w:val="0000CD"/>
          <w:sz w:val="22"/>
          <w:szCs w:val="22"/>
        </w:rPr>
        <w:t>RECURSO DE EMBARGOS. ACÓRDÃO PUBLICADO NA VIGÊNCIA DA LEI Nº 13.015/2014. PARCELA "QUEBRA DE CAIXA". PERCEBIMENTO POR MAIS DE DEZ ANOS. INCORPORAÇÃO. IMPOSSIBILIDADE. As parcelas "quebra de caixa" e gratificação de função possuem essências e finalidades distintas: aquela constitui um plus salarial destinado apenas aos bancários que exercem a função de caixa; a gratificação de função, por sua vez, remunera qualquer trabalhador mediante a assunção de maiores responsabilidades. O fato de ambas possuírem natureza jurídica salarial não as confunde, podendo, inclusive, ser cumuladas. Porém, os riscos da função de caixa são próprios e a "quebra de caixa" não se estende ao exercício de nenhuma</w:t>
        <w:br/>
        <w:t>outra função, cujo acréscimo serve apenas para minimizar eventuais prejuízos sofridos pelo empregado decorrentes de erro no fechamento do caixa, pelo qual responde com os próprios recursos. Cuida-se, pois, de salário-condição e, como tal, não se incorpora à remuneração, a exemplo do que ocorre com as horas extras, o adicional noturno, de insalubridade ou de periculosidade. Recurso de embargos conhecido e desprovido. (E-ARR - 8-98.2011.5.15.0114, Relator Ministro: Breno Medeiros, Data de Julgamento: 16/08/2018, Subseção I Especializada em Dissídios Individuais, Data de Publicação: DEJT 24/08/2018)</w:t>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r>
    </w:p>
    <w:p>
      <w:pPr>
        <w:pStyle w:val="Textojustificadorecuoprimeiralinha"/>
        <w:spacing w:lineRule="auto" w:line="360" w:before="0" w:after="0"/>
        <w:ind w:left="0" w:right="0" w:firstLine="1701"/>
        <w:jc w:val="both"/>
        <w:rPr>
          <w:rFonts w:ascii="Arial" w:hAnsi="Arial" w:cs="Arial Narrow"/>
          <w:color w:val="0000CD"/>
          <w:sz w:val="22"/>
          <w:szCs w:val="22"/>
        </w:rPr>
      </w:pPr>
      <w:r>
        <w:rPr>
          <w:rFonts w:cs="Arial Narrow" w:ascii="Arial" w:hAnsi="Arial"/>
          <w:color w:val="0000CD"/>
          <w:sz w:val="22"/>
          <w:szCs w:val="22"/>
        </w:rPr>
        <w:t>Assim, tem-se que o Reclamante não possui os dez anos de percepção de verba incorporável mencionados na Súmula 372, I, do C. TST, o que obsta o deferimento do pleito exordial quanto a este ponto.</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tabs>
          <w:tab w:val="clear" w:pos="420"/>
        </w:tabs>
        <w:spacing w:lineRule="auto" w:line="360" w:before="0" w:after="0"/>
        <w:ind w:left="1701" w:right="0" w:hanging="0"/>
        <w:jc w:val="both"/>
        <w:rPr/>
      </w:pPr>
      <w:r>
        <w:rPr>
          <w:rStyle w:val="Nfaseforte"/>
          <w:rFonts w:cs="Arial Narrow" w:ascii="Arial" w:hAnsi="Arial"/>
          <w:color w:val="FF0000"/>
          <w:sz w:val="22"/>
          <w:szCs w:val="22"/>
          <w:u w:val="single"/>
        </w:rPr>
        <w:t>2. INCORPORAÇÃO COM BASE NAS NORMAS INTERNAS DA EMPRESA. - SE HOUVER ARGUIÇÃO DE NORMAS INTERNAS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Ainda segundo alegado na exordial, a parte autora faria jus à incorporação da média ponderada no percentual de 100% sobre as gratificações de função por ela percebidas, pois os Módulos 36 e 55 do MANUAL DE PESSOAL – MANPES da ECT garantiriam aos empregados desta empresa pública a partir de 60 (sessenta) meses de exercício de função de confiança, gratificada ou de atividade especial, ininterruptos ou não, apurados nos últimos 15 anos retroativos à data da dispensa por iniciativa da empresa a incorporação à sua remuneração da média ponderada proporcional ao tempo de recebimento das verbas de GRATIFICAÇÃO DE FUNÇÃO.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Contudo, à parte da já aduzida inexistência de supressão, razão não lhe assiste, senão vejamos.</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tabs>
          <w:tab w:val="clear" w:pos="420"/>
        </w:tabs>
        <w:spacing w:lineRule="auto" w:line="360" w:before="0" w:after="0"/>
        <w:ind w:left="1701" w:right="0" w:hanging="0"/>
        <w:jc w:val="both"/>
        <w:rPr/>
      </w:pPr>
      <w:r>
        <w:rPr>
          <w:rStyle w:val="Nfaseforte"/>
          <w:rFonts w:cs="Arial Narrow" w:ascii="Arial" w:hAnsi="Arial"/>
          <w:color w:val="008000"/>
          <w:sz w:val="22"/>
          <w:szCs w:val="22"/>
          <w:u w:val="single"/>
        </w:rPr>
        <w:t>2.1. NORMAS REVOGADAS – INAPLICABILIDADE DO ENTENDIMENTO CONSUBSTANCIADO NA SÚMULA 51 DO C. TST AO CASO. - SE HOUVER PREENCHIDO OS REQUISITOS TEMPORAIS DA FAT E DA ITF ANTES DA REVOGAÇÃO</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De início, cabe destacar que, consoante reconhecido pela própria parte autora, a CIRCULAR/DIREC-682/2005, de 14 de abril de 2005, encontra-se revogada desde muito antes da alegada dispensa de função por iniciativa da empresa.</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No caso, a Função de Apoio à Gestão – FAG, função gratificada mencionada na CI/DIREC – 682/2005-CIRCULAR, teve sua nomenclatura alterada em 2007 para Função de Apoio Técnico/Operacional – FAT/FAO, conforme consta da CI/DCAR/DAREC-071100/2007-CIRCULAR (em anexo).</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A FAT/FAO, por sua vez, regulada pelo Módulo 55 do MANUAL DE PESSOAL – MANPES da ECT, foi revogada a partir de 01/05/2012, conforme consta do Mem.03019/2012-GCRP/CEGEP-Circular.</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Outrossim, também o Módulo 36 do MANPES, que instituía e regulamentava o instituto da Incorporação por Tempo de Função – ITF no âmbito desta empresa foi revogado em 15/05/2014, nos termos do Mem. Circular 00676-VIGEP em anexo.</w:t>
      </w:r>
    </w:p>
    <w:p>
      <w:pPr>
        <w:pStyle w:val="Textojustificadorecuoprimeiralinha"/>
        <w:spacing w:lineRule="auto" w:line="360" w:before="0" w:after="0"/>
        <w:ind w:left="0" w:right="0" w:firstLine="1701"/>
        <w:jc w:val="both"/>
        <w:rPr/>
      </w:pPr>
      <w:r>
        <w:rPr>
          <w:rStyle w:val="Fontepargpadro"/>
          <w:rFonts w:cs="Arial Narrow" w:ascii="Arial" w:hAnsi="Arial"/>
          <w:color w:val="008000"/>
          <w:sz w:val="22"/>
          <w:szCs w:val="22"/>
        </w:rPr>
        <w:t xml:space="preserve">Ora, tendo referidos regulamentos sido excluídos do mundo jurídico, inexiste, </w:t>
      </w:r>
      <w:r>
        <w:rPr>
          <w:rStyle w:val="Nfase"/>
          <w:rFonts w:cs="Arial Narrow" w:ascii="Arial" w:hAnsi="Arial"/>
          <w:color w:val="008000"/>
          <w:sz w:val="22"/>
          <w:szCs w:val="22"/>
        </w:rPr>
        <w:t>data venia</w:t>
      </w:r>
      <w:r>
        <w:rPr>
          <w:rStyle w:val="Fontepargpadro"/>
          <w:rFonts w:cs="Arial Narrow" w:ascii="Arial" w:hAnsi="Arial"/>
          <w:color w:val="008000"/>
          <w:sz w:val="22"/>
          <w:szCs w:val="22"/>
        </w:rPr>
        <w:t>, fundamento jurídico que dê suporte à pretensão autoral. Cabe destacar, neste ponto, que as normas em questão não aderiram ao contrato de trabalho da parte Autora, sendo que a revogação desses regulamentos constituiu legítimo exercício do poder regulamentar da ECT emanante do poder diretivo que a ordem jurídica reconhece ao empregador, de fato e por lei (cf. art. 456, parágrafo único da CLT).</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Se a intenção dos já mencionados Módulos 55 e 36 do Manual de Pessoal da ECT foi regulamentar dentro da empresa a aplicação do entendimento consubstanciado na Súmula 372, I, do C. TST acerca do instituto da incorporação da gratificação de função, e este, como já visto alhures, não mais subsiste no ordenamento vigente face o advento do §2º do art. 468 da CLT, não há razão lógica ou jurídica para que se imponha à Ré obrigação não prevista em lei ou em qualquer ato normativo interno, sob pena de afronta ao princípio da legalidade (art. 5º, II, e art. 37, caput, ambos da CF) e da repartição dos poderes (art. 2º da CF).</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Especificamente quanto à aplicabilidade do princípio da legalidade à Reclamada, vale novamente relembrar que a natureza jurídica da ECT (empresa pública detentora do monopólio postal e, por isso, equiparada à Fazenda Pública) impõe-lhe o dever-poder de somente agir quando autorizada expressamente por lei (em sentido lato).</w:t>
      </w:r>
    </w:p>
    <w:p>
      <w:pPr>
        <w:pStyle w:val="Textojustificadorecuoprimeiralinha"/>
        <w:spacing w:lineRule="auto" w:line="360" w:before="0" w:after="0"/>
        <w:ind w:left="0" w:right="0" w:firstLine="1701"/>
        <w:jc w:val="both"/>
        <w:rPr/>
      </w:pPr>
      <w:r>
        <w:rPr>
          <w:rStyle w:val="Fontepargpadro"/>
          <w:rFonts w:cs="Arial Narrow" w:ascii="Arial" w:hAnsi="Arial"/>
          <w:color w:val="008000"/>
          <w:sz w:val="22"/>
          <w:szCs w:val="22"/>
        </w:rPr>
        <w:t xml:space="preserve">Se não há regramento autorizando a Reclamada a proceder a incorporação nos termos em que requerido pelo Autor face à revogação desde 2012 do Módulo 55 do Manual de Pessoal da ECT, </w:t>
      </w:r>
      <w:r>
        <w:rPr>
          <w:rStyle w:val="Nfaseforte"/>
          <w:rFonts w:cs="Arial Narrow" w:ascii="Arial" w:hAnsi="Arial"/>
          <w:color w:val="008000"/>
          <w:sz w:val="22"/>
          <w:szCs w:val="22"/>
          <w:u w:val="single"/>
        </w:rPr>
        <w:t>e a própria lei proíbe a incorporação de gratificações de função (art. 468, §2º, da CLT)</w:t>
      </w:r>
      <w:r>
        <w:rPr>
          <w:rStyle w:val="Fontepargpadro"/>
          <w:rFonts w:cs="Arial Narrow" w:ascii="Arial" w:hAnsi="Arial"/>
          <w:color w:val="008000"/>
          <w:sz w:val="22"/>
          <w:szCs w:val="22"/>
        </w:rPr>
        <w:t>, não há dúvidas de que qualquer imposição nesse sentido configuraria violação dos supramencionados postulados.</w:t>
      </w:r>
    </w:p>
    <w:p>
      <w:pPr>
        <w:pStyle w:val="Textojustificadorecuoprimeiralinha"/>
        <w:spacing w:lineRule="auto" w:line="360" w:before="0" w:after="0"/>
        <w:ind w:left="0" w:right="0" w:firstLine="1701"/>
        <w:jc w:val="both"/>
        <w:rPr/>
      </w:pPr>
      <w:r>
        <w:rPr>
          <w:rStyle w:val="Fontepargpadro"/>
          <w:rFonts w:cs="Arial Narrow" w:ascii="Arial" w:hAnsi="Arial"/>
          <w:color w:val="008000"/>
          <w:sz w:val="22"/>
          <w:szCs w:val="22"/>
        </w:rPr>
        <w:t xml:space="preserve">De todo modo, cabe destacar que quando da revogação do Módulo 55 do MANPES em 30/04/2012, o Reclamante não havia preenchido os requisitos para ser agraciado com a Função de Apoio Técnico/Operacional – FAT/FAO, pois, nessa data, não havia sido dispensado da função por iniciativa da empresa, requisito essencial para que fosse investido nessa função, nos termos do que dispunha o próprio Regulamento, </w:t>
      </w:r>
      <w:r>
        <w:rPr>
          <w:rStyle w:val="Nfase"/>
          <w:rFonts w:cs="Arial Narrow" w:ascii="Arial" w:hAnsi="Arial"/>
          <w:color w:val="008000"/>
          <w:sz w:val="22"/>
          <w:szCs w:val="22"/>
        </w:rPr>
        <w:t>verbis</w:t>
      </w:r>
      <w:r>
        <w:rPr>
          <w:rStyle w:val="Fontepargpadro"/>
          <w:rFonts w:cs="Arial Narrow" w:ascii="Arial" w:hAnsi="Arial"/>
          <w:color w:val="008000"/>
          <w:sz w:val="22"/>
          <w:szCs w:val="22"/>
        </w:rPr>
        <w:t>:</w:t>
      </w:r>
    </w:p>
    <w:p>
      <w:pPr>
        <w:pStyle w:val="Citacao"/>
        <w:tabs>
          <w:tab w:val="clear" w:pos="420"/>
        </w:tabs>
        <w:spacing w:lineRule="auto" w:line="360" w:before="0" w:after="0"/>
        <w:ind w:left="1701" w:right="0" w:hanging="0"/>
        <w:jc w:val="both"/>
        <w:rPr>
          <w:rFonts w:ascii="Arial" w:hAnsi="Arial" w:cs="Arial Narrow"/>
          <w:color w:val="008000"/>
          <w:sz w:val="22"/>
          <w:szCs w:val="22"/>
        </w:rPr>
      </w:pPr>
      <w:r>
        <w:rPr>
          <w:rFonts w:cs="Arial Narrow" w:ascii="Arial" w:hAnsi="Arial"/>
          <w:color w:val="008000"/>
          <w:sz w:val="22"/>
          <w:szCs w:val="22"/>
        </w:rPr>
      </w:r>
    </w:p>
    <w:p>
      <w:pPr>
        <w:pStyle w:val="Citacao"/>
        <w:tabs>
          <w:tab w:val="clear" w:pos="420"/>
        </w:tabs>
        <w:spacing w:lineRule="auto" w:line="240" w:before="0" w:after="0"/>
        <w:ind w:left="1701" w:right="0" w:hanging="0"/>
        <w:jc w:val="both"/>
        <w:rPr>
          <w:rFonts w:ascii="Arial" w:hAnsi="Arial" w:cs="Arial Narrow"/>
          <w:color w:val="008000"/>
          <w:sz w:val="22"/>
          <w:szCs w:val="22"/>
        </w:rPr>
      </w:pPr>
      <w:r>
        <w:rPr>
          <w:rFonts w:cs="Arial Narrow" w:ascii="Arial" w:hAnsi="Arial"/>
          <w:color w:val="008000"/>
          <w:sz w:val="22"/>
          <w:szCs w:val="22"/>
        </w:rPr>
        <w:t>MÓDULO 55: FUNÇÃO DE APOIO TÉCNICO E DE APOIO OPERACIONAL – FAT/FAO CAPÍTULO 2: CRITÉRIOS PARA DESIGNAÇÃO DA FUNÇÃO DE APOIO TÉCNICO E DE APOIO OPERACIONAL.</w:t>
      </w:r>
    </w:p>
    <w:p>
      <w:pPr>
        <w:pStyle w:val="Citacao"/>
        <w:tabs>
          <w:tab w:val="clear" w:pos="420"/>
        </w:tabs>
        <w:spacing w:lineRule="auto" w:line="240" w:before="0" w:after="0"/>
        <w:ind w:left="1701" w:right="0" w:hanging="0"/>
        <w:jc w:val="both"/>
        <w:rPr>
          <w:rFonts w:ascii="Arial" w:hAnsi="Arial" w:cs="Arial Narrow"/>
          <w:color w:val="008000"/>
          <w:sz w:val="22"/>
          <w:szCs w:val="22"/>
        </w:rPr>
      </w:pPr>
      <w:r>
        <w:rPr>
          <w:rFonts w:cs="Arial Narrow" w:ascii="Arial" w:hAnsi="Arial"/>
          <w:color w:val="008000"/>
          <w:sz w:val="22"/>
          <w:szCs w:val="22"/>
        </w:rPr>
        <w:t>1. CRITÉRIOS PARA DESIGNAÇÃO</w:t>
      </w:r>
    </w:p>
    <w:p>
      <w:pPr>
        <w:pStyle w:val="Citacao"/>
        <w:tabs>
          <w:tab w:val="clear" w:pos="420"/>
        </w:tabs>
        <w:spacing w:lineRule="auto" w:line="240" w:before="0" w:after="0"/>
        <w:ind w:left="1701" w:right="0" w:hanging="0"/>
        <w:jc w:val="both"/>
        <w:rPr>
          <w:rFonts w:ascii="Arial" w:hAnsi="Arial" w:cs="Arial Narrow"/>
          <w:color w:val="008000"/>
          <w:sz w:val="22"/>
          <w:szCs w:val="22"/>
        </w:rPr>
      </w:pPr>
      <w:r>
        <w:rPr>
          <w:rFonts w:cs="Arial Narrow" w:ascii="Arial" w:hAnsi="Arial"/>
          <w:color w:val="008000"/>
          <w:sz w:val="22"/>
          <w:szCs w:val="22"/>
        </w:rPr>
        <w:t>1.1. Para ser designado para a função de Apoio Técnico ou de Apoio Operacional o empregado deverá atender, cumulativamente, aos seguintes requisitos:</w:t>
      </w:r>
    </w:p>
    <w:p>
      <w:pPr>
        <w:pStyle w:val="Citacao"/>
        <w:tabs>
          <w:tab w:val="clear" w:pos="420"/>
        </w:tabs>
        <w:spacing w:lineRule="auto" w:line="240" w:before="0" w:after="0"/>
        <w:ind w:left="1701" w:right="0" w:hanging="0"/>
        <w:jc w:val="both"/>
        <w:rPr>
          <w:rFonts w:ascii="Arial" w:hAnsi="Arial" w:cs="Arial Narrow"/>
          <w:color w:val="008000"/>
          <w:sz w:val="22"/>
          <w:szCs w:val="22"/>
        </w:rPr>
      </w:pPr>
      <w:r>
        <w:rPr>
          <w:rFonts w:cs="Arial Narrow" w:ascii="Arial" w:hAnsi="Arial"/>
          <w:color w:val="008000"/>
          <w:sz w:val="22"/>
          <w:szCs w:val="22"/>
        </w:rPr>
        <w:t>(...)</w:t>
      </w:r>
    </w:p>
    <w:p>
      <w:pPr>
        <w:pStyle w:val="Citacao"/>
        <w:tabs>
          <w:tab w:val="clear" w:pos="420"/>
        </w:tabs>
        <w:spacing w:lineRule="auto" w:line="240" w:before="0" w:after="0"/>
        <w:ind w:left="1701" w:right="0" w:hanging="0"/>
        <w:jc w:val="both"/>
        <w:rPr>
          <w:rFonts w:ascii="Arial" w:hAnsi="Arial" w:cs="Arial Narrow"/>
          <w:color w:val="008000"/>
          <w:sz w:val="22"/>
          <w:szCs w:val="22"/>
        </w:rPr>
      </w:pPr>
      <w:r>
        <w:rPr>
          <w:rFonts w:cs="Arial Narrow" w:ascii="Arial" w:hAnsi="Arial"/>
          <w:color w:val="008000"/>
          <w:sz w:val="22"/>
          <w:szCs w:val="22"/>
        </w:rPr>
        <w:t>b) ter sido dispensado ou exonerado da função que exerce por iniciativa da Empresa a partir de 06.04.2005, inclusive;” </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No mesmo sentido, o subitem 1.1.,”b”, do revogado Módulo 36, Capítulo 2, do Manual de Pessoal da ECT, verbis:</w:t>
      </w:r>
    </w:p>
    <w:p>
      <w:pPr>
        <w:pStyle w:val="Citacao"/>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r>
    </w:p>
    <w:p>
      <w:pPr>
        <w:pStyle w:val="Citacao"/>
        <w:tabs>
          <w:tab w:val="clear" w:pos="420"/>
        </w:tabs>
        <w:spacing w:lineRule="auto" w:line="240" w:before="0" w:after="0"/>
        <w:ind w:left="1701" w:right="0" w:hanging="0"/>
        <w:jc w:val="both"/>
        <w:rPr>
          <w:rFonts w:ascii="Arial" w:hAnsi="Arial" w:cs="Arial Narrow"/>
          <w:color w:val="008000"/>
          <w:sz w:val="22"/>
          <w:szCs w:val="22"/>
        </w:rPr>
      </w:pPr>
      <w:r>
        <w:rPr>
          <w:rFonts w:cs="Arial Narrow" w:ascii="Arial" w:hAnsi="Arial"/>
          <w:color w:val="008000"/>
          <w:sz w:val="22"/>
          <w:szCs w:val="22"/>
        </w:rPr>
        <w:t>1 CRITÉRIOS PARA INCORPORAÇAO ADMINISTRATIVA POR TEMPO DE FUNÇÃO - ITF</w:t>
      </w:r>
    </w:p>
    <w:p>
      <w:pPr>
        <w:pStyle w:val="Citacao"/>
        <w:tabs>
          <w:tab w:val="clear" w:pos="420"/>
        </w:tabs>
        <w:spacing w:lineRule="auto" w:line="240" w:before="0" w:after="0"/>
        <w:ind w:left="1701" w:right="0" w:hanging="0"/>
        <w:jc w:val="both"/>
        <w:rPr>
          <w:rFonts w:ascii="Arial" w:hAnsi="Arial" w:cs="Arial Narrow"/>
          <w:color w:val="008000"/>
          <w:sz w:val="22"/>
          <w:szCs w:val="22"/>
        </w:rPr>
      </w:pPr>
      <w:r>
        <w:rPr>
          <w:rFonts w:cs="Arial Narrow" w:ascii="Arial" w:hAnsi="Arial"/>
          <w:color w:val="008000"/>
          <w:sz w:val="22"/>
          <w:szCs w:val="22"/>
        </w:rPr>
        <w:t>1.1 Terá direito à incorporação administrativa por tempo de função, o empregado que atender os seguintes critérios:</w:t>
      </w:r>
    </w:p>
    <w:p>
      <w:pPr>
        <w:pStyle w:val="Citacao"/>
        <w:tabs>
          <w:tab w:val="clear" w:pos="420"/>
        </w:tabs>
        <w:spacing w:lineRule="auto" w:line="240" w:before="0" w:after="0"/>
        <w:ind w:left="1701" w:right="0" w:hanging="0"/>
        <w:jc w:val="both"/>
        <w:rPr>
          <w:rFonts w:ascii="Arial" w:hAnsi="Arial" w:cs="Arial Narrow"/>
          <w:color w:val="008000"/>
          <w:sz w:val="22"/>
          <w:szCs w:val="22"/>
        </w:rPr>
      </w:pPr>
      <w:r>
        <w:rPr>
          <w:rFonts w:cs="Arial Narrow" w:ascii="Arial" w:hAnsi="Arial"/>
          <w:color w:val="008000"/>
          <w:sz w:val="22"/>
          <w:szCs w:val="22"/>
        </w:rPr>
        <w:t>(...)</w:t>
      </w:r>
    </w:p>
    <w:p>
      <w:pPr>
        <w:pStyle w:val="Citacao"/>
        <w:tabs>
          <w:tab w:val="clear" w:pos="420"/>
        </w:tabs>
        <w:spacing w:lineRule="auto" w:line="240" w:before="0" w:after="0"/>
        <w:ind w:left="1701" w:right="0" w:hanging="0"/>
        <w:jc w:val="both"/>
        <w:rPr>
          <w:rFonts w:ascii="Arial" w:hAnsi="Arial" w:cs="Arial Narrow"/>
          <w:color w:val="008000"/>
          <w:sz w:val="22"/>
          <w:szCs w:val="22"/>
        </w:rPr>
      </w:pPr>
      <w:r>
        <w:rPr>
          <w:rFonts w:cs="Arial Narrow" w:ascii="Arial" w:hAnsi="Arial"/>
          <w:color w:val="008000"/>
          <w:sz w:val="22"/>
          <w:szCs w:val="22"/>
        </w:rPr>
        <w:t>b) ter sido dispensado ou exonerado da função por iniciativa da empresa.</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Portanto, não há falar, no caso concreto, em direito adquirido à concessão dos institutos regulados pelos supramencionados normativos internos. Aliás, nesse ponto, faz-se mister ressaltar não ser o caso de aplicação ao Reclamante do entendimento exarado na Súmula nº 51, I, do C. TST, verbis:</w:t>
      </w:r>
    </w:p>
    <w:p>
      <w:pPr>
        <w:pStyle w:val="Citacao"/>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r>
    </w:p>
    <w:p>
      <w:pPr>
        <w:pStyle w:val="Citacao"/>
        <w:tabs>
          <w:tab w:val="clear" w:pos="420"/>
        </w:tabs>
        <w:spacing w:lineRule="auto" w:line="240" w:before="0" w:after="0"/>
        <w:ind w:left="1701" w:right="0" w:hanging="0"/>
        <w:jc w:val="both"/>
        <w:rPr>
          <w:rFonts w:ascii="Arial" w:hAnsi="Arial" w:cs="Arial Narrow"/>
          <w:color w:val="008000"/>
          <w:sz w:val="22"/>
          <w:szCs w:val="22"/>
        </w:rPr>
      </w:pPr>
      <w:r>
        <w:rPr>
          <w:rFonts w:cs="Arial Narrow" w:ascii="Arial" w:hAnsi="Arial"/>
          <w:color w:val="008000"/>
          <w:sz w:val="22"/>
          <w:szCs w:val="22"/>
        </w:rPr>
        <w:t>“</w:t>
      </w:r>
      <w:r>
        <w:rPr>
          <w:rFonts w:cs="Arial Narrow" w:ascii="Arial" w:hAnsi="Arial"/>
          <w:color w:val="008000"/>
          <w:sz w:val="22"/>
          <w:szCs w:val="22"/>
        </w:rPr>
        <w:t>Súmula 51, I - As cláusulas regulamentares, que revoguem ou alterem vantagens deferidas anteriormente, só atingirão os trabalhadores admitidos após a revogação ou alteração do regulamento.”</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Veja-se que não havia, na hipótese, vantagem deferida ao Reclamante nos termos da CIRCULAR/DIREC-682/2005, ou dos Módulo 55 ou 36 do Manual de Pessoal da ECT, pois o empregado, quando da revogação dos referidos normativos internos, possuía apenas a expectativa ao deferimento dos institutos previstos, e não às vantagens em si.</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Dessa forma, e tendo em vista ainda que não há direito adquirido a função gratificada nem a regime jurídico, improcede o pedido de incorporação, nos termos em que pleiteado.</w:t>
      </w:r>
    </w:p>
    <w:p>
      <w:pPr>
        <w:pStyle w:val="Textojustificado"/>
        <w:spacing w:lineRule="auto" w:line="360" w:before="0" w:after="0"/>
        <w:ind w:left="0" w:right="0" w:firstLine="1701"/>
        <w:jc w:val="both"/>
        <w:rPr>
          <w:rFonts w:ascii="Arial" w:hAnsi="Arial" w:cs="Arial Narrow"/>
          <w:sz w:val="22"/>
          <w:szCs w:val="22"/>
          <w:u w:val="single"/>
        </w:rPr>
      </w:pPr>
      <w:r>
        <w:rPr>
          <w:rFonts w:cs="Arial Narrow" w:ascii="Arial" w:hAnsi="Arial"/>
          <w:sz w:val="22"/>
          <w:szCs w:val="22"/>
          <w:u w:val="single"/>
        </w:rPr>
      </w:r>
    </w:p>
    <w:p>
      <w:pPr>
        <w:pStyle w:val="Textojustificado"/>
        <w:tabs>
          <w:tab w:val="clear" w:pos="420"/>
        </w:tabs>
        <w:spacing w:lineRule="auto" w:line="360" w:before="0" w:after="0"/>
        <w:ind w:left="1701" w:right="0" w:hanging="0"/>
        <w:jc w:val="both"/>
        <w:rPr/>
      </w:pPr>
      <w:r>
        <w:rPr>
          <w:rStyle w:val="Nfaseforte"/>
          <w:rFonts w:cs="Arial Narrow" w:ascii="Arial" w:hAnsi="Arial"/>
          <w:color w:val="0000FF"/>
          <w:sz w:val="22"/>
          <w:szCs w:val="22"/>
          <w:u w:val="single"/>
        </w:rPr>
        <w:t>2.1. NORMAS REVOGADAS – INAPLICABILIDADE DO ENTENDIMENTO CONSUBSTANCIADO NA SÚMULA 51 DO C. TST AO CASO. - SE HOUVER PREENCHIDO OS REQUISITOS TEMPORAIS DA FAT MAS NÃO DA ITF ANTES DA REVOGAÇÃO</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De início, cabe destacar que, consoante reconhecido pela própria parte autora, a CIRCULAR/DIREC-682/2005, de 14 de abril de 2005, encontra-se revogada desde muito antes da alegada dispensa de função por iniciativa da empresa.</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No caso, a Função de Apoio à Gestão – FAG, função gratificada mencionada na CI/DIREC – 682/2005-CIRCULAR, teve sua nomenclatura alterada em 2007 para Função de Apoio Técnico/Operacional – FAT/FAO, conforme consta da CI/DCAR/DAREC-071100/2007-CIRCULAR (em anexo).</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A FAT/FAO, por sua vez, regulada pelo Módulo 55 do MANUAL DE PESSOAL – MANPES da ECT, foi revogada a partir de 01/05/2012, conforme consta do Mem.03019/2012-GCRP/CEGEP-Circular.</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Outrossim, também o Módulo 36 do MANPES, que instituía e regulamentava o instituto da Incorporação por Tempo de Função – ITF no âmbito desta empresa foi revogado em 15/05/2014, nos termos do Mem. Circular 00676-VIGEP em anexo.</w:t>
      </w:r>
    </w:p>
    <w:p>
      <w:pPr>
        <w:pStyle w:val="Textojustificadorecuoprimeiralinha"/>
        <w:spacing w:lineRule="auto" w:line="360" w:before="0" w:after="0"/>
        <w:ind w:left="0" w:right="0" w:firstLine="1701"/>
        <w:jc w:val="both"/>
        <w:rPr/>
      </w:pPr>
      <w:r>
        <w:rPr>
          <w:rStyle w:val="Fontepargpadro"/>
          <w:rFonts w:cs="Arial Narrow" w:ascii="Arial" w:hAnsi="Arial"/>
          <w:color w:val="0000FF"/>
          <w:sz w:val="22"/>
          <w:szCs w:val="22"/>
        </w:rPr>
        <w:t xml:space="preserve">Ora, tendo referidos regulamentos sido excluídos do mundo jurídico, inexiste, </w:t>
      </w:r>
      <w:r>
        <w:rPr>
          <w:rStyle w:val="Nfase"/>
          <w:rFonts w:cs="Arial Narrow" w:ascii="Arial" w:hAnsi="Arial"/>
          <w:color w:val="0000FF"/>
          <w:sz w:val="22"/>
          <w:szCs w:val="22"/>
        </w:rPr>
        <w:t>data venia</w:t>
      </w:r>
      <w:r>
        <w:rPr>
          <w:rStyle w:val="Fontepargpadro"/>
          <w:rFonts w:cs="Arial Narrow" w:ascii="Arial" w:hAnsi="Arial"/>
          <w:color w:val="0000FF"/>
          <w:sz w:val="22"/>
          <w:szCs w:val="22"/>
        </w:rPr>
        <w:t>, fundamento jurídico que dê suporte à pretensão autoral. Cabe destacar, neste ponto, que as normas em questão não aderiram ao contrato de trabalho da parte Autora, sendo que a revogação desses regulamentos constituiu legítimo exercício do poder regulamentar da ECT emanante do poder diretivo que a ordem jurídica reconhece ao empregador, de fato e por lei (cf. art. 456, parágrafo único da CLT).</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Se a intenção dos já mencionados Módulos 55 e 36 do Manual de Pessoal da ECT foi regulamentar dentro da empresa a aplicação do entendimento consubstanciado na Súmula 372, I, do C. TST acerca do instituto da incorporação da gratificação de função, e este, como já visto alhures, não mais subsiste no ordenamento vigente face o advento do §2º do art. 468 da CLT, não há razão lógica ou jurídica para que se imponha à Ré obrigação não prevista em lei ou em qualquer ato normativo interno, sob pena de afronta ao princípio da legalidade (art. 5º, II, e art. 37, caput, ambos da CF) e da repartição dos poderes (art. 2º da CF).</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Especificamente quanto à aplicabilidade do princípio da legalidade à Reclamada, vale novamente relembrar que a natureza jurídica da ECT (empresa pública detentora do monopólio postal e, por isso, equiparada à Fazenda Pública) impõe-lhe o dever-poder de somente agir quando autorizada expressamente por lei (em sentido lato).</w:t>
      </w:r>
    </w:p>
    <w:p>
      <w:pPr>
        <w:pStyle w:val="Textojustificadorecuoprimeiralinha"/>
        <w:spacing w:lineRule="auto" w:line="360" w:before="0" w:after="0"/>
        <w:ind w:left="0" w:right="0" w:firstLine="1701"/>
        <w:jc w:val="both"/>
        <w:rPr/>
      </w:pPr>
      <w:r>
        <w:rPr>
          <w:rStyle w:val="Fontepargpadro"/>
          <w:rFonts w:cs="Arial Narrow" w:ascii="Arial" w:hAnsi="Arial"/>
          <w:color w:val="0000FF"/>
          <w:sz w:val="22"/>
          <w:szCs w:val="22"/>
        </w:rPr>
        <w:t xml:space="preserve">Se não há regramento autorizando a Reclamada a proceder a incorporação nos termos em que requerido pelo Autor face à revogação desde 2012 do Módulo 55 do Manual de Pessoal da ECT, </w:t>
      </w:r>
      <w:r>
        <w:rPr>
          <w:rStyle w:val="Nfaseforte"/>
          <w:rFonts w:cs="Arial Narrow" w:ascii="Arial" w:hAnsi="Arial"/>
          <w:color w:val="0000FF"/>
          <w:sz w:val="22"/>
          <w:szCs w:val="22"/>
          <w:u w:val="single"/>
        </w:rPr>
        <w:t>e a própria lei proíbe a incorporação de gratificações de função (art. 468, §2º, da CLT)</w:t>
      </w:r>
      <w:r>
        <w:rPr>
          <w:rStyle w:val="Fontepargpadro"/>
          <w:rFonts w:cs="Arial Narrow" w:ascii="Arial" w:hAnsi="Arial"/>
          <w:color w:val="0000FF"/>
          <w:sz w:val="22"/>
          <w:szCs w:val="22"/>
        </w:rPr>
        <w:t>, não há dúvidas de que qualquer imposição nesse sentido configuraria violação dos supramencionados postulados.</w:t>
      </w:r>
    </w:p>
    <w:p>
      <w:pPr>
        <w:pStyle w:val="Textojustificadorecuoprimeiralinha"/>
        <w:spacing w:lineRule="auto" w:line="360" w:before="0" w:after="0"/>
        <w:ind w:left="0" w:right="0" w:firstLine="1701"/>
        <w:jc w:val="both"/>
        <w:rPr/>
      </w:pPr>
      <w:r>
        <w:rPr>
          <w:rStyle w:val="Fontepargpadro"/>
          <w:rFonts w:cs="Arial Narrow" w:ascii="Arial" w:hAnsi="Arial"/>
          <w:color w:val="0000FF"/>
          <w:sz w:val="22"/>
          <w:szCs w:val="22"/>
        </w:rPr>
        <w:t xml:space="preserve">De todo modo, cabe destacar que quando da revogação do Módulo 36 do MANPES em abril de 2014, o Reclamante não havia preenchido os requisitos para ser agraciado com a ITF, pois, nessa data, </w:t>
      </w:r>
      <w:r>
        <w:rPr>
          <w:rStyle w:val="Nfaseforte"/>
          <w:rFonts w:cs="Arial Narrow" w:ascii="Arial" w:hAnsi="Arial"/>
          <w:color w:val="0000FF"/>
          <w:sz w:val="22"/>
          <w:szCs w:val="22"/>
          <w:u w:val="single"/>
        </w:rPr>
        <w:t>NÃO POSSUÍA DEZ ANOS DE EXERCÍCIO DE FUNÇÃO GRATIFICADA</w:t>
      </w:r>
      <w:r>
        <w:rPr>
          <w:rStyle w:val="Fontepargpadro"/>
          <w:rFonts w:cs="Arial Narrow" w:ascii="Arial" w:hAnsi="Arial"/>
          <w:color w:val="0000FF"/>
          <w:sz w:val="22"/>
          <w:szCs w:val="22"/>
        </w:rPr>
        <w:t xml:space="preserve">, requisito essencial para que fosse agraciado com esse instituto, nos termos do que dispunha o próprio Regulamento, </w:t>
      </w:r>
      <w:r>
        <w:rPr>
          <w:rStyle w:val="Nfase"/>
          <w:rFonts w:cs="Arial Narrow" w:ascii="Arial" w:hAnsi="Arial"/>
          <w:color w:val="0000FF"/>
          <w:sz w:val="22"/>
          <w:szCs w:val="22"/>
        </w:rPr>
        <w:t>verbis</w:t>
      </w:r>
      <w:r>
        <w:rPr>
          <w:rStyle w:val="Fontepargpadro"/>
          <w:rFonts w:cs="Arial Narrow" w:ascii="Arial" w:hAnsi="Arial"/>
          <w:color w:val="0000FF"/>
          <w:sz w:val="22"/>
          <w:szCs w:val="22"/>
        </w:rPr>
        <w:t>:</w:t>
      </w:r>
    </w:p>
    <w:p>
      <w:pPr>
        <w:pStyle w:val="Citacao"/>
        <w:tabs>
          <w:tab w:val="clear" w:pos="420"/>
        </w:tabs>
        <w:spacing w:lineRule="auto" w:line="360" w:before="0" w:after="0"/>
        <w:ind w:left="1701" w:right="0" w:hanging="0"/>
        <w:jc w:val="both"/>
        <w:rPr>
          <w:rFonts w:ascii="Arial" w:hAnsi="Arial" w:cs="Arial Narrow"/>
          <w:color w:val="0000FF"/>
          <w:sz w:val="22"/>
          <w:szCs w:val="22"/>
        </w:rPr>
      </w:pPr>
      <w:r>
        <w:rPr>
          <w:rFonts w:cs="Arial Narrow" w:ascii="Arial" w:hAnsi="Arial"/>
          <w:color w:val="0000FF"/>
          <w:sz w:val="22"/>
          <w:szCs w:val="22"/>
        </w:rPr>
      </w:r>
    </w:p>
    <w:p>
      <w:pPr>
        <w:pStyle w:val="Citacao"/>
        <w:tabs>
          <w:tab w:val="clear" w:pos="420"/>
        </w:tabs>
        <w:spacing w:lineRule="auto" w:line="240" w:before="0" w:after="0"/>
        <w:ind w:left="1701" w:right="0" w:hanging="0"/>
        <w:jc w:val="both"/>
        <w:rPr>
          <w:rFonts w:ascii="Arial" w:hAnsi="Arial" w:cs="Arial Narrow"/>
          <w:color w:val="0000FF"/>
          <w:sz w:val="22"/>
          <w:szCs w:val="22"/>
        </w:rPr>
      </w:pPr>
      <w:r>
        <w:rPr>
          <w:rFonts w:cs="Arial Narrow" w:ascii="Arial" w:hAnsi="Arial"/>
          <w:color w:val="0000FF"/>
          <w:sz w:val="22"/>
          <w:szCs w:val="22"/>
        </w:rPr>
        <w:t>1 CRITÉRIOS PARA INCORPORAÇAO ADMINISTRATIVA POR TEMPO DE FUNÇÃO - ITF</w:t>
      </w:r>
    </w:p>
    <w:p>
      <w:pPr>
        <w:pStyle w:val="Citacao"/>
        <w:tabs>
          <w:tab w:val="clear" w:pos="420"/>
        </w:tabs>
        <w:spacing w:lineRule="auto" w:line="240" w:before="0" w:after="0"/>
        <w:ind w:left="1701" w:right="0" w:hanging="0"/>
        <w:jc w:val="both"/>
        <w:rPr>
          <w:rFonts w:ascii="Arial" w:hAnsi="Arial" w:cs="Arial Narrow"/>
          <w:color w:val="0000FF"/>
          <w:sz w:val="22"/>
          <w:szCs w:val="22"/>
        </w:rPr>
      </w:pPr>
      <w:r>
        <w:rPr>
          <w:rFonts w:cs="Arial Narrow" w:ascii="Arial" w:hAnsi="Arial"/>
          <w:color w:val="0000FF"/>
          <w:sz w:val="22"/>
          <w:szCs w:val="22"/>
        </w:rPr>
        <w:t>1.1 Terá direito à incorporação administrativa por tempo de função, o empregado que atender os seguintes critérios:</w:t>
      </w:r>
    </w:p>
    <w:p>
      <w:pPr>
        <w:pStyle w:val="Citacao"/>
        <w:tabs>
          <w:tab w:val="clear" w:pos="420"/>
        </w:tabs>
        <w:spacing w:lineRule="auto" w:line="240" w:before="0" w:after="0"/>
        <w:ind w:left="1701" w:right="0" w:hanging="0"/>
        <w:jc w:val="both"/>
        <w:rPr>
          <w:rFonts w:ascii="Arial" w:hAnsi="Arial" w:cs="Arial Narrow"/>
          <w:color w:val="0000FF"/>
          <w:sz w:val="22"/>
          <w:szCs w:val="22"/>
        </w:rPr>
      </w:pPr>
      <w:r>
        <w:rPr>
          <w:rFonts w:cs="Arial Narrow" w:ascii="Arial" w:hAnsi="Arial"/>
          <w:color w:val="0000FF"/>
          <w:sz w:val="22"/>
          <w:szCs w:val="22"/>
        </w:rPr>
        <w:t>a) possuir no mínimo 10 anos de exercício em função gerencial, técnica, de atividade especial, FAT/FAO, ou dirigente da ECT, contados a partir da data da dispensa da função;</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Textojustificadorecuoprimeiralinha"/>
        <w:spacing w:lineRule="auto" w:line="360" w:before="0" w:after="0"/>
        <w:ind w:left="0" w:right="0" w:firstLine="1701"/>
        <w:jc w:val="both"/>
        <w:rPr/>
      </w:pPr>
      <w:r>
        <w:rPr>
          <w:rStyle w:val="Fontepargpadro"/>
          <w:rFonts w:cs="Arial Narrow" w:ascii="Arial" w:hAnsi="Arial"/>
          <w:color w:val="0000FF"/>
          <w:sz w:val="22"/>
          <w:szCs w:val="22"/>
        </w:rPr>
        <w:t xml:space="preserve">Por sua vez, quando da revogação do Módulo 36 do MANPES em 30/04/2012, o Reclamante também não havia preenchido os requisitos para ser agraciado com a Função de Apoio Técnico/Operacional – FAT/FAO, pois, nessa data, não havia sido dispensado da função por iniciativa da empresa, requisito essencial para que fosse investido nessa função, nos termos do que dispunha o próprio Regulamento, </w:t>
      </w:r>
      <w:r>
        <w:rPr>
          <w:rStyle w:val="Nfase"/>
          <w:rFonts w:cs="Arial Narrow" w:ascii="Arial" w:hAnsi="Arial"/>
          <w:color w:val="0000FF"/>
          <w:sz w:val="22"/>
          <w:szCs w:val="22"/>
        </w:rPr>
        <w:t>verbis</w:t>
      </w:r>
      <w:r>
        <w:rPr>
          <w:rStyle w:val="Fontepargpadro"/>
          <w:rFonts w:cs="Arial Narrow" w:ascii="Arial" w:hAnsi="Arial"/>
          <w:color w:val="0000FF"/>
          <w:sz w:val="22"/>
          <w:szCs w:val="22"/>
        </w:rPr>
        <w:t>:</w:t>
      </w:r>
    </w:p>
    <w:p>
      <w:pPr>
        <w:pStyle w:val="Citacao"/>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Citacao"/>
        <w:tabs>
          <w:tab w:val="clear" w:pos="420"/>
        </w:tabs>
        <w:spacing w:lineRule="auto" w:line="240" w:before="0" w:after="0"/>
        <w:ind w:left="1701" w:right="0" w:hanging="0"/>
        <w:jc w:val="both"/>
        <w:rPr>
          <w:rFonts w:ascii="Arial" w:hAnsi="Arial" w:cs="Arial Narrow"/>
          <w:color w:val="0000FF"/>
          <w:sz w:val="22"/>
          <w:szCs w:val="22"/>
        </w:rPr>
      </w:pPr>
      <w:r>
        <w:rPr>
          <w:rFonts w:cs="Arial Narrow" w:ascii="Arial" w:hAnsi="Arial"/>
          <w:color w:val="0000FF"/>
          <w:sz w:val="22"/>
          <w:szCs w:val="22"/>
        </w:rPr>
        <w:t>“</w:t>
      </w:r>
      <w:r>
        <w:rPr>
          <w:rFonts w:cs="Arial Narrow" w:ascii="Arial" w:hAnsi="Arial"/>
          <w:color w:val="0000FF"/>
          <w:sz w:val="22"/>
          <w:szCs w:val="22"/>
        </w:rPr>
        <w:t>MÓDULO 55: FUNÇÃO DE APOIO TÉCNICO E DE APOIO OPERACIONAL – FAT/FAO CAPÍTULO 2: CRITÉRIOS PARA DESIGNAÇÃO DA FUNÇÃO DE APOIO TÉCNICO E DE APOIO OPERACIONAL.</w:t>
      </w:r>
    </w:p>
    <w:p>
      <w:pPr>
        <w:pStyle w:val="Citacao"/>
        <w:tabs>
          <w:tab w:val="clear" w:pos="420"/>
        </w:tabs>
        <w:spacing w:lineRule="auto" w:line="240" w:before="0" w:after="0"/>
        <w:ind w:left="1701" w:right="0" w:hanging="0"/>
        <w:jc w:val="both"/>
        <w:rPr>
          <w:rFonts w:ascii="Arial" w:hAnsi="Arial" w:cs="Arial Narrow"/>
          <w:color w:val="0000FF"/>
          <w:sz w:val="22"/>
          <w:szCs w:val="22"/>
        </w:rPr>
      </w:pPr>
      <w:r>
        <w:rPr>
          <w:rFonts w:cs="Arial Narrow" w:ascii="Arial" w:hAnsi="Arial"/>
          <w:color w:val="0000FF"/>
          <w:sz w:val="22"/>
          <w:szCs w:val="22"/>
        </w:rPr>
        <w:t>1. CRITÉRIOS PARA DESIGNAÇÃO</w:t>
      </w:r>
    </w:p>
    <w:p>
      <w:pPr>
        <w:pStyle w:val="Citacao"/>
        <w:tabs>
          <w:tab w:val="clear" w:pos="420"/>
        </w:tabs>
        <w:spacing w:lineRule="auto" w:line="240" w:before="0" w:after="0"/>
        <w:ind w:left="1701" w:right="0" w:hanging="0"/>
        <w:jc w:val="both"/>
        <w:rPr>
          <w:rFonts w:ascii="Arial" w:hAnsi="Arial" w:cs="Arial Narrow"/>
          <w:color w:val="0000FF"/>
          <w:sz w:val="22"/>
          <w:szCs w:val="22"/>
        </w:rPr>
      </w:pPr>
      <w:r>
        <w:rPr>
          <w:rFonts w:cs="Arial Narrow" w:ascii="Arial" w:hAnsi="Arial"/>
          <w:color w:val="0000FF"/>
          <w:sz w:val="22"/>
          <w:szCs w:val="22"/>
        </w:rPr>
        <w:t>1.1. Para ser designado para a função de Apoio Técnico ou de Apoio Operacional o empregado deverá atender, cumulativamente, aos seguintes requisitos:</w:t>
      </w:r>
    </w:p>
    <w:p>
      <w:pPr>
        <w:pStyle w:val="Citacao"/>
        <w:tabs>
          <w:tab w:val="clear" w:pos="420"/>
        </w:tabs>
        <w:spacing w:lineRule="auto" w:line="240" w:before="0" w:after="0"/>
        <w:ind w:left="1701" w:right="0" w:hanging="0"/>
        <w:jc w:val="both"/>
        <w:rPr>
          <w:rFonts w:ascii="Arial" w:hAnsi="Arial" w:cs="Arial Narrow"/>
          <w:color w:val="0000FF"/>
          <w:sz w:val="22"/>
          <w:szCs w:val="22"/>
        </w:rPr>
      </w:pPr>
      <w:r>
        <w:rPr>
          <w:rFonts w:cs="Arial Narrow" w:ascii="Arial" w:hAnsi="Arial"/>
          <w:color w:val="0000FF"/>
          <w:sz w:val="22"/>
          <w:szCs w:val="22"/>
        </w:rPr>
        <w:t>(...)</w:t>
      </w:r>
    </w:p>
    <w:p>
      <w:pPr>
        <w:pStyle w:val="Citacao"/>
        <w:tabs>
          <w:tab w:val="clear" w:pos="420"/>
        </w:tabs>
        <w:spacing w:lineRule="auto" w:line="240" w:before="0" w:after="0"/>
        <w:ind w:left="1701" w:right="0" w:hanging="0"/>
        <w:jc w:val="both"/>
        <w:rPr>
          <w:rFonts w:ascii="Arial" w:hAnsi="Arial" w:cs="Arial Narrow"/>
          <w:color w:val="0000FF"/>
          <w:sz w:val="22"/>
          <w:szCs w:val="22"/>
        </w:rPr>
      </w:pPr>
      <w:r>
        <w:rPr>
          <w:rFonts w:cs="Arial Narrow" w:ascii="Arial" w:hAnsi="Arial"/>
          <w:color w:val="0000FF"/>
          <w:sz w:val="22"/>
          <w:szCs w:val="22"/>
        </w:rPr>
        <w:t>b) ter sido dispensado ou exonerado da função que exerce por iniciativa da Empresa a partir de 06.04.2005, inclusive;” </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Portanto, não há falar, no caso concreto, em direito adquirido à concessão dos institutos regulados pelos supramencionados normativos internos. Aliás, nesse ponto, faz-se mister ressaltar não ser o caso de aplicação ao Reclamante do entendimento exarado na Súmula nº 51, I, do C. TST, verbis:</w:t>
      </w:r>
    </w:p>
    <w:p>
      <w:pPr>
        <w:pStyle w:val="Citacao"/>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Citacao"/>
        <w:tabs>
          <w:tab w:val="clear" w:pos="420"/>
        </w:tabs>
        <w:spacing w:lineRule="auto" w:line="240" w:before="0" w:after="0"/>
        <w:ind w:left="1701" w:right="0" w:hanging="0"/>
        <w:jc w:val="both"/>
        <w:rPr>
          <w:rFonts w:ascii="Arial" w:hAnsi="Arial" w:cs="Arial Narrow"/>
          <w:color w:val="0000FF"/>
          <w:sz w:val="22"/>
          <w:szCs w:val="22"/>
        </w:rPr>
      </w:pPr>
      <w:r>
        <w:rPr>
          <w:rFonts w:cs="Arial Narrow" w:ascii="Arial" w:hAnsi="Arial"/>
          <w:color w:val="0000FF"/>
          <w:sz w:val="22"/>
          <w:szCs w:val="22"/>
        </w:rPr>
        <w:t>“</w:t>
      </w:r>
      <w:r>
        <w:rPr>
          <w:rFonts w:cs="Arial Narrow" w:ascii="Arial" w:hAnsi="Arial"/>
          <w:color w:val="0000FF"/>
          <w:sz w:val="22"/>
          <w:szCs w:val="22"/>
        </w:rPr>
        <w:t>Súmula 51, I - As cláusulas regulamentares, que revoguem ou alterem vantagens deferidas anteriormente, só atingirão os trabalhadores admitidos após a revogação ou alteração do regulamento.”</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Veja-se que não havia, na hipótese, vantagem deferida ao Reclamante nos termos da CIRCULAR/DIREC-682/2005, ou dos Módulo 55 ou 36 do Manual de Pessoal da ECT, pois o empregado, quando da revogação dos referidos normativos internos, possuía apenas a expectativa ao deferimento dos institutos previstos, e não às vantagens em si.</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Dessa forma, e tendo em vista ainda que não há direito adquirido a função gratificada nem a regime jurídico, improcede o pedido de incorporação, nos termos em que pleiteado.</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tabs>
          <w:tab w:val="clear" w:pos="420"/>
        </w:tabs>
        <w:spacing w:lineRule="auto" w:line="360" w:before="0" w:after="0"/>
        <w:ind w:left="1701" w:right="0" w:hanging="0"/>
        <w:jc w:val="both"/>
        <w:rPr/>
      </w:pPr>
      <w:r>
        <w:rPr>
          <w:rStyle w:val="Nfaseforte"/>
          <w:rFonts w:cs="Arial Narrow" w:ascii="Arial" w:hAnsi="Arial"/>
          <w:color w:val="800080"/>
          <w:sz w:val="22"/>
          <w:szCs w:val="22"/>
          <w:u w:val="single"/>
        </w:rPr>
        <w:t>2.1. NORMAS REVOGADAS – INAPLICABILIDADE DO ENTENDIMENTO CONSUBSTANCIADO NA SÚMULA 51 DO C. TST AO CASO. – SE NÃO HOUVER PREENCHIDO OS REQUISITOS TEMPORAIS DA FAT E DA ITF ANTES DA REVOGAÇÃO</w:t>
      </w:r>
    </w:p>
    <w:p>
      <w:pPr>
        <w:pStyle w:val="Textojustificadorecuoprimeiralinha"/>
        <w:spacing w:lineRule="auto" w:line="360" w:before="0" w:after="0"/>
        <w:ind w:left="0" w:right="0" w:firstLine="1701"/>
        <w:jc w:val="both"/>
        <w:rPr>
          <w:rFonts w:ascii="Arial" w:hAnsi="Arial" w:cs="Arial Narrow"/>
          <w:color w:val="800080"/>
          <w:sz w:val="22"/>
          <w:szCs w:val="22"/>
          <w:u w:val="single"/>
        </w:rPr>
      </w:pPr>
      <w:r>
        <w:rPr>
          <w:rFonts w:cs="Arial Narrow" w:ascii="Arial" w:hAnsi="Arial"/>
          <w:color w:val="800080"/>
          <w:sz w:val="22"/>
          <w:szCs w:val="22"/>
          <w:u w:val="single"/>
        </w:rPr>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t>De início, cabe destacar que, consoante reconhecido pela própria parte autora, a CIRCULAR/DIREC-682/2005, de 14 de abril de 2005, encontra-se revogada desde muito antes da alegada dispensa de função por iniciativa da empresa.</w:t>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t>No caso, a Função de Apoio à Gestão – FAG, função gratificada mencionada na CI/DIREC – 682/2005-CIRCULAR, teve sua nomenclatura alterada em 2007 para Função de Apoio Técnico/Operacional – FAT/FAO, conforme consta da CI/DCAR/DAREC-071100/2007-CIRCULAR (em anexo).</w:t>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t>A FAT/FAO, por sua vez, regulada pelo Módulo 55 do MANUAL DE PESSOAL – MANPES da ECT, foi revogada a partir de 01/05/2012, conforme consta do Mem.03019/2012-GCRP/CEGEP-Circular.</w:t>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t>Outrossim, também o Módulo 36 do MANPES, que instituía e regulamentava o instituto da Incorporação por Tempo de Função – ITF no âmbito desta empresa foi revogado em 15/05/2014, nos termos do Mem. Circular 00676-VIGEP em anexo.</w:t>
      </w:r>
    </w:p>
    <w:p>
      <w:pPr>
        <w:pStyle w:val="Textojustificadorecuoprimeiralinha"/>
        <w:spacing w:lineRule="auto" w:line="360" w:before="0" w:after="0"/>
        <w:ind w:left="0" w:right="0" w:firstLine="1701"/>
        <w:jc w:val="both"/>
        <w:rPr/>
      </w:pPr>
      <w:r>
        <w:rPr>
          <w:rStyle w:val="Fontepargpadro"/>
          <w:rFonts w:cs="Arial Narrow" w:ascii="Arial" w:hAnsi="Arial"/>
          <w:color w:val="800080"/>
          <w:sz w:val="22"/>
          <w:szCs w:val="22"/>
        </w:rPr>
        <w:t xml:space="preserve">Ora, tendo referidos regulamentos sido excluídos do mundo jurídico, inexiste, </w:t>
      </w:r>
      <w:r>
        <w:rPr>
          <w:rStyle w:val="Nfase"/>
          <w:rFonts w:cs="Arial Narrow" w:ascii="Arial" w:hAnsi="Arial"/>
          <w:color w:val="800080"/>
          <w:sz w:val="22"/>
          <w:szCs w:val="22"/>
        </w:rPr>
        <w:t>data venia</w:t>
      </w:r>
      <w:r>
        <w:rPr>
          <w:rStyle w:val="Fontepargpadro"/>
          <w:rFonts w:cs="Arial Narrow" w:ascii="Arial" w:hAnsi="Arial"/>
          <w:color w:val="800080"/>
          <w:sz w:val="22"/>
          <w:szCs w:val="22"/>
        </w:rPr>
        <w:t>, fundamento jurídico que dê suporte à pretensão autoral. Cabe destacar, neste ponto, que as normas em questão não aderiram ao contrato de trabalho da parte Autora, sendo que a revogação desses regulamentos constituiu legítimo exercício do poder regulamentar da ECT emanante do poder diretivo que a ordem jurídica reconhece ao empregador, de fato e por lei (cf. art. 456, parágrafo único da CLT).</w:t>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t>Se a intenção dos já mencionados Módulos 55 e 36 do Manual de Pessoal da ECT foi regulamentar dentro da empresa a aplicação do entendimento consubstanciado na Súmula 372, I, do C. TST acerca do instituto da incorporação da gratificação de função, e este, como já visto alhures, não mais subsiste no ordenamento vigente face o advento do §2º do art. 468 da CLT, não há razão lógica ou jurídica para que se imponha à Ré obrigação não prevista em lei ou em qualquer ato normativo interno, sob pena de afronta ao princípio da legalidade (art. 5º, II, e art. 37, caput, ambos da CF) e da repartição dos poderes (art. 2º da CF).</w:t>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t>Especificamente quanto à aplicabilidade do princípio da legalidade à Reclamada, vale novamente relembrar que a natureza jurídica da ECT (empresa pública detentora do monopólio postal e, por isso, equiparada à Fazenda Pública) impõe-lhe o dever-poder de somente agir quando autorizada expressamente por lei (em sentido lato).</w:t>
      </w:r>
    </w:p>
    <w:p>
      <w:pPr>
        <w:pStyle w:val="Textojustificadorecuoprimeiralinha"/>
        <w:spacing w:lineRule="auto" w:line="360" w:before="0" w:after="0"/>
        <w:ind w:left="0" w:right="0" w:firstLine="1701"/>
        <w:jc w:val="both"/>
        <w:rPr/>
      </w:pPr>
      <w:r>
        <w:rPr>
          <w:rStyle w:val="Fontepargpadro"/>
          <w:rFonts w:cs="Arial Narrow" w:ascii="Arial" w:hAnsi="Arial"/>
          <w:color w:val="800080"/>
          <w:sz w:val="22"/>
          <w:szCs w:val="22"/>
        </w:rPr>
        <w:t xml:space="preserve">Se não há regramento autorizando a Reclamada a proceder a incorporação nos termos em que requerido pelo Autor face à revogação desde 2012 do Módulo 55 do Manual de Pessoal da ECT, </w:t>
      </w:r>
      <w:r>
        <w:rPr>
          <w:rStyle w:val="Nfaseforte"/>
          <w:rFonts w:cs="Arial Narrow" w:ascii="Arial" w:hAnsi="Arial"/>
          <w:color w:val="800080"/>
          <w:sz w:val="22"/>
          <w:szCs w:val="22"/>
          <w:u w:val="single"/>
        </w:rPr>
        <w:t>e a própria lei proíbe a incorporação de gratificações de função (art. 468, §2º, da CLT)</w:t>
      </w:r>
      <w:r>
        <w:rPr>
          <w:rStyle w:val="Fontepargpadro"/>
          <w:rFonts w:cs="Arial Narrow" w:ascii="Arial" w:hAnsi="Arial"/>
          <w:color w:val="800080"/>
          <w:sz w:val="22"/>
          <w:szCs w:val="22"/>
        </w:rPr>
        <w:t>, não há dúvidas de que qualquer imposição nesse sentido configuraria violação dos supramencionados postulados.</w:t>
      </w:r>
    </w:p>
    <w:p>
      <w:pPr>
        <w:pStyle w:val="Textojustificadorecuoprimeiralinha"/>
        <w:spacing w:lineRule="auto" w:line="360" w:before="0" w:after="0"/>
        <w:ind w:left="0" w:right="0" w:firstLine="1701"/>
        <w:jc w:val="both"/>
        <w:rPr/>
      </w:pPr>
      <w:r>
        <w:rPr>
          <w:rStyle w:val="Fontepargpadro"/>
          <w:rFonts w:cs="Arial Narrow" w:ascii="Arial" w:hAnsi="Arial"/>
          <w:color w:val="800080"/>
          <w:sz w:val="22"/>
          <w:szCs w:val="22"/>
        </w:rPr>
        <w:t xml:space="preserve">De todo modo, cabe destacar que quando da revogação do Módulo 36 do MANPES em abril de 2014, o Reclamante não havia preenchido os requisitos para ser agraciado com a ITF, pois, nessa data, </w:t>
      </w:r>
      <w:r>
        <w:rPr>
          <w:rStyle w:val="Nfaseforte"/>
          <w:rFonts w:cs="Arial Narrow" w:ascii="Arial" w:hAnsi="Arial"/>
          <w:color w:val="800080"/>
          <w:sz w:val="22"/>
          <w:szCs w:val="22"/>
          <w:u w:val="single"/>
        </w:rPr>
        <w:t>NÃO POSSUÍA DEZ ANOS DE EXERCÍCIO DE FUNÇÃO GRATIFICADA</w:t>
      </w:r>
      <w:r>
        <w:rPr>
          <w:rStyle w:val="Fontepargpadro"/>
          <w:rFonts w:cs="Arial Narrow" w:ascii="Arial" w:hAnsi="Arial"/>
          <w:color w:val="800080"/>
          <w:sz w:val="22"/>
          <w:szCs w:val="22"/>
        </w:rPr>
        <w:t xml:space="preserve">, requisito essencial para que fosse agraciado com esse instituto, nos termos do que dispunha o próprio Regulamento, </w:t>
      </w:r>
      <w:r>
        <w:rPr>
          <w:rStyle w:val="Nfase"/>
          <w:rFonts w:cs="Arial Narrow" w:ascii="Arial" w:hAnsi="Arial"/>
          <w:color w:val="800080"/>
          <w:sz w:val="22"/>
          <w:szCs w:val="22"/>
        </w:rPr>
        <w:t>verbis</w:t>
      </w:r>
      <w:r>
        <w:rPr>
          <w:rStyle w:val="Fontepargpadro"/>
          <w:rFonts w:cs="Arial Narrow" w:ascii="Arial" w:hAnsi="Arial"/>
          <w:color w:val="800080"/>
          <w:sz w:val="22"/>
          <w:szCs w:val="22"/>
        </w:rPr>
        <w:t>:</w:t>
      </w:r>
    </w:p>
    <w:p>
      <w:pPr>
        <w:pStyle w:val="Citacao"/>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r>
    </w:p>
    <w:p>
      <w:pPr>
        <w:pStyle w:val="Citacao"/>
        <w:tabs>
          <w:tab w:val="clear" w:pos="420"/>
        </w:tabs>
        <w:spacing w:lineRule="auto" w:line="240" w:before="0" w:after="0"/>
        <w:ind w:left="1701" w:right="0" w:hanging="0"/>
        <w:jc w:val="both"/>
        <w:rPr>
          <w:rFonts w:ascii="Arial" w:hAnsi="Arial" w:cs="Arial Narrow"/>
          <w:color w:val="800080"/>
          <w:sz w:val="22"/>
          <w:szCs w:val="22"/>
        </w:rPr>
      </w:pPr>
      <w:r>
        <w:rPr>
          <w:rFonts w:cs="Arial Narrow" w:ascii="Arial" w:hAnsi="Arial"/>
          <w:color w:val="800080"/>
          <w:sz w:val="22"/>
          <w:szCs w:val="22"/>
        </w:rPr>
        <w:t>1 CRITÉRIOS PARA INCORPORAÇAO ADMINISTRATIVA POR TEMPO DE FUNÇÃO - ITF</w:t>
      </w:r>
    </w:p>
    <w:p>
      <w:pPr>
        <w:pStyle w:val="Citacao"/>
        <w:tabs>
          <w:tab w:val="clear" w:pos="420"/>
        </w:tabs>
        <w:spacing w:lineRule="auto" w:line="240" w:before="0" w:after="0"/>
        <w:ind w:left="1701" w:right="0" w:hanging="0"/>
        <w:jc w:val="both"/>
        <w:rPr>
          <w:rFonts w:ascii="Arial" w:hAnsi="Arial" w:cs="Arial Narrow"/>
          <w:color w:val="800080"/>
          <w:sz w:val="22"/>
          <w:szCs w:val="22"/>
        </w:rPr>
      </w:pPr>
      <w:r>
        <w:rPr>
          <w:rFonts w:cs="Arial Narrow" w:ascii="Arial" w:hAnsi="Arial"/>
          <w:color w:val="800080"/>
          <w:sz w:val="22"/>
          <w:szCs w:val="22"/>
        </w:rPr>
        <w:t>1.1 Terá direito à incorporação administrativa por tempo de função, o empregado que atender os seguintes critérios:</w:t>
      </w:r>
    </w:p>
    <w:p>
      <w:pPr>
        <w:pStyle w:val="Citacao"/>
        <w:tabs>
          <w:tab w:val="clear" w:pos="420"/>
        </w:tabs>
        <w:spacing w:lineRule="auto" w:line="240" w:before="0" w:after="0"/>
        <w:ind w:left="1701" w:right="0" w:hanging="0"/>
        <w:jc w:val="both"/>
        <w:rPr>
          <w:rFonts w:ascii="Arial" w:hAnsi="Arial" w:cs="Arial Narrow"/>
          <w:color w:val="800080"/>
          <w:sz w:val="22"/>
          <w:szCs w:val="22"/>
        </w:rPr>
      </w:pPr>
      <w:r>
        <w:rPr>
          <w:rFonts w:cs="Arial Narrow" w:ascii="Arial" w:hAnsi="Arial"/>
          <w:color w:val="800080"/>
          <w:sz w:val="22"/>
          <w:szCs w:val="22"/>
        </w:rPr>
        <w:t>a) possuir no mínimo 10 anos de exercício em função gerencial, técnica, de atividade especial, FAT/FAO, ou dirigente da ECT, contados a partir da data da dispensa da função;</w:t>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r>
    </w:p>
    <w:p>
      <w:pPr>
        <w:pStyle w:val="Textojustificadorecuoprimeiralinha"/>
        <w:spacing w:lineRule="auto" w:line="360" w:before="0" w:after="0"/>
        <w:ind w:left="0" w:right="0" w:firstLine="1701"/>
        <w:jc w:val="both"/>
        <w:rPr/>
      </w:pPr>
      <w:r>
        <w:rPr>
          <w:rStyle w:val="Fontepargpadro"/>
          <w:rFonts w:cs="Arial Narrow" w:ascii="Arial" w:hAnsi="Arial"/>
          <w:color w:val="800080"/>
          <w:sz w:val="22"/>
          <w:szCs w:val="22"/>
        </w:rPr>
        <w:t xml:space="preserve">Da mesma forma, quando da revogação do Módulo 36 do MANPES em 30/04/2012, o Reclamante também não havia preenchido os requisitos para ser agraciado com a Função de Apoio Técnico/Operacional – FAT/FAO, pois, nessa data, </w:t>
      </w:r>
      <w:r>
        <w:rPr>
          <w:rStyle w:val="Nfaseforte"/>
          <w:rFonts w:cs="Arial Narrow" w:ascii="Arial" w:hAnsi="Arial"/>
          <w:color w:val="800080"/>
          <w:sz w:val="22"/>
          <w:szCs w:val="22"/>
          <w:u w:val="single"/>
        </w:rPr>
        <w:t>não possuía os cinco anos exigidos pela norma para que fosse investido nessa função</w:t>
      </w:r>
      <w:r>
        <w:rPr>
          <w:rStyle w:val="Fontepargpadro"/>
          <w:rFonts w:cs="Arial Narrow" w:ascii="Arial" w:hAnsi="Arial"/>
          <w:color w:val="800080"/>
          <w:sz w:val="22"/>
          <w:szCs w:val="22"/>
        </w:rPr>
        <w:t xml:space="preserve">, nos termos do que dispunha o próprio Regulamento, </w:t>
      </w:r>
      <w:r>
        <w:rPr>
          <w:rStyle w:val="Nfase"/>
          <w:rFonts w:cs="Arial Narrow" w:ascii="Arial" w:hAnsi="Arial"/>
          <w:color w:val="800080"/>
          <w:sz w:val="22"/>
          <w:szCs w:val="22"/>
        </w:rPr>
        <w:t>verbis</w:t>
      </w:r>
      <w:r>
        <w:rPr>
          <w:rStyle w:val="Fontepargpadro"/>
          <w:rFonts w:cs="Arial Narrow" w:ascii="Arial" w:hAnsi="Arial"/>
          <w:color w:val="800080"/>
          <w:sz w:val="22"/>
          <w:szCs w:val="22"/>
        </w:rPr>
        <w:t>:</w:t>
      </w:r>
    </w:p>
    <w:p>
      <w:pPr>
        <w:pStyle w:val="Citacao"/>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r>
    </w:p>
    <w:p>
      <w:pPr>
        <w:pStyle w:val="Citacao"/>
        <w:tabs>
          <w:tab w:val="clear" w:pos="420"/>
        </w:tabs>
        <w:spacing w:lineRule="auto" w:line="240" w:before="0" w:after="0"/>
        <w:ind w:left="1701" w:right="0" w:hanging="0"/>
        <w:jc w:val="both"/>
        <w:rPr>
          <w:rFonts w:ascii="Arial" w:hAnsi="Arial" w:cs="Arial Narrow"/>
          <w:color w:val="800080"/>
          <w:sz w:val="22"/>
          <w:szCs w:val="22"/>
        </w:rPr>
      </w:pPr>
      <w:r>
        <w:rPr>
          <w:rFonts w:cs="Arial Narrow" w:ascii="Arial" w:hAnsi="Arial"/>
          <w:color w:val="800080"/>
          <w:sz w:val="22"/>
          <w:szCs w:val="22"/>
        </w:rPr>
        <w:t>MÓDULO 55: FUNÇÃO DE APOIO TÉCNICO E DE APOIO OPERACIONAL – FAT/FAO CAPÍTULO 2: CRITÉRIOS PARA DESIGNAÇÃO DA FUNÇÃO DE APOIO TÉCNICO E DE APOIO OPERACIONAL.</w:t>
      </w:r>
    </w:p>
    <w:p>
      <w:pPr>
        <w:pStyle w:val="Citacao"/>
        <w:tabs>
          <w:tab w:val="clear" w:pos="420"/>
        </w:tabs>
        <w:spacing w:lineRule="auto" w:line="240" w:before="0" w:after="0"/>
        <w:ind w:left="1701" w:right="0" w:hanging="0"/>
        <w:jc w:val="both"/>
        <w:rPr>
          <w:rFonts w:ascii="Arial" w:hAnsi="Arial" w:cs="Arial Narrow"/>
          <w:color w:val="800080"/>
          <w:sz w:val="22"/>
          <w:szCs w:val="22"/>
        </w:rPr>
      </w:pPr>
      <w:r>
        <w:rPr>
          <w:rFonts w:cs="Arial Narrow" w:ascii="Arial" w:hAnsi="Arial"/>
          <w:color w:val="800080"/>
          <w:sz w:val="22"/>
          <w:szCs w:val="22"/>
        </w:rPr>
        <w:t>1. CRITÉRIOS PARA DESIGNAÇÃO</w:t>
      </w:r>
    </w:p>
    <w:p>
      <w:pPr>
        <w:pStyle w:val="Citacao"/>
        <w:tabs>
          <w:tab w:val="clear" w:pos="420"/>
        </w:tabs>
        <w:spacing w:lineRule="auto" w:line="240" w:before="0" w:after="0"/>
        <w:ind w:left="1701" w:right="0" w:hanging="0"/>
        <w:jc w:val="both"/>
        <w:rPr>
          <w:rFonts w:ascii="Arial" w:hAnsi="Arial" w:cs="Arial Narrow"/>
          <w:color w:val="800080"/>
          <w:sz w:val="22"/>
          <w:szCs w:val="22"/>
        </w:rPr>
      </w:pPr>
      <w:r>
        <w:rPr>
          <w:rFonts w:cs="Arial Narrow" w:ascii="Arial" w:hAnsi="Arial"/>
          <w:color w:val="800080"/>
          <w:sz w:val="22"/>
          <w:szCs w:val="22"/>
        </w:rPr>
        <w:t>1.1. Para ser designado para a função de Apoio Técnico ou de Apoio Operacional o empregado deverá atender, cumulativamente, aos seguintes requisitos:</w:t>
      </w:r>
    </w:p>
    <w:p>
      <w:pPr>
        <w:pStyle w:val="Citacao"/>
        <w:tabs>
          <w:tab w:val="clear" w:pos="420"/>
        </w:tabs>
        <w:spacing w:lineRule="auto" w:line="240" w:before="0" w:after="0"/>
        <w:ind w:left="1701" w:right="0" w:hanging="0"/>
        <w:jc w:val="both"/>
        <w:rPr>
          <w:rFonts w:ascii="Arial" w:hAnsi="Arial" w:cs="Arial Narrow"/>
          <w:color w:val="800080"/>
          <w:sz w:val="22"/>
          <w:szCs w:val="22"/>
        </w:rPr>
      </w:pPr>
      <w:r>
        <w:rPr>
          <w:rFonts w:cs="Arial Narrow" w:ascii="Arial" w:hAnsi="Arial"/>
          <w:color w:val="800080"/>
          <w:sz w:val="22"/>
          <w:szCs w:val="22"/>
        </w:rPr>
        <w:t>a) possuir no mínimo 5 anos de exercício em função gerencial, técnica, de atividade especial ou de dirigente da Empresa, ininterruptos ou não, nos últimos 15 anos, como titular ou respondendo.</w:t>
      </w:r>
    </w:p>
    <w:p>
      <w:pPr>
        <w:pStyle w:val="Textojustificadorecuoprimeiralinha"/>
        <w:spacing w:lineRule="auto" w:line="240" w:before="0" w:after="0"/>
        <w:ind w:left="0" w:right="0" w:firstLine="1701"/>
        <w:jc w:val="both"/>
        <w:rPr>
          <w:rFonts w:ascii="Arial" w:hAnsi="Arial" w:cs="Arial Narrow"/>
          <w:color w:val="800080"/>
          <w:sz w:val="22"/>
          <w:szCs w:val="22"/>
        </w:rPr>
      </w:pPr>
      <w:r>
        <w:rPr>
          <w:rFonts w:cs="Arial Narrow" w:ascii="Arial" w:hAnsi="Arial"/>
          <w:color w:val="800080"/>
          <w:sz w:val="22"/>
          <w:szCs w:val="22"/>
        </w:rPr>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t>Portanto, não há falar, no caso concreto, em direito adquirido à concessão dos institutos regulados pelos supramencionados normativos internos. Aliás, nesse ponto, faz-se mister ressaltar não ser o caso de aplicação ao Reclamante do entendimento exarado na Súmula nº 51, I, do C. TST, verbis:</w:t>
      </w:r>
    </w:p>
    <w:p>
      <w:pPr>
        <w:pStyle w:val="Citacao"/>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r>
    </w:p>
    <w:p>
      <w:pPr>
        <w:pStyle w:val="Citacao"/>
        <w:tabs>
          <w:tab w:val="clear" w:pos="420"/>
        </w:tabs>
        <w:spacing w:lineRule="auto" w:line="240" w:before="0" w:after="0"/>
        <w:ind w:left="1701" w:right="0" w:hanging="0"/>
        <w:jc w:val="both"/>
        <w:rPr>
          <w:rFonts w:ascii="Arial" w:hAnsi="Arial" w:cs="Arial Narrow"/>
          <w:color w:val="800080"/>
          <w:sz w:val="22"/>
          <w:szCs w:val="22"/>
        </w:rPr>
      </w:pPr>
      <w:r>
        <w:rPr>
          <w:rFonts w:cs="Arial Narrow" w:ascii="Arial" w:hAnsi="Arial"/>
          <w:color w:val="800080"/>
          <w:sz w:val="22"/>
          <w:szCs w:val="22"/>
        </w:rPr>
        <w:t>“</w:t>
      </w:r>
      <w:r>
        <w:rPr>
          <w:rFonts w:cs="Arial Narrow" w:ascii="Arial" w:hAnsi="Arial"/>
          <w:color w:val="800080"/>
          <w:sz w:val="22"/>
          <w:szCs w:val="22"/>
        </w:rPr>
        <w:t>Súmula 51, I - As cláusulas regulamentares, que revoguem ou alterem vantagens deferidas anteriormente, só atingirão os trabalhadores admitidos após a revogação ou alteração do regulamento.”</w:t>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t>Veja-se que não havia, na hipótese, vantagem deferida ao Reclamante nos termos da CIRCULAR/DIREC-682/2005, ou dos Módulo 55 ou 36 do Manual de Pessoal da ECT, pois o empregado, quando da revogação dos referidos normativos internos, possuía apenas a expectativa ao deferimento dos institutos previstos, e não às vantagens em si.</w:t>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t>Nesse sentido, a jurisprudência do C. TST:</w:t>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r>
    </w:p>
    <w:p>
      <w:pPr>
        <w:pStyle w:val="Normal"/>
        <w:widowControl/>
        <w:tabs>
          <w:tab w:val="clear" w:pos="420"/>
        </w:tabs>
        <w:suppressAutoHyphens w:val="false"/>
        <w:spacing w:lineRule="auto" w:line="240"/>
        <w:ind w:left="2268" w:right="0" w:hanging="0"/>
        <w:jc w:val="both"/>
        <w:textAlignment w:val="auto"/>
        <w:rPr/>
      </w:pPr>
      <w:r>
        <w:rPr>
          <w:rStyle w:val="Fontepargpadro"/>
          <w:rFonts w:cs="Arial Narrow" w:ascii="Arial" w:hAnsi="Arial"/>
          <w:color w:val="800080"/>
          <w:sz w:val="22"/>
          <w:szCs w:val="22"/>
        </w:rPr>
        <w:t xml:space="preserve">"(...) B) RECURSO DE REVISTA INTERPOSTO PELO RECLAMANTE. </w:t>
      </w:r>
      <w:r>
        <w:rPr>
          <w:rStyle w:val="Fontepargpadro"/>
          <w:rFonts w:cs="Arial Narrow" w:ascii="Arial" w:hAnsi="Arial"/>
          <w:b/>
          <w:color w:val="800080"/>
          <w:sz w:val="22"/>
          <w:szCs w:val="22"/>
        </w:rPr>
        <w:t>ITF - INCORPORAÇÃO POR TEMPO DE FUNÇÃO. EXERCÍCIO POR MENOS DE DEZ ANOS. NÃO INCORPORAÇÃO</w:t>
      </w:r>
      <w:r>
        <w:rPr>
          <w:rStyle w:val="Fontepargpadro"/>
          <w:rFonts w:cs="Arial Narrow" w:ascii="Arial" w:hAnsi="Arial"/>
          <w:color w:val="800080"/>
          <w:sz w:val="22"/>
          <w:szCs w:val="22"/>
        </w:rPr>
        <w:t xml:space="preserve">. </w:t>
      </w:r>
      <w:r>
        <w:rPr>
          <w:rStyle w:val="Fontepargpadro"/>
          <w:rFonts w:cs="Arial Narrow" w:ascii="Arial" w:hAnsi="Arial"/>
          <w:b/>
          <w:color w:val="800080"/>
          <w:sz w:val="22"/>
          <w:szCs w:val="22"/>
        </w:rPr>
        <w:t>In casu , a Corte de origem consignou que o reclamante não fazia jus à incorporação pleiteada, porque não foi atendido o requisito temporal previsto nos regulamentos internos da ECT. Concluiu que a pretensão do reclamante era de incorporar a ITF que não mais subsistia no regramento interno da reclamada, a qual havia já sido extinta anos antes de ele reunir os requisitos para a sua concessão, não sendo possível entender que a parcela aderiu ao contrato de trabalho</w:t>
      </w:r>
      <w:r>
        <w:rPr>
          <w:rStyle w:val="Fontepargpadro"/>
          <w:rFonts w:cs="Arial Narrow" w:ascii="Arial" w:hAnsi="Arial"/>
          <w:color w:val="800080"/>
          <w:sz w:val="22"/>
          <w:szCs w:val="22"/>
        </w:rPr>
        <w:t>. Recurso de revista não conhecido " (RRAg-21160-17.2016.5.04.0024, 8ª Turma, Relatora Ministra Dora Maria da Costa, DEJT 11/02/2022) – d.n.</w:t>
      </w:r>
    </w:p>
    <w:p>
      <w:pPr>
        <w:pStyle w:val="Normal"/>
        <w:widowControl/>
        <w:tabs>
          <w:tab w:val="clear" w:pos="420"/>
        </w:tabs>
        <w:suppressAutoHyphens w:val="false"/>
        <w:spacing w:lineRule="auto" w:line="240"/>
        <w:ind w:left="2268" w:right="0" w:hanging="0"/>
        <w:jc w:val="both"/>
        <w:textAlignment w:val="auto"/>
        <w:rPr>
          <w:rFonts w:ascii="Arial" w:hAnsi="Arial" w:cs="Arial Narrow"/>
          <w:color w:val="800080"/>
          <w:sz w:val="22"/>
          <w:szCs w:val="22"/>
        </w:rPr>
      </w:pPr>
      <w:r>
        <w:rPr>
          <w:rFonts w:cs="Arial Narrow" w:ascii="Arial" w:hAnsi="Arial"/>
          <w:color w:val="800080"/>
          <w:sz w:val="22"/>
          <w:szCs w:val="22"/>
        </w:rPr>
      </w:r>
    </w:p>
    <w:p>
      <w:pPr>
        <w:pStyle w:val="Normal"/>
        <w:widowControl/>
        <w:tabs>
          <w:tab w:val="clear" w:pos="420"/>
        </w:tabs>
        <w:suppressAutoHyphens w:val="false"/>
        <w:spacing w:lineRule="auto" w:line="240"/>
        <w:ind w:left="2268" w:right="0" w:hanging="0"/>
        <w:jc w:val="both"/>
        <w:textAlignment w:val="auto"/>
        <w:rPr>
          <w:rFonts w:ascii="Arial" w:hAnsi="Arial" w:cs="Arial Narrow"/>
          <w:color w:val="800080"/>
          <w:sz w:val="22"/>
          <w:szCs w:val="22"/>
        </w:rPr>
      </w:pPr>
      <w:r>
        <w:rPr>
          <w:rFonts w:cs="Arial Narrow" w:ascii="Arial" w:hAnsi="Arial"/>
          <w:color w:val="800080"/>
          <w:sz w:val="22"/>
          <w:szCs w:val="22"/>
        </w:rPr>
        <w:t>“</w:t>
      </w:r>
      <w:r>
        <w:rPr>
          <w:rFonts w:cs="Arial Narrow" w:ascii="Arial" w:hAnsi="Arial"/>
          <w:color w:val="800080"/>
          <w:sz w:val="22"/>
          <w:szCs w:val="22"/>
        </w:rPr>
        <w:t>RECURSO DE REVISTA. VIGÊNCIA DA LEI Nº 13.467/17. GRATIFICAÇÃO DE FUNÇÃO PREVISTA EM NORMA INTERNA REVOGADA ANTES DA IMPLEMENTAÇÃO DO REQUISITO OBJETIVO-TEMPORAL (10 ANOS NA FUNÇÃO). INEXISTÊNCIA DE DIREITO ADQUIRIDO.</w:t>
      </w:r>
    </w:p>
    <w:p>
      <w:pPr>
        <w:pStyle w:val="Normal"/>
        <w:widowControl/>
        <w:tabs>
          <w:tab w:val="clear" w:pos="420"/>
        </w:tabs>
        <w:suppressAutoHyphens w:val="false"/>
        <w:spacing w:lineRule="auto" w:line="240"/>
        <w:ind w:left="2268" w:right="0" w:hanging="0"/>
        <w:jc w:val="both"/>
        <w:textAlignment w:val="auto"/>
        <w:rPr>
          <w:rFonts w:ascii="Arial" w:hAnsi="Arial" w:cs="Arial Narrow"/>
          <w:b/>
          <w:bCs/>
          <w:color w:val="800080"/>
          <w:sz w:val="22"/>
          <w:szCs w:val="22"/>
          <w:u w:val="single"/>
        </w:rPr>
      </w:pPr>
      <w:r>
        <w:rPr>
          <w:rFonts w:cs="Arial Narrow" w:ascii="Arial" w:hAnsi="Arial"/>
          <w:b/>
          <w:bCs/>
          <w:color w:val="800080"/>
          <w:sz w:val="22"/>
          <w:szCs w:val="22"/>
          <w:u w:val="single"/>
        </w:rPr>
        <w:t>1. O Tribunal Regional registrou “a ITF (INCORPORAÇÃO POR TEMPO DE FUNÇÃO) foi instituída no âmbito da reclamada em 2012, como 'mecanismo de incorporação administrativa de função concedida aos empregados que forem dispensados do exercício de função após um período igual ou superior a 10 anos, de função.' (Manual de Pessoal, Módulo 36, capítulo 1, item 2 - ID 2d8960d)”. Destacou, no entanto, que “em 2014, por decisão do Conselho de Administração da ECT, a ITF foi extinta e, consequentemente, revogadas as referidas disposições do Módulo 36 do MANPES”.</w:t>
      </w:r>
    </w:p>
    <w:p>
      <w:pPr>
        <w:pStyle w:val="Normal"/>
        <w:widowControl/>
        <w:tabs>
          <w:tab w:val="clear" w:pos="420"/>
        </w:tabs>
        <w:suppressAutoHyphens w:val="false"/>
        <w:spacing w:lineRule="auto" w:line="240"/>
        <w:ind w:left="2268" w:right="0" w:hanging="0"/>
        <w:jc w:val="both"/>
        <w:textAlignment w:val="auto"/>
        <w:rPr>
          <w:rFonts w:ascii="Arial" w:hAnsi="Arial" w:cs="Arial Narrow"/>
          <w:b/>
          <w:bCs/>
          <w:color w:val="800080"/>
          <w:sz w:val="22"/>
          <w:szCs w:val="22"/>
          <w:u w:val="single"/>
        </w:rPr>
      </w:pPr>
      <w:r>
        <w:rPr>
          <w:rFonts w:cs="Arial Narrow" w:ascii="Arial" w:hAnsi="Arial"/>
          <w:b/>
          <w:bCs/>
          <w:color w:val="800080"/>
          <w:sz w:val="22"/>
          <w:szCs w:val="22"/>
          <w:u w:val="single"/>
        </w:rPr>
        <w:t>2. Invocando a inalterabilidade contratual lesiva, firmou entendimento no sentido de que “a revogação da norma interna dois anos após a sua edição não possui o condão de afastar o surgimento do direito ao reclamante”, ainda que haja apontado que o requisito objetivo-temporal previsto na norma interna ocorreu apenas em 2020, ou seja, seis anos depois da revogação da norma que instituiu o direito.</w:t>
      </w:r>
    </w:p>
    <w:p>
      <w:pPr>
        <w:pStyle w:val="Normal"/>
        <w:widowControl/>
        <w:tabs>
          <w:tab w:val="clear" w:pos="420"/>
        </w:tabs>
        <w:suppressAutoHyphens w:val="false"/>
        <w:spacing w:lineRule="auto" w:line="240"/>
        <w:ind w:left="2268" w:right="0" w:hanging="0"/>
        <w:jc w:val="both"/>
        <w:textAlignment w:val="auto"/>
        <w:rPr>
          <w:rFonts w:ascii="Arial" w:hAnsi="Arial" w:cs="Arial Narrow"/>
          <w:b/>
          <w:bCs/>
          <w:color w:val="800080"/>
          <w:sz w:val="22"/>
          <w:szCs w:val="22"/>
          <w:u w:val="single"/>
        </w:rPr>
      </w:pPr>
      <w:r>
        <w:rPr>
          <w:rFonts w:cs="Arial Narrow" w:ascii="Arial" w:hAnsi="Arial"/>
          <w:b/>
          <w:bCs/>
          <w:color w:val="800080"/>
          <w:sz w:val="22"/>
          <w:szCs w:val="22"/>
          <w:u w:val="single"/>
        </w:rPr>
        <w:t>3. A reversão ao cargo efetivo configura alteração lícita do contrato de trabalho, não assegurando ao empregado o direito à manutenção do pagamento da gratificação correspondente, ressalvadas as hipóteses em  que há previsão expressa do direito à incorporação em lei, cláusula coletiva ou norma interna e o empregado implemente os requisitos previstos durante o período de sua vigência.</w:t>
      </w:r>
    </w:p>
    <w:p>
      <w:pPr>
        <w:pStyle w:val="Normal"/>
        <w:widowControl/>
        <w:tabs>
          <w:tab w:val="clear" w:pos="420"/>
        </w:tabs>
        <w:suppressAutoHyphens w:val="false"/>
        <w:spacing w:lineRule="auto" w:line="240"/>
        <w:ind w:left="2268" w:right="0" w:hanging="0"/>
        <w:jc w:val="both"/>
        <w:textAlignment w:val="auto"/>
        <w:rPr>
          <w:rFonts w:ascii="Arial" w:hAnsi="Arial" w:cs="Arial Narrow"/>
          <w:b/>
          <w:bCs/>
          <w:color w:val="800080"/>
          <w:sz w:val="22"/>
          <w:szCs w:val="22"/>
          <w:u w:val="single"/>
        </w:rPr>
      </w:pPr>
      <w:r>
        <w:rPr>
          <w:rFonts w:cs="Arial Narrow" w:ascii="Arial" w:hAnsi="Arial"/>
          <w:b/>
          <w:bCs/>
          <w:color w:val="800080"/>
          <w:sz w:val="22"/>
          <w:szCs w:val="22"/>
          <w:u w:val="single"/>
        </w:rPr>
        <w:t>4. Em tal contexto, não há falar em direito adquirido, mas em mera expectativa que não se consumou.</w:t>
      </w:r>
    </w:p>
    <w:p>
      <w:pPr>
        <w:pStyle w:val="Normal"/>
        <w:widowControl/>
        <w:tabs>
          <w:tab w:val="clear" w:pos="420"/>
        </w:tabs>
        <w:suppressAutoHyphens w:val="false"/>
        <w:spacing w:lineRule="auto" w:line="240"/>
        <w:ind w:left="2268" w:right="0" w:hanging="0"/>
        <w:jc w:val="both"/>
        <w:textAlignment w:val="auto"/>
        <w:rPr>
          <w:rFonts w:ascii="Arial" w:hAnsi="Arial" w:cs="Arial Narrow"/>
          <w:color w:val="800080"/>
          <w:sz w:val="22"/>
          <w:szCs w:val="22"/>
        </w:rPr>
      </w:pPr>
      <w:r>
        <w:rPr>
          <w:rFonts w:cs="Arial Narrow" w:ascii="Arial" w:hAnsi="Arial"/>
          <w:color w:val="800080"/>
          <w:sz w:val="22"/>
          <w:szCs w:val="22"/>
        </w:rPr>
        <w:t xml:space="preserve">Recurso de revista conhecido e provido.” (TST-RR-860-33.2020.5.10.0022; Órgão Julgador: 1ª Turma; Relator: Min. AMAURY RODRIGUES PINTO JUNIOR; julgado em: 18/0820222) – d.n.  </w:t>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r>
    </w:p>
    <w:p>
      <w:pPr>
        <w:pStyle w:val="Textojustificadorecuoprimeiralinha"/>
        <w:spacing w:lineRule="auto" w:line="360" w:before="0" w:after="0"/>
        <w:ind w:left="0" w:right="0" w:firstLine="1701"/>
        <w:jc w:val="both"/>
        <w:rPr>
          <w:rFonts w:ascii="Arial" w:hAnsi="Arial" w:cs="Arial Narrow"/>
          <w:color w:val="800080"/>
          <w:sz w:val="22"/>
          <w:szCs w:val="22"/>
        </w:rPr>
      </w:pPr>
      <w:r>
        <w:rPr>
          <w:rFonts w:cs="Arial Narrow" w:ascii="Arial" w:hAnsi="Arial"/>
          <w:color w:val="800080"/>
          <w:sz w:val="22"/>
          <w:szCs w:val="22"/>
        </w:rPr>
        <w:t>Dessa forma, e tendo em vista ainda que não há direito adquirido a função gratificada nem a regime jurídico, improcede o pedido de incorporação, nos termos em que pleiteado.</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spacing w:lineRule="auto" w:line="360" w:before="0" w:after="0"/>
        <w:ind w:left="0" w:right="0" w:firstLine="1701"/>
        <w:jc w:val="both"/>
        <w:rPr/>
      </w:pPr>
      <w:r>
        <w:rPr>
          <w:rStyle w:val="Nfaseforte"/>
          <w:rFonts w:cs="Arial Narrow" w:ascii="Arial" w:hAnsi="Arial"/>
          <w:color w:val="FF0000"/>
          <w:sz w:val="22"/>
          <w:szCs w:val="22"/>
          <w:u w:val="single"/>
        </w:rPr>
        <w:t>2.2. APLICAÇÃO INTEGRAL DAS NORMAS INTERNAS.</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Textojustificadorecuoprimeiralinha"/>
        <w:spacing w:lineRule="auto" w:line="360" w:before="0" w:after="0"/>
        <w:ind w:left="0" w:right="0" w:firstLine="1701"/>
        <w:jc w:val="both"/>
        <w:rPr/>
      </w:pPr>
      <w:r>
        <w:rPr>
          <w:rStyle w:val="Fontepargpadro"/>
          <w:rFonts w:cs="Arial Narrow" w:ascii="Arial" w:hAnsi="Arial"/>
          <w:i/>
          <w:color w:val="FF0000"/>
          <w:sz w:val="22"/>
          <w:szCs w:val="22"/>
        </w:rPr>
        <w:t>Ad cautelam</w:t>
      </w:r>
      <w:r>
        <w:rPr>
          <w:rStyle w:val="Fontepargpadro"/>
          <w:rFonts w:cs="Arial Narrow" w:ascii="Arial" w:hAnsi="Arial"/>
          <w:color w:val="FF0000"/>
          <w:sz w:val="22"/>
          <w:szCs w:val="22"/>
        </w:rPr>
        <w:t xml:space="preserve">, caso se entenda serem aplicáveis ao Reclamante os regulamentos já revogados da ECT, fica desde já requerido também que referidos normativos sejam aplicados </w:t>
      </w:r>
      <w:r>
        <w:rPr>
          <w:rStyle w:val="Nfase"/>
          <w:rFonts w:cs="Arial Narrow" w:ascii="Arial" w:hAnsi="Arial"/>
          <w:color w:val="FF0000"/>
          <w:sz w:val="22"/>
          <w:szCs w:val="22"/>
        </w:rPr>
        <w:t>in totum</w:t>
      </w:r>
      <w:r>
        <w:rPr>
          <w:rStyle w:val="Fontepargpadro"/>
          <w:rFonts w:cs="Arial Narrow" w:ascii="Arial" w:hAnsi="Arial"/>
          <w:color w:val="FF0000"/>
          <w:sz w:val="22"/>
          <w:szCs w:val="22"/>
        </w:rPr>
        <w:t>, ou seja, que todas as suas disposições devem ser respeitadas, em especial no que tange a hipóteses de dispensa (item III da CI-DIREC 682/2005 e Módulo 55, Capítulo 3 do MANPES, em anexo), metodologia de cálculo dos valores da função (item II da CI-DIREC 682/2005 e Módulo 55, Capítulo 2 do MANPES, em anexo), impossibilidade de percepção cumulativa de duas funções gratificadas (item I, subitem 4, da CI-DIREC 682/2005, subitens 1.6. e 1.7. do Módulo 55, Capítulo 2 do MANPES, e Manpes, Mod 36, Cap 2 e 3, em anexo) e possibilidade de compensação de gratificações (item 4.3. do Módulo 36, Cap 2 do MANPES).</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tabs>
          <w:tab w:val="clear" w:pos="420"/>
        </w:tabs>
        <w:spacing w:lineRule="auto" w:line="360" w:before="0" w:after="0"/>
        <w:ind w:left="1701" w:right="0" w:hanging="0"/>
        <w:jc w:val="both"/>
        <w:rPr/>
      </w:pPr>
      <w:r>
        <w:rPr>
          <w:rStyle w:val="Nfaseforte"/>
          <w:rFonts w:cs="Arial Narrow" w:ascii="Arial" w:hAnsi="Arial"/>
          <w:color w:val="0000FF"/>
          <w:sz w:val="22"/>
          <w:szCs w:val="22"/>
          <w:u w:val="single"/>
        </w:rPr>
        <w:t>2.3. PERCENTUAL E BASES DE CÁLCULO A SEREM ADOTADOS PARA APURAÇÃO DE EVENTUAL PARCELA A SER INCORPORADA COM BASE NAS NORMAS INTERNAS.- SE HOUVER PREENCHIDO OS REQUISITOS TEMPORAIS DA FAT MAS NÃO DA ITF ANTES DA REVOGAÇÃO</w:t>
      </w:r>
    </w:p>
    <w:p>
      <w:pPr>
        <w:pStyle w:val="Textojustificadorecuoprimeiralinha"/>
        <w:spacing w:lineRule="auto" w:line="360" w:before="0" w:after="0"/>
        <w:ind w:left="0" w:right="0" w:firstLine="1701"/>
        <w:jc w:val="both"/>
        <w:rPr>
          <w:rFonts w:ascii="Arial" w:hAnsi="Arial" w:cs="Arial Narrow"/>
          <w:color w:val="0000FF"/>
          <w:sz w:val="22"/>
          <w:szCs w:val="22"/>
          <w:u w:val="single"/>
        </w:rPr>
      </w:pPr>
      <w:r>
        <w:rPr>
          <w:rFonts w:cs="Arial Narrow" w:ascii="Arial" w:hAnsi="Arial"/>
          <w:color w:val="0000FF"/>
          <w:sz w:val="22"/>
          <w:szCs w:val="22"/>
          <w:u w:val="single"/>
        </w:rPr>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Por fim, tem-se que os percentuais e valores-base a serem aplicados à eventual parcela a ser incorporada com base nas normas internas (Módulo 55 e 36 do MANPES) não são aquele apontado pelo obreiro na inicial.</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Isso porque, quando da revogação do Módulo 55 do MANPES em 30/04/2012, o Reclamante possuía apenas sete anos de percepção de gratificação de função, o que implicaria na aplicação do percentual de XX% sobre a média ponderada, nos termos do que dispunha o próprio Regulamento, verbis:</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De outro lado, os valores das gratificações a serem consideradas na apuração da média ponderada devem ser aqueles recebidos pelo obreiro até a data da revogação das respectivas normas internas, e não os referentes aos últimos 120 meses anteriores à data da dispensa, conforme requerido.</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Sobre o assunto, pede-se vênia para transcrever trecho de acórdão prolatado em caso análogo pelo e. TRT da 8ª Região nos autos do RO nº 0000682-41.2015.5.08.0014, verbis:</w:t>
      </w:r>
    </w:p>
    <w:p>
      <w:pPr>
        <w:pStyle w:val="Citacao"/>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"Passando à análise do pedido sucessivo de pagamento da Gratificação Provisória por Tempo de Função - GPTF, tem-se que a parcela foi prevista em 01/05/2012 no Módulo 36 do Manual de Pessoal para a hipótese de dispensa ou exoneração da função por iniciativa da reclamada, desde que o empregado tivesse no mínimo 5 anos e menos de 10 anos de exercício de função gerencial, técnica, de atividade especial, FAT/FAO, ou de dirigente da ECT.</w:t>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A reclamada trouxe aos autos Memorando Circular 00676-VIGEP, datado de 05/05/2014, dando notícia da extinção da GPTF, resguardando, entretanto, o direito à parcela a todos os empregados cujas portarias de dispensa das funções já houvessem sido emitidas, assinadas e tivessem data de vigência até o dia 02/05/2014 (item 2.1).</w:t>
      </w:r>
    </w:p>
    <w:p>
      <w:pPr>
        <w:pStyle w:val="Citacao"/>
        <w:tabs>
          <w:tab w:val="clear" w:pos="420"/>
        </w:tabs>
        <w:spacing w:lineRule="auto" w:line="240" w:before="0" w:after="0"/>
        <w:ind w:left="1701" w:right="0" w:firstLine="567"/>
        <w:jc w:val="both"/>
        <w:rPr/>
      </w:pPr>
      <w:r>
        <w:rPr>
          <w:rStyle w:val="Nfaseforte"/>
          <w:rFonts w:cs="Arial Narrow" w:ascii="Arial" w:hAnsi="Arial"/>
          <w:color w:val="0000FF"/>
          <w:sz w:val="22"/>
          <w:szCs w:val="22"/>
        </w:rPr>
        <w:t>Ora, observa-se que a gratificação em questão foi revogada enquanto a reclamante ainda exercia função de confiança (maio/2014), e não estava mais vigente à época em que a reclamante foi exonerada da função de confiança (janeiro/2015).</w:t>
      </w:r>
    </w:p>
    <w:p>
      <w:pPr>
        <w:pStyle w:val="Citacao"/>
        <w:tabs>
          <w:tab w:val="clear" w:pos="420"/>
        </w:tabs>
        <w:spacing w:lineRule="auto" w:line="240" w:before="0" w:after="0"/>
        <w:ind w:left="1701" w:right="0" w:firstLine="567"/>
        <w:jc w:val="both"/>
        <w:rPr/>
      </w:pPr>
      <w:r>
        <w:rPr>
          <w:rStyle w:val="Nfaseforte"/>
          <w:rFonts w:cs="Arial Narrow" w:ascii="Arial" w:hAnsi="Arial"/>
          <w:color w:val="0000FF"/>
          <w:sz w:val="22"/>
          <w:szCs w:val="22"/>
        </w:rPr>
        <w:t>Dessa forma, a reclamante tinha mera expectativa de direito à gratificação, e não direito adquirido, pois durante sua vigência não preencheu os requisitos para o pagamento. O artigo 468 da CLT e a Súmula 51, I, do TST, visam a proteger os direitos assegurados por norma interna da empresa e concedidos ao trabalhador, impedindo, a título de exemplo, que uma gratificação paga seja suprimida ou reduzida por alteração do regramento. Não é o caso da reclamante, que, como dito, tinha mera expectativa de direito ao recebimento da vantagem, situação que não é protegida simplesmente por não configurar alteração contratual.</w:t>
      </w:r>
      <w:r>
        <w:rPr>
          <w:rStyle w:val="Fontepargpadro"/>
          <w:rFonts w:cs="Arial Narrow" w:ascii="Arial" w:hAnsi="Arial"/>
          <w:color w:val="0000FF"/>
          <w:sz w:val="22"/>
          <w:szCs w:val="22"/>
        </w:rPr>
        <w:t>" (TRT8 RO 0000682-41.2015.5.08.0014; 3ª Turma; RELATOR: Desembargador Luis J. J. Ribeiro; publicado em 29/03/2016) - d.n.</w:t>
      </w:r>
    </w:p>
    <w:p>
      <w:pPr>
        <w:pStyle w:val="Textojustificadorecuoprimeiralinha"/>
        <w:spacing w:lineRule="auto" w:line="24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Referida decisão foi mantida em grau de Recurso de Revista pelo Ministro HUGO CARLOS SCHEUERMANN, nos seguintes termos:</w:t>
      </w:r>
    </w:p>
    <w:p>
      <w:pPr>
        <w:pStyle w:val="Citacao"/>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"Diante do quadro fático delineado pelo Tribunal a quo,depreende-se que a 'Gratificação Provisória por Tempo de Função – GPTF' foi prevista em 01/05/2012 para a hipótese de dispensa ou exoneração da função por iniciativa da reclamada, desde que o empregado tivesse no mínimo 5 anos e menos de 10 anos de exercício de função de confiança, e que esta parcela foi extinta em 05/05/2014. A reclamante foi exonerada da função de confiança em janeiro de 2015, momento posterior à revogação da parcela GPTF. Assim, não resultou demonstrada a existência de alteração contratual lesiva, pois não restaram preenchidos os requisitos para o pagamento da gratificação. Não se vislumbra, portanto, a violação do art. 468 da CLT.</w:t>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No que concerne à alegada contrariedade à Súmula 51, I, do TST, esta não se configura, porquanto não cumpridos os requisitos da norma no decorrer da sua vigência."</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No mesmo sentido:</w:t>
      </w:r>
    </w:p>
    <w:p>
      <w:pPr>
        <w:pStyle w:val="Citacao"/>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Citacao"/>
        <w:tabs>
          <w:tab w:val="clear" w:pos="420"/>
        </w:tabs>
        <w:spacing w:lineRule="auto" w:line="240" w:before="0" w:after="0"/>
        <w:ind w:left="1701" w:right="0" w:hanging="0"/>
        <w:jc w:val="both"/>
        <w:rPr/>
      </w:pPr>
      <w:r>
        <w:rPr>
          <w:rStyle w:val="Fontepargpadro"/>
          <w:rFonts w:cs="Arial Narrow" w:ascii="Arial" w:hAnsi="Arial"/>
          <w:color w:val="0000FF"/>
          <w:sz w:val="22"/>
          <w:szCs w:val="22"/>
        </w:rPr>
        <w:t>"FUNÇÃO DE APOIO TÉCNICO - FAT. SUBSTITUIÇÃO PELA GRATIFICAÇÃO PROVISÓRIA POR TEMPO DE FUNÇÃO - GPTF. REGULAMENTO EMPRESARIAL. ALTERAÇÃO CONTRATUAL. VALIDADE. NÃO PREENCHIMENTO DOS REQUISITOS PARA RECEBIMENTO DA PARCELA AO TEMPO DA MODIFICAÇÃO 1 -</w:t>
      </w:r>
      <w:r>
        <w:rPr>
          <w:rStyle w:val="Nfaseforte"/>
          <w:rFonts w:cs="Arial Narrow" w:ascii="Arial" w:hAnsi="Arial"/>
          <w:color w:val="0000FF"/>
          <w:sz w:val="22"/>
          <w:szCs w:val="22"/>
          <w:u w:val="single"/>
        </w:rPr>
        <w:t xml:space="preserve"> O Tribunal Regional consignou que a alteração no regulamento da ECT - Empresa Brasileira de Correios e Telégrafos, ao substituir a Função de Apoio Técnico - FAT pela Gratificação Provisória por Tempo de Serviço - GPTS, foi prejudicial aos empregados. Registrou, entretanto, que tais rubricas somente eram pagas aos empregados que, dentre outros requisitos, tivessem exercido funções de confiança durante, no mínimo, 5 anos, ainda que ininterruptos. No caso do reclamante, não teria havido alteração contratual ilícita, pois ao tempo da modificação do regulamento empresarial, em 1/5/2012, este ainda não tinha completado 5 anos no exercício de cargo de chefia. 2 - As vantagens concedidas pelo empregador ao empregado somente se incorporam ao seu patrimônio jurídico quando efetivamente preenchidos os requisitos para demandar a sua observância pelo empregador. Não lhe sendo ap</w:t>
      </w:r>
      <w:r>
        <w:rPr>
          <w:rStyle w:val="Nfaseforte"/>
          <w:rFonts w:cs="Arial Narrow" w:ascii="Arial" w:hAnsi="Arial"/>
          <w:color w:val="2A6099"/>
          <w:sz w:val="22"/>
          <w:szCs w:val="22"/>
          <w:u w:val="single"/>
        </w:rPr>
        <w:t>licada a regra regulamentar ao tempo da supressão ou alteração, ausente afronta ao princípio da inalterabilidade contratual lesiva, positivado no art. 468 da CLT. 3 - No caso em análise, o reclamante não tinha preenchido, ao tempo da substituição da Função de Apoio Técnico - FAT pela Gratificação Provisória por Tempo de Serviço - GPTS, os 5 anos no exercício de funções de confiança junto à reclamada. Desta feita, ausente alteração contratual ilícita. A decisão regional, ao estabelecer que a alteração realizada pela reclamada no manual de pessoal, com vigência a par</w:t>
      </w:r>
      <w:r>
        <w:rPr>
          <w:rStyle w:val="Nfaseforte"/>
          <w:rFonts w:cs="Arial Narrow" w:ascii="Arial" w:hAnsi="Arial"/>
          <w:color w:val="2A6099"/>
          <w:sz w:val="22"/>
          <w:szCs w:val="22"/>
          <w:u w:val="single"/>
        </w:rPr>
        <w:t>ti</w:t>
      </w:r>
      <w:r>
        <w:rPr>
          <w:rStyle w:val="Nfaseforte"/>
          <w:rFonts w:cs="Arial Narrow" w:ascii="Arial" w:hAnsi="Arial"/>
          <w:color w:val="2A6099"/>
          <w:sz w:val="22"/>
          <w:szCs w:val="22"/>
          <w:u w:val="single"/>
        </w:rPr>
        <w:t>r de 1º/5/2012, poderia ser aplicada ao reclamante, decidiu em plena consonância com a Súmula nº 51, I, do TST</w:t>
      </w:r>
      <w:r>
        <w:rPr>
          <w:rStyle w:val="Fontepargpadro"/>
          <w:rFonts w:cs="Arial Narrow" w:ascii="Arial" w:hAnsi="Arial"/>
          <w:color w:val="2A6099"/>
          <w:sz w:val="22"/>
          <w:szCs w:val="22"/>
        </w:rPr>
        <w:t>. 4 - Agravo de instrumento a que se nega provimento." (ARR - 20074- 35.2016.5.04.0016, Relatora Ministra Kátia Magalhães Arruda, 6ª Turma, DEJT 14/12/2018) – d.n.</w:t>
      </w:r>
    </w:p>
    <w:p>
      <w:pPr>
        <w:pStyle w:val="Citacao"/>
        <w:tabs>
          <w:tab w:val="clear" w:pos="420"/>
        </w:tabs>
        <w:spacing w:lineRule="auto" w:line="240" w:before="0" w:after="0"/>
        <w:ind w:left="1701" w:right="0" w:hanging="0"/>
        <w:jc w:val="both"/>
        <w:rPr>
          <w:rFonts w:ascii="Arial" w:hAnsi="Arial"/>
          <w:color w:val="2A6099"/>
          <w:sz w:val="22"/>
          <w:szCs w:val="22"/>
        </w:rPr>
      </w:pPr>
      <w:r>
        <w:rPr>
          <w:rFonts w:ascii="Arial" w:hAnsi="Arial"/>
          <w:color w:val="2A6099"/>
          <w:sz w:val="22"/>
          <w:szCs w:val="22"/>
        </w:rPr>
      </w:r>
    </w:p>
    <w:p>
      <w:pPr>
        <w:pStyle w:val="Normal"/>
        <w:widowControl/>
        <w:tabs>
          <w:tab w:val="clear" w:pos="420"/>
        </w:tabs>
        <w:suppressAutoHyphens w:val="false"/>
        <w:spacing w:lineRule="auto" w:line="240"/>
        <w:ind w:left="2268" w:right="0" w:hanging="0"/>
        <w:jc w:val="both"/>
        <w:textAlignment w:val="auto"/>
        <w:rPr/>
      </w:pPr>
      <w:r>
        <w:rPr>
          <w:rStyle w:val="Fontepargpadro"/>
          <w:rFonts w:cs="Arial Narrow" w:ascii="Arial" w:hAnsi="Arial"/>
          <w:color w:val="2A6099"/>
          <w:sz w:val="22"/>
          <w:szCs w:val="22"/>
        </w:rPr>
        <w:t xml:space="preserve">"(...) B) RECURSO DE REVISTA INTERPOSTO PELO RECLAMANTE. </w:t>
      </w:r>
      <w:r>
        <w:rPr>
          <w:rStyle w:val="Fontepargpadro"/>
          <w:rFonts w:cs="Arial Narrow" w:ascii="Arial" w:hAnsi="Arial"/>
          <w:b/>
          <w:color w:val="2A6099"/>
          <w:sz w:val="22"/>
          <w:szCs w:val="22"/>
        </w:rPr>
        <w:t>ITF - INCORPORAÇÃO POR TEMPO DE FUNÇÃO. EXERCÍCIO POR MENOS DE DEZ ANOS. NÃO INCORPORAÇÃO</w:t>
      </w:r>
      <w:r>
        <w:rPr>
          <w:rStyle w:val="Fontepargpadro"/>
          <w:rFonts w:cs="Arial Narrow" w:ascii="Arial" w:hAnsi="Arial"/>
          <w:color w:val="2A6099"/>
          <w:sz w:val="22"/>
          <w:szCs w:val="22"/>
        </w:rPr>
        <w:t xml:space="preserve">. </w:t>
      </w:r>
      <w:r>
        <w:rPr>
          <w:rStyle w:val="Fontepargpadro"/>
          <w:rFonts w:cs="Arial Narrow" w:ascii="Arial" w:hAnsi="Arial"/>
          <w:b/>
          <w:color w:val="2A6099"/>
          <w:sz w:val="22"/>
          <w:szCs w:val="22"/>
        </w:rPr>
        <w:t>In casu , a Corte de origem consignou que o reclamante não fazia jus à incorporação pleiteada, porque não foi atendido o requisito temporal previsto nos regulamentos internos da ECT. Concluiu que a pretensão do reclamante era de incorporar a ITF que não mais subsistia no regramento interno da reclamada, a qual havia já sido extinta anos antes de ele reunir os requisitos para a sua concessão, não sendo possível entender que a parcela aderiu ao contrato de trabalho</w:t>
      </w:r>
      <w:r>
        <w:rPr>
          <w:rStyle w:val="Fontepargpadro"/>
          <w:rFonts w:cs="Arial Narrow" w:ascii="Arial" w:hAnsi="Arial"/>
          <w:color w:val="2A6099"/>
          <w:sz w:val="22"/>
          <w:szCs w:val="22"/>
        </w:rPr>
        <w:t>. Recurso de revista não conhecido " (RRAg-21160-17.2016.5.04.0024, 8ª Turma, Relatora Ministra Dora Maria da Costa, DEJT 11/02/2022) – d.n.</w:t>
      </w:r>
    </w:p>
    <w:p>
      <w:pPr>
        <w:pStyle w:val="Normal"/>
        <w:widowControl/>
        <w:tabs>
          <w:tab w:val="clear" w:pos="420"/>
        </w:tabs>
        <w:suppressAutoHyphens w:val="false"/>
        <w:spacing w:lineRule="auto" w:line="240"/>
        <w:ind w:left="2268" w:right="0" w:hanging="0"/>
        <w:jc w:val="both"/>
        <w:textAlignment w:val="auto"/>
        <w:rPr>
          <w:rFonts w:ascii="Arial" w:hAnsi="Arial" w:cs="Arial Narrow"/>
          <w:color w:val="2A6099"/>
          <w:sz w:val="22"/>
          <w:szCs w:val="22"/>
        </w:rPr>
      </w:pPr>
      <w:r>
        <w:rPr>
          <w:rFonts w:cs="Arial Narrow" w:ascii="Arial" w:hAnsi="Arial"/>
          <w:color w:val="2A6099"/>
          <w:sz w:val="22"/>
          <w:szCs w:val="22"/>
        </w:rPr>
      </w:r>
    </w:p>
    <w:p>
      <w:pPr>
        <w:pStyle w:val="Normal"/>
        <w:widowControl/>
        <w:tabs>
          <w:tab w:val="clear" w:pos="420"/>
        </w:tabs>
        <w:suppressAutoHyphens w:val="false"/>
        <w:spacing w:lineRule="auto" w:line="240"/>
        <w:ind w:left="2268" w:right="0" w:hanging="0"/>
        <w:jc w:val="both"/>
        <w:textAlignment w:val="auto"/>
        <w:rPr>
          <w:rFonts w:ascii="Arial" w:hAnsi="Arial" w:cs="Arial Narrow"/>
          <w:color w:val="2A6099"/>
          <w:sz w:val="22"/>
          <w:szCs w:val="22"/>
        </w:rPr>
      </w:pPr>
      <w:r>
        <w:rPr>
          <w:rFonts w:cs="Arial Narrow" w:ascii="Arial" w:hAnsi="Arial"/>
          <w:color w:val="2A6099"/>
          <w:sz w:val="22"/>
          <w:szCs w:val="22"/>
        </w:rPr>
        <w:t>“</w:t>
      </w:r>
      <w:r>
        <w:rPr>
          <w:rFonts w:cs="Arial Narrow" w:ascii="Arial" w:hAnsi="Arial"/>
          <w:color w:val="2A6099"/>
          <w:sz w:val="22"/>
          <w:szCs w:val="22"/>
        </w:rPr>
        <w:t>RECURSO DE REVISTA. VIGÊNCIA DA LEI Nº 13.467/17. GRATIFICAÇÃO DE FUNÇÃO PREVISTA EM NORMA INTERNA REVOGADA ANTES DA IMPLEMENTAÇÃO DO REQUISITO OBJETIVO-TEMPORAL (10 ANOS NA FUNÇÃO). INEXISTÊNCIA DE DIREITO ADQUIRIDO.</w:t>
      </w:r>
    </w:p>
    <w:p>
      <w:pPr>
        <w:pStyle w:val="Normal"/>
        <w:widowControl/>
        <w:tabs>
          <w:tab w:val="clear" w:pos="420"/>
        </w:tabs>
        <w:suppressAutoHyphens w:val="false"/>
        <w:spacing w:lineRule="auto" w:line="240"/>
        <w:ind w:left="2268" w:right="0" w:hanging="0"/>
        <w:jc w:val="both"/>
        <w:textAlignment w:val="auto"/>
        <w:rPr>
          <w:rFonts w:ascii="Arial" w:hAnsi="Arial" w:cs="Arial Narrow"/>
          <w:b/>
          <w:bCs/>
          <w:color w:val="2A6099"/>
          <w:sz w:val="22"/>
          <w:szCs w:val="22"/>
          <w:u w:val="single"/>
        </w:rPr>
      </w:pPr>
      <w:r>
        <w:rPr>
          <w:rFonts w:cs="Arial Narrow" w:ascii="Arial" w:hAnsi="Arial"/>
          <w:b/>
          <w:bCs/>
          <w:color w:val="2A6099"/>
          <w:sz w:val="22"/>
          <w:szCs w:val="22"/>
          <w:u w:val="single"/>
        </w:rPr>
        <w:t>1. O Tribunal Regional registrou “a ITF (INCORPORAÇÃO POR TEMPO DE FUNÇÃO) foi instituída no âmbito da reclamada em 2012, como 'mecanismo de incorporação administrativa de função concedida aos empregados que forem dispensados do exercício de função após um período igual ou superior a 10 anos, de função.' (Manual de Pessoal, Módulo 36, capítulo 1, item 2 - ID 2d8960d)”. Destacou, no entanto, que “em 2014, por decisão do Conselho de Administração da ECT, a ITF foi extinta e, consequentemente, revogadas as referidas disposições do Módulo 36 do MANPES”.</w:t>
      </w:r>
    </w:p>
    <w:p>
      <w:pPr>
        <w:pStyle w:val="Normal"/>
        <w:widowControl/>
        <w:tabs>
          <w:tab w:val="clear" w:pos="420"/>
        </w:tabs>
        <w:suppressAutoHyphens w:val="false"/>
        <w:spacing w:lineRule="auto" w:line="240"/>
        <w:ind w:left="2268" w:right="0" w:hanging="0"/>
        <w:jc w:val="both"/>
        <w:textAlignment w:val="auto"/>
        <w:rPr>
          <w:rFonts w:ascii="Arial" w:hAnsi="Arial" w:cs="Arial Narrow"/>
          <w:b/>
          <w:bCs/>
          <w:color w:val="2A6099"/>
          <w:sz w:val="22"/>
          <w:szCs w:val="22"/>
          <w:u w:val="single"/>
        </w:rPr>
      </w:pPr>
      <w:r>
        <w:rPr>
          <w:rFonts w:cs="Arial Narrow" w:ascii="Arial" w:hAnsi="Arial"/>
          <w:b/>
          <w:bCs/>
          <w:color w:val="2A6099"/>
          <w:sz w:val="22"/>
          <w:szCs w:val="22"/>
          <w:u w:val="single"/>
        </w:rPr>
        <w:t>2. Invocando a inalterabilidade contratual lesiva, firmou entendimento no sentido de que “a revogação da norma interna dois anos após a sua edição não possui o condão de afastar o surgimento do direito ao reclamante”, ainda que haja apontado que o requisito objetivo-temporal previsto na norma interna ocorreu apenas em 2020, ou seja, seis anos depois da revogação da norma que instituiu o direito.</w:t>
      </w:r>
    </w:p>
    <w:p>
      <w:pPr>
        <w:pStyle w:val="Normal"/>
        <w:widowControl/>
        <w:tabs>
          <w:tab w:val="clear" w:pos="420"/>
        </w:tabs>
        <w:suppressAutoHyphens w:val="false"/>
        <w:spacing w:lineRule="auto" w:line="240"/>
        <w:ind w:left="2268" w:right="0" w:hanging="0"/>
        <w:jc w:val="both"/>
        <w:textAlignment w:val="auto"/>
        <w:rPr>
          <w:rFonts w:ascii="Arial" w:hAnsi="Arial" w:cs="Arial Narrow"/>
          <w:b/>
          <w:bCs/>
          <w:color w:val="2A6099"/>
          <w:sz w:val="22"/>
          <w:szCs w:val="22"/>
          <w:u w:val="single"/>
        </w:rPr>
      </w:pPr>
      <w:r>
        <w:rPr>
          <w:rFonts w:cs="Arial Narrow" w:ascii="Arial" w:hAnsi="Arial"/>
          <w:b/>
          <w:bCs/>
          <w:color w:val="2A6099"/>
          <w:sz w:val="22"/>
          <w:szCs w:val="22"/>
          <w:u w:val="single"/>
        </w:rPr>
        <w:t>3. A reversão ao cargo efetivo configura alteração lícita do contrato de trabalho, não assegurando ao empregado o direito à manutenção do pagamento da gratificação correspondente, ressalvadas as hipóteses em  que há previsão expressa do direito à incorporação em lei, cláusula coletiva ou norma interna e o empregado implemente os requisitos previstos durante o período de sua vigência.</w:t>
      </w:r>
    </w:p>
    <w:p>
      <w:pPr>
        <w:pStyle w:val="Normal"/>
        <w:widowControl/>
        <w:tabs>
          <w:tab w:val="clear" w:pos="420"/>
        </w:tabs>
        <w:suppressAutoHyphens w:val="false"/>
        <w:spacing w:lineRule="auto" w:line="240"/>
        <w:ind w:left="2268" w:right="0" w:hanging="0"/>
        <w:jc w:val="both"/>
        <w:textAlignment w:val="auto"/>
        <w:rPr>
          <w:rFonts w:ascii="Arial" w:hAnsi="Arial" w:cs="Arial Narrow"/>
          <w:b/>
          <w:bCs/>
          <w:color w:val="2A6099"/>
          <w:sz w:val="22"/>
          <w:szCs w:val="22"/>
          <w:u w:val="single"/>
        </w:rPr>
      </w:pPr>
      <w:r>
        <w:rPr>
          <w:rFonts w:cs="Arial Narrow" w:ascii="Arial" w:hAnsi="Arial"/>
          <w:b/>
          <w:bCs/>
          <w:color w:val="2A6099"/>
          <w:sz w:val="22"/>
          <w:szCs w:val="22"/>
          <w:u w:val="single"/>
        </w:rPr>
        <w:t>4. Em tal contexto, não há falar em direito adquirido, mas em mera expectativa que não se consumou.</w:t>
      </w:r>
    </w:p>
    <w:p>
      <w:pPr>
        <w:pStyle w:val="Normal"/>
        <w:widowControl/>
        <w:tabs>
          <w:tab w:val="clear" w:pos="420"/>
        </w:tabs>
        <w:suppressAutoHyphens w:val="false"/>
        <w:spacing w:lineRule="auto" w:line="240"/>
        <w:ind w:left="2268" w:right="0" w:hanging="0"/>
        <w:jc w:val="both"/>
        <w:textAlignment w:val="auto"/>
        <w:rPr>
          <w:rFonts w:ascii="Arial" w:hAnsi="Arial" w:cs="Arial Narrow"/>
          <w:color w:val="2A6099"/>
          <w:sz w:val="22"/>
          <w:szCs w:val="22"/>
        </w:rPr>
      </w:pPr>
      <w:r>
        <w:rPr>
          <w:rFonts w:cs="Arial Narrow" w:ascii="Arial" w:hAnsi="Arial"/>
          <w:color w:val="2A6099"/>
          <w:sz w:val="22"/>
          <w:szCs w:val="22"/>
        </w:rPr>
        <w:t xml:space="preserve">Recurso de revista conhecido e provido.” (TST-RR-860-33.2020.5.10.0022; Órgão Julgador: 1ª Turma; Relator: Min. AMAURY RODRIGUES PINTO JUNIOR; julgado em: 18/0820222) – d.n.  </w:t>
      </w:r>
    </w:p>
    <w:p>
      <w:pPr>
        <w:pStyle w:val="Textojustificadorecuoprimeiralinha"/>
        <w:spacing w:lineRule="auto" w:line="360" w:before="0" w:after="0"/>
        <w:ind w:left="0" w:right="0" w:firstLine="1701"/>
        <w:jc w:val="both"/>
        <w:rPr>
          <w:rFonts w:ascii="Arial" w:hAnsi="Arial" w:cs="Arial Narrow"/>
          <w:color w:val="2A6099"/>
          <w:sz w:val="22"/>
          <w:szCs w:val="22"/>
        </w:rPr>
      </w:pPr>
      <w:r>
        <w:rPr>
          <w:rFonts w:cs="Arial Narrow" w:ascii="Arial" w:hAnsi="Arial"/>
          <w:color w:val="2A6099"/>
          <w:sz w:val="22"/>
          <w:szCs w:val="22"/>
        </w:rPr>
      </w:r>
    </w:p>
    <w:p>
      <w:pPr>
        <w:pStyle w:val="Textojustificadorecuoprimeiralinha"/>
        <w:spacing w:lineRule="auto" w:line="360" w:before="0" w:after="0"/>
        <w:ind w:left="0" w:right="0" w:firstLine="1701"/>
        <w:jc w:val="both"/>
        <w:rPr/>
      </w:pPr>
      <w:r>
        <w:rPr>
          <w:rStyle w:val="Fontepargpadro"/>
          <w:rFonts w:cs="Arial Narrow" w:ascii="Arial" w:hAnsi="Arial"/>
          <w:color w:val="2A6099"/>
          <w:sz w:val="22"/>
          <w:szCs w:val="22"/>
        </w:rPr>
        <w:t>Dessa forma, e tendo em vista ainda que não há direito adquirido a função gratificada nem a regime jurídico, fica desde já requerido que, no caso d</w:t>
      </w:r>
      <w:r>
        <w:rPr>
          <w:rStyle w:val="Fontepargpadro"/>
          <w:rFonts w:cs="Arial Narrow" w:ascii="Arial" w:hAnsi="Arial"/>
          <w:color w:val="0000FF"/>
          <w:sz w:val="22"/>
          <w:szCs w:val="22"/>
        </w:rPr>
        <w:t>e eventual condenação de incorporação nos termos das normas internas já revogadas, a metodologia de cálculo (valores a serem considerados para apuração da média ponderada e percentual a ser aplicado sobre essa média) levem em consideração apenas o período compreendido entre o início do exercício das funções e as datas das respectivas revogações.</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tabs>
          <w:tab w:val="clear" w:pos="420"/>
        </w:tabs>
        <w:spacing w:lineRule="auto" w:line="360" w:before="0" w:after="0"/>
        <w:ind w:left="1701" w:right="0" w:hanging="0"/>
        <w:jc w:val="both"/>
        <w:rPr/>
      </w:pPr>
      <w:r>
        <w:rPr>
          <w:rStyle w:val="Nfaseforte"/>
          <w:rFonts w:cs="Arial Narrow" w:ascii="Arial" w:hAnsi="Arial"/>
          <w:color w:val="FF0000"/>
          <w:sz w:val="22"/>
          <w:szCs w:val="22"/>
          <w:u w:val="single"/>
        </w:rPr>
        <w:t>3. INCORPORAÇÃO DE PARCELAS PERCEBIDAS A TÍTULO DE SUBSTITUIÇÃO – IMPOSSIBILIDADE.</w:t>
      </w:r>
      <w:r>
        <w:rPr>
          <w:rStyle w:val="Nfaseforte"/>
          <w:rFonts w:cs="Arial Narrow" w:ascii="Arial" w:hAnsi="Arial"/>
          <w:color w:val="FF0000"/>
          <w:sz w:val="22"/>
          <w:szCs w:val="22"/>
        </w:rPr>
        <w:t xml:space="preserve"> - SE HOUVER SUBSTITUIÇÃO</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Caso deferida a pretensão do Reclamante de incorporação pleiteada na inicial, o que se admite por medida de cautela apenas, certo é que tal integração não pode abranger parcelas recebidas pelo empregado a título de substituição, eis que somente as verbas percebidas pelo exercício de função gratificadas exercidas em caráter de titularidade podem ser incorporadas.</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No caso, veja-se que as verbas referentes às funções exercidas em caráter de substituição foram percebidas apenas por alguns meses no curso dos últimos 10 anos (registros contido na ficha cadastral em anexo).</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Atente-se, nesse ponto, para o fato de que a gratificação pela “Substituição”, como o próprio nome indica, somente era quitada quando havia substituição do titular, o que demonstra a sazonalidade do pagamento, afastando pretensa estabilidade financeira quanto a tais rubricas.</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Aliás, veja-se que a própria norma que regulava o instituto da FAT/FAO (Manpes Mod 55, Cap 2, em anexo) dispunha pela impossibilidade de contagem do tempo de exercício de função em caráter de substituição em período inferior a 180 dias:</w:t>
      </w:r>
    </w:p>
    <w:p>
      <w:pPr>
        <w:pStyle w:val="Citacao"/>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Citacao"/>
        <w:tabs>
          <w:tab w:val="clear" w:pos="420"/>
        </w:tabs>
        <w:spacing w:lineRule="auto" w:line="240" w:before="0" w:after="0"/>
        <w:ind w:left="1701" w:right="0" w:hanging="0"/>
        <w:jc w:val="both"/>
        <w:rPr>
          <w:rFonts w:ascii="Arial" w:hAnsi="Arial" w:cs="Arial Narrow"/>
          <w:color w:val="FF0000"/>
          <w:sz w:val="22"/>
          <w:szCs w:val="22"/>
        </w:rPr>
      </w:pPr>
      <w:r>
        <w:rPr>
          <w:rFonts w:cs="Arial Narrow" w:ascii="Arial" w:hAnsi="Arial"/>
          <w:color w:val="FF0000"/>
          <w:sz w:val="22"/>
          <w:szCs w:val="22"/>
        </w:rPr>
        <w:t>“</w:t>
      </w:r>
      <w:r>
        <w:rPr>
          <w:rFonts w:cs="Arial Narrow" w:ascii="Arial" w:hAnsi="Arial"/>
          <w:color w:val="FF0000"/>
          <w:sz w:val="22"/>
          <w:szCs w:val="22"/>
        </w:rPr>
        <w:t>3.1.1 Deverá ser considerado para efeito da contagem do tempo de exercício de função o período como titular, bem como aquele em que o empregado esteve substituindo o titular da função, desde que a substituição seja superiora a 180 dias ininterruptos”.</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Das fichas cadastrais anexas vê-se que as substituições da Reclamante, no geral, não ultrapassavam 30 dias ininterruptos, não se beneficiando, portanto, de referida norma interna.</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Ora, em assim sendo, certo é que eventual incorporação, ainda que devida, poderia se dar, no máximo, de forma a abranger as gratificações da função percebidas pelo Reclamante em caráter de titularidade.</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tabs>
          <w:tab w:val="clear" w:pos="420"/>
        </w:tabs>
        <w:spacing w:lineRule="auto" w:line="360" w:before="0" w:after="0"/>
        <w:ind w:left="1701" w:right="0" w:hanging="0"/>
        <w:jc w:val="both"/>
        <w:rPr/>
      </w:pPr>
      <w:r>
        <w:rPr>
          <w:rStyle w:val="Nfaseforte"/>
          <w:rFonts w:cs="Arial Narrow" w:ascii="Arial" w:hAnsi="Arial"/>
          <w:color w:val="008000"/>
          <w:sz w:val="22"/>
          <w:szCs w:val="22"/>
          <w:u w:val="single"/>
        </w:rPr>
        <w:t>4. REAJUSTE DA INCORPORAÇÃO COM BASE NOS ÍNDICES DEFINIDOS NOS ACORDOS COLETIVOS DE TRABALHO.</w:t>
      </w:r>
      <w:r>
        <w:rPr>
          <w:rStyle w:val="Nfaseforte"/>
          <w:rFonts w:cs="Arial Narrow" w:ascii="Arial" w:hAnsi="Arial"/>
          <w:color w:val="008000"/>
          <w:sz w:val="22"/>
          <w:szCs w:val="22"/>
        </w:rPr>
        <w:t xml:space="preserve"> - SE HOUVER PEDIDO DE REAJUSTE</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Ainda que fosse o caso de deferimento da integração da média ponderada de gratificações de função percebidas pelo empregado nos termos em que pretendido, certo é que não procede o pleito de reajuste da incorporação com base nos percentuais definidos nos Acordos Coletivos de Trabalho firmados pela ECT.</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Isso porque, diferentemente do que quer fazer crer o obreiro, os valores concedidos a título de reajuste nos instrumentos normativos coletivos da categoria não dizem respeito às gratificações de funções pagas pela empresa aos seus colaboradores, mas apenas aos salários percebidos pelos empregados da ECT.</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Com efeito, conforme se pode verificar das cláusulas relativas aos reajustes conferidos (Cláusulas 63 e 64 do ACT 2015/2016 e Cláusula 64 do ACT 2016/2017, anexos aos autos) os percentuais e valores concedidos nesses anos sempre versaram sobre as tabelas salariais dos empregados, não sobre as tabelas de função da empresa.</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Nesse sentido cabe citar recente precedente desse E. Regional, nos autos da ação trabalhista nº. 0025815-34.2016.5.24.0005, julgado em 02/02/2018, a 2ª Turma da Corte Regional, em voto exarado pelo eminente Desembargador RICARDO GERALDO MONTEIRO ZANDONA, vejamos:</w:t>
      </w:r>
    </w:p>
    <w:p>
      <w:pPr>
        <w:pStyle w:val="Citacao"/>
        <w:tabs>
          <w:tab w:val="clear" w:pos="420"/>
        </w:tabs>
        <w:spacing w:lineRule="auto" w:line="360" w:before="0" w:after="0"/>
        <w:ind w:left="1701" w:right="0" w:firstLine="567"/>
        <w:jc w:val="both"/>
        <w:rPr>
          <w:rFonts w:ascii="Arial" w:hAnsi="Arial" w:cs="Arial Narrow"/>
          <w:color w:val="008000"/>
          <w:sz w:val="22"/>
          <w:szCs w:val="22"/>
        </w:rPr>
      </w:pPr>
      <w:r>
        <w:rPr>
          <w:rFonts w:cs="Arial Narrow" w:ascii="Arial" w:hAnsi="Arial"/>
          <w:color w:val="008000"/>
          <w:sz w:val="22"/>
          <w:szCs w:val="22"/>
        </w:rPr>
      </w:r>
    </w:p>
    <w:p>
      <w:pPr>
        <w:pStyle w:val="Citacao"/>
        <w:tabs>
          <w:tab w:val="clear" w:pos="420"/>
        </w:tabs>
        <w:spacing w:lineRule="auto" w:line="240" w:before="0" w:after="0"/>
        <w:ind w:left="1701" w:right="0" w:firstLine="567"/>
        <w:jc w:val="both"/>
        <w:rPr>
          <w:rFonts w:ascii="Arial" w:hAnsi="Arial" w:cs="Arial Narrow"/>
          <w:color w:val="008000"/>
          <w:sz w:val="22"/>
          <w:szCs w:val="22"/>
        </w:rPr>
      </w:pPr>
      <w:r>
        <w:rPr>
          <w:rFonts w:cs="Arial Narrow" w:ascii="Arial" w:hAnsi="Arial"/>
          <w:color w:val="008000"/>
          <w:sz w:val="22"/>
          <w:szCs w:val="22"/>
        </w:rPr>
        <w:t>"2.3 - REAJUSTE DAS PARCELAS INCORPORADAS</w:t>
      </w:r>
    </w:p>
    <w:p>
      <w:pPr>
        <w:pStyle w:val="Citacao"/>
        <w:tabs>
          <w:tab w:val="clear" w:pos="420"/>
        </w:tabs>
        <w:spacing w:lineRule="auto" w:line="240" w:before="0" w:after="0"/>
        <w:ind w:left="1701" w:right="0" w:firstLine="567"/>
        <w:jc w:val="both"/>
        <w:rPr>
          <w:rFonts w:ascii="Arial" w:hAnsi="Arial" w:cs="Arial Narrow"/>
          <w:color w:val="008000"/>
          <w:sz w:val="22"/>
          <w:szCs w:val="22"/>
        </w:rPr>
      </w:pPr>
      <w:r>
        <w:rPr>
          <w:rFonts w:cs="Arial Narrow" w:ascii="Arial" w:hAnsi="Arial"/>
          <w:color w:val="008000"/>
          <w:sz w:val="22"/>
          <w:szCs w:val="22"/>
        </w:rPr>
        <w:t>Condenou-se a reclamada a incorporar e restabelecer o pagamento do "Complemento Remuneração Singular" e o "Complemento de Incentivo à Produtividade", com os reajustes salariais do período (f. 857).</w:t>
      </w:r>
    </w:p>
    <w:p>
      <w:pPr>
        <w:pStyle w:val="Citacao"/>
        <w:tabs>
          <w:tab w:val="clear" w:pos="420"/>
        </w:tabs>
        <w:spacing w:lineRule="auto" w:line="240" w:before="0" w:after="0"/>
        <w:ind w:left="1701" w:right="0" w:firstLine="567"/>
        <w:jc w:val="both"/>
        <w:rPr>
          <w:rFonts w:ascii="Arial" w:hAnsi="Arial" w:cs="Arial Narrow"/>
          <w:color w:val="008000"/>
          <w:sz w:val="22"/>
          <w:szCs w:val="22"/>
        </w:rPr>
      </w:pPr>
      <w:r>
        <w:rPr>
          <w:rFonts w:cs="Arial Narrow" w:ascii="Arial" w:hAnsi="Arial"/>
          <w:color w:val="008000"/>
          <w:sz w:val="22"/>
          <w:szCs w:val="22"/>
        </w:rPr>
        <w:t>Aduz a recorrente o seguinte:</w:t>
      </w:r>
    </w:p>
    <w:p>
      <w:pPr>
        <w:pStyle w:val="Citacao"/>
        <w:tabs>
          <w:tab w:val="clear" w:pos="420"/>
        </w:tabs>
        <w:spacing w:lineRule="auto" w:line="240" w:before="0" w:after="0"/>
        <w:ind w:left="1701" w:right="0" w:firstLine="567"/>
        <w:jc w:val="both"/>
        <w:rPr>
          <w:rFonts w:ascii="Arial" w:hAnsi="Arial" w:cs="Arial Narrow"/>
          <w:color w:val="008000"/>
          <w:sz w:val="22"/>
          <w:szCs w:val="22"/>
        </w:rPr>
      </w:pPr>
      <w:r>
        <w:rPr>
          <w:rFonts w:cs="Arial Narrow" w:ascii="Arial" w:hAnsi="Arial"/>
          <w:color w:val="008000"/>
          <w:sz w:val="22"/>
          <w:szCs w:val="22"/>
        </w:rPr>
        <w:t>a) os reajustes concedidos nos instrumentos normativos coletivos da categoria referem-se apenas aos salários e não às gratificações;</w:t>
      </w:r>
    </w:p>
    <w:p>
      <w:pPr>
        <w:pStyle w:val="Citacao"/>
        <w:tabs>
          <w:tab w:val="clear" w:pos="420"/>
        </w:tabs>
        <w:spacing w:lineRule="auto" w:line="240" w:before="0" w:after="0"/>
        <w:ind w:left="1701" w:right="0" w:firstLine="567"/>
        <w:jc w:val="both"/>
        <w:rPr>
          <w:rFonts w:ascii="Arial" w:hAnsi="Arial" w:cs="Arial Narrow"/>
          <w:color w:val="008000"/>
          <w:sz w:val="22"/>
          <w:szCs w:val="22"/>
        </w:rPr>
      </w:pPr>
      <w:r>
        <w:rPr>
          <w:rFonts w:cs="Arial Narrow" w:ascii="Arial" w:hAnsi="Arial"/>
          <w:color w:val="008000"/>
          <w:sz w:val="22"/>
          <w:szCs w:val="22"/>
        </w:rPr>
        <w:t>b) a parcela em questão é apontada em tabela própria, conforme comprova o documento ID da2d857;</w:t>
      </w:r>
    </w:p>
    <w:p>
      <w:pPr>
        <w:pStyle w:val="Citacao"/>
        <w:tabs>
          <w:tab w:val="clear" w:pos="420"/>
        </w:tabs>
        <w:spacing w:lineRule="auto" w:line="240" w:before="0" w:after="0"/>
        <w:ind w:left="1701" w:right="0" w:firstLine="567"/>
        <w:jc w:val="both"/>
        <w:rPr>
          <w:rFonts w:ascii="Arial" w:hAnsi="Arial" w:cs="Arial Narrow"/>
          <w:color w:val="008000"/>
          <w:sz w:val="22"/>
          <w:szCs w:val="22"/>
        </w:rPr>
      </w:pPr>
      <w:r>
        <w:rPr>
          <w:rFonts w:cs="Arial Narrow" w:ascii="Arial" w:hAnsi="Arial"/>
          <w:color w:val="008000"/>
          <w:sz w:val="22"/>
          <w:szCs w:val="22"/>
        </w:rPr>
        <w:t xml:space="preserve">c) o reclamante não pediu a correção com base nos valores e/ou percentuais aplicados às tabelas de função da ECT e se o </w:t>
        <w:noBreakHyphen/>
        <w:t>vesse feito, deveria ser considerado o fato de que a última tabela de gratificações de função é a vigente a par</w:t>
        <w:noBreakHyphen/>
        <w:t>r de 01.05.2015, não tendo havido reajuste nos valores de funções desde essa data.</w:t>
      </w:r>
    </w:p>
    <w:p>
      <w:pPr>
        <w:pStyle w:val="Citacao"/>
        <w:tabs>
          <w:tab w:val="clear" w:pos="420"/>
        </w:tabs>
        <w:spacing w:lineRule="auto" w:line="240" w:before="0" w:after="0"/>
        <w:ind w:left="1701" w:right="0" w:firstLine="567"/>
        <w:jc w:val="both"/>
        <w:rPr>
          <w:rFonts w:ascii="Arial" w:hAnsi="Arial" w:cs="Arial Narrow"/>
          <w:color w:val="008000"/>
          <w:sz w:val="22"/>
          <w:szCs w:val="22"/>
        </w:rPr>
      </w:pPr>
      <w:r>
        <w:rPr>
          <w:rFonts w:cs="Arial Narrow" w:ascii="Arial" w:hAnsi="Arial"/>
          <w:color w:val="008000"/>
          <w:sz w:val="22"/>
          <w:szCs w:val="22"/>
        </w:rPr>
        <w:t>O pedido de integração das parcelas com os valores vigentes na data da dispensa e com os respectivos reajustes foi formulado na inicial (f. 11-12).</w:t>
      </w:r>
    </w:p>
    <w:p>
      <w:pPr>
        <w:pStyle w:val="Citacao"/>
        <w:tabs>
          <w:tab w:val="clear" w:pos="420"/>
        </w:tabs>
        <w:spacing w:lineRule="auto" w:line="240" w:before="0" w:after="0"/>
        <w:ind w:left="1701" w:right="0" w:firstLine="567"/>
        <w:jc w:val="both"/>
        <w:rPr>
          <w:rFonts w:ascii="Arial" w:hAnsi="Arial" w:cs="Arial Narrow"/>
          <w:color w:val="008000"/>
          <w:sz w:val="22"/>
          <w:szCs w:val="22"/>
        </w:rPr>
      </w:pPr>
      <w:r>
        <w:rPr>
          <w:rFonts w:cs="Arial Narrow" w:ascii="Arial" w:hAnsi="Arial"/>
          <w:color w:val="008000"/>
          <w:sz w:val="22"/>
          <w:szCs w:val="22"/>
        </w:rPr>
        <w:t>O reclamante juntou aos autos o documento de f. 145 (Remuneração - Tabelas), no qual se verifica que a Área de Remuneração da reclamada atualizava os valores de várias Tabelas de Remuneração, entre elas a de Dirigentes e Conselheiros, cuja vigência é definida em norma específica e as demais tabelas, entre elas a do Complemento de Incentivo à Produtividade, de acordo com a data de vigência do ACT.</w:t>
      </w:r>
    </w:p>
    <w:p>
      <w:pPr>
        <w:pStyle w:val="Citacao"/>
        <w:tabs>
          <w:tab w:val="clear" w:pos="420"/>
        </w:tabs>
        <w:spacing w:lineRule="auto" w:line="240" w:before="0" w:after="0"/>
        <w:ind w:left="1701" w:right="0" w:firstLine="567"/>
        <w:jc w:val="both"/>
        <w:rPr>
          <w:rFonts w:ascii="Arial" w:hAnsi="Arial" w:cs="Arial Narrow"/>
          <w:color w:val="008000"/>
          <w:sz w:val="22"/>
          <w:szCs w:val="22"/>
        </w:rPr>
      </w:pPr>
      <w:r>
        <w:rPr>
          <w:rFonts w:cs="Arial Narrow" w:ascii="Arial" w:hAnsi="Arial"/>
          <w:color w:val="008000"/>
          <w:sz w:val="22"/>
          <w:szCs w:val="22"/>
        </w:rPr>
        <w:t>Juntou também tabelas de valores de funções, cujos valores são fixados por grupos/estados (f. 190) e de Complementos de Incentivo à Produtividade - CIPs, com vigência a partir de 01.05.2015 (f. 191-193), juntadas posteriormente pela reclamada (f.799-801).</w:t>
      </w:r>
    </w:p>
    <w:p>
      <w:pPr>
        <w:pStyle w:val="Citacao"/>
        <w:tabs>
          <w:tab w:val="clear" w:pos="420"/>
        </w:tabs>
        <w:spacing w:lineRule="auto" w:line="240" w:before="0" w:after="0"/>
        <w:ind w:left="1701" w:right="0" w:firstLine="567"/>
        <w:jc w:val="both"/>
        <w:rPr>
          <w:rFonts w:ascii="Arial" w:hAnsi="Arial" w:cs="Arial Narrow"/>
          <w:color w:val="008000"/>
          <w:sz w:val="22"/>
          <w:szCs w:val="22"/>
        </w:rPr>
      </w:pPr>
      <w:r>
        <w:rPr>
          <w:rFonts w:cs="Arial Narrow" w:ascii="Arial" w:hAnsi="Arial"/>
          <w:color w:val="008000"/>
          <w:sz w:val="22"/>
          <w:szCs w:val="22"/>
        </w:rPr>
        <w:t>Os ACTs juntados aos autos dispõem sobre reajuste salarial apenas quanto à Gratificação de Incentivo à Produtividade - GIP (2015/2016 - cláusula 63 - f. 728) e sobre a tabela salarial, após a incorporação da GIP (2016/2017 - cláusula 64ª - f. 285).</w:t>
      </w:r>
    </w:p>
    <w:p>
      <w:pPr>
        <w:pStyle w:val="Citacao"/>
        <w:tabs>
          <w:tab w:val="clear" w:pos="420"/>
        </w:tabs>
        <w:spacing w:lineRule="auto" w:line="240" w:before="0" w:after="0"/>
        <w:ind w:left="1701" w:right="0" w:firstLine="567"/>
        <w:jc w:val="both"/>
        <w:rPr/>
      </w:pPr>
      <w:r>
        <w:rPr>
          <w:rStyle w:val="Nfaseforte"/>
          <w:rFonts w:cs="Arial Narrow" w:ascii="Arial" w:hAnsi="Arial"/>
          <w:color w:val="008000"/>
          <w:sz w:val="22"/>
          <w:szCs w:val="22"/>
          <w:u w:val="single"/>
        </w:rPr>
        <w:t>Assim os reajustes das parcelas incorporadas, "Complemento Remuneração Singular" e o "Complemento de Incentivo à Produtividade", devem ser feitos com base nas tabelas de remuneração elaboradas pela reclamada, juntadas às f. 191-193 pelo próprio reclamante, devendo ser juntada aos autos na fase de liquidação da sentença, as novas tabelas de reajustamento, se for o caso.</w:t>
      </w:r>
    </w:p>
    <w:p>
      <w:pPr>
        <w:pStyle w:val="Citacao"/>
        <w:tabs>
          <w:tab w:val="clear" w:pos="420"/>
        </w:tabs>
        <w:spacing w:lineRule="auto" w:line="240" w:before="0" w:after="0"/>
        <w:ind w:left="1701" w:right="0" w:firstLine="567"/>
        <w:jc w:val="both"/>
        <w:rPr>
          <w:rFonts w:ascii="Arial" w:hAnsi="Arial" w:cs="Arial Narrow"/>
          <w:color w:val="008000"/>
          <w:sz w:val="22"/>
          <w:szCs w:val="22"/>
        </w:rPr>
      </w:pPr>
      <w:r>
        <w:rPr>
          <w:rFonts w:cs="Arial Narrow" w:ascii="Arial" w:hAnsi="Arial"/>
          <w:color w:val="008000"/>
          <w:sz w:val="22"/>
          <w:szCs w:val="22"/>
        </w:rPr>
        <w:t>Recurso provido." (d.n.)</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r>
    </w:p>
    <w:p>
      <w:pPr>
        <w:pStyle w:val="Textojustificadorecuoprimeiralinha"/>
        <w:spacing w:lineRule="auto" w:line="360" w:before="0" w:after="0"/>
        <w:ind w:left="0" w:right="0" w:firstLine="1701"/>
        <w:jc w:val="both"/>
        <w:rPr/>
      </w:pPr>
      <w:r>
        <w:rPr>
          <w:rStyle w:val="Fontepargpadro"/>
          <w:rFonts w:cs="Arial Narrow" w:ascii="Arial" w:hAnsi="Arial"/>
          <w:color w:val="008000"/>
          <w:sz w:val="22"/>
          <w:szCs w:val="22"/>
        </w:rPr>
        <w:t xml:space="preserve">Observe-se, nesse ponto, que a definição das parcelas pagas a título de gratificações aos empregados ocupantes de função de confiança é ato discricionário (baseado, portanto, em critérios de conveniência e oportunidade) e unilateral de competência exclusiva do órgão da diretoria da ECT (tabelas de gratificações de funções em anexo). Entender em modo diverso seria, </w:t>
      </w:r>
      <w:r>
        <w:rPr>
          <w:rStyle w:val="Nfase"/>
          <w:rFonts w:cs="Arial Narrow" w:ascii="Arial" w:hAnsi="Arial"/>
          <w:color w:val="008000"/>
          <w:sz w:val="22"/>
          <w:szCs w:val="22"/>
        </w:rPr>
        <w:t>data venia</w:t>
      </w:r>
      <w:r>
        <w:rPr>
          <w:rStyle w:val="Fontepargpadro"/>
          <w:rFonts w:cs="Arial Narrow" w:ascii="Arial" w:hAnsi="Arial"/>
          <w:color w:val="008000"/>
          <w:sz w:val="22"/>
          <w:szCs w:val="22"/>
        </w:rPr>
        <w:t>, intromissão indevida na própria atividade da Reclamada, empresa pública federal, o que configuraria violação direta ao princípio da reserva legal e da separação dos poderes.</w:t>
      </w:r>
    </w:p>
    <w:p>
      <w:pPr>
        <w:pStyle w:val="Textojustificadorecuoprimeiralinha"/>
        <w:spacing w:lineRule="auto" w:line="360" w:before="0" w:after="0"/>
        <w:ind w:left="0" w:right="0" w:firstLine="1701"/>
        <w:jc w:val="both"/>
        <w:rPr/>
      </w:pPr>
      <w:r>
        <w:rPr>
          <w:rStyle w:val="Fontepargpadro"/>
          <w:rFonts w:cs="Arial Narrow" w:ascii="Arial" w:hAnsi="Arial"/>
          <w:color w:val="008000"/>
          <w:sz w:val="22"/>
          <w:szCs w:val="22"/>
        </w:rPr>
        <w:t xml:space="preserve">Isso sem mencionar que se estaria atuando em clara ingerência na atividade empresarial, com interferência indevida no </w:t>
      </w:r>
      <w:r>
        <w:rPr>
          <w:rStyle w:val="Nfase"/>
          <w:rFonts w:cs="Arial Narrow" w:ascii="Arial" w:hAnsi="Arial"/>
          <w:color w:val="008000"/>
          <w:sz w:val="22"/>
          <w:szCs w:val="22"/>
        </w:rPr>
        <w:t xml:space="preserve">jus variandi </w:t>
      </w:r>
      <w:r>
        <w:rPr>
          <w:rStyle w:val="Fontepargpadro"/>
          <w:rFonts w:cs="Arial Narrow" w:ascii="Arial" w:hAnsi="Arial"/>
          <w:color w:val="008000"/>
          <w:sz w:val="22"/>
          <w:szCs w:val="22"/>
        </w:rPr>
        <w:t>do empregador, que tem a prerrogativa de arbitrar quais valores serão pagos aos ocupantes dos cargos gerenciais por ele criados.</w:t>
      </w:r>
    </w:p>
    <w:p>
      <w:pPr>
        <w:pStyle w:val="Textojustificadorecuoprimeiralinha"/>
        <w:spacing w:lineRule="auto" w:line="360" w:before="0" w:after="0"/>
        <w:ind w:left="0" w:right="0" w:firstLine="1701"/>
        <w:jc w:val="both"/>
        <w:rPr/>
      </w:pPr>
      <w:r>
        <w:rPr>
          <w:rStyle w:val="Fontepargpadro"/>
          <w:rFonts w:cs="Arial Narrow" w:ascii="Arial" w:hAnsi="Arial"/>
          <w:color w:val="008000"/>
          <w:sz w:val="22"/>
          <w:szCs w:val="22"/>
        </w:rPr>
        <w:t xml:space="preserve">Assim, totalmente indevido o pleito exordial de reajuste da incorporação da gratificação de função eventualmente deferida com base nos percentuais estabelecidos em Acordos Coletivos da categoria. Veja-se, douto julgador, que, no máximo, poder-se-ia falar, </w:t>
      </w:r>
      <w:r>
        <w:rPr>
          <w:rStyle w:val="Nfase"/>
          <w:rFonts w:cs="Arial Narrow" w:ascii="Arial" w:hAnsi="Arial"/>
          <w:color w:val="008000"/>
          <w:sz w:val="22"/>
          <w:szCs w:val="22"/>
        </w:rPr>
        <w:t>in casu</w:t>
      </w:r>
      <w:r>
        <w:rPr>
          <w:rStyle w:val="Fontepargpadro"/>
          <w:rFonts w:cs="Arial Narrow" w:ascii="Arial" w:hAnsi="Arial"/>
          <w:color w:val="008000"/>
          <w:sz w:val="22"/>
          <w:szCs w:val="22"/>
        </w:rPr>
        <w:t>, em correção com base nos valores e/ou percentuais aplicados às tabelas de função da ECT.</w:t>
      </w:r>
    </w:p>
    <w:p>
      <w:pPr>
        <w:pStyle w:val="Textojustificadorecuoprimeiralinha"/>
        <w:spacing w:lineRule="auto" w:line="360" w:before="0" w:after="0"/>
        <w:ind w:left="0" w:right="0" w:firstLine="1701"/>
        <w:jc w:val="both"/>
        <w:rPr/>
      </w:pPr>
      <w:r>
        <w:rPr>
          <w:rStyle w:val="Fontepargpadro"/>
          <w:rFonts w:cs="Arial Narrow" w:ascii="Arial" w:hAnsi="Arial"/>
          <w:color w:val="008000"/>
          <w:sz w:val="22"/>
          <w:szCs w:val="22"/>
        </w:rPr>
        <w:t xml:space="preserve">Ocorre que, consoante se pode observar da exordial, tal pedido não foi realizado pela Reclamante, de que modo que não pode ser deferido por este d. juízo sob pena de julgamento </w:t>
      </w:r>
      <w:r>
        <w:rPr>
          <w:rStyle w:val="Nfase"/>
          <w:rFonts w:cs="Arial Narrow" w:ascii="Arial" w:hAnsi="Arial"/>
          <w:color w:val="008000"/>
          <w:sz w:val="22"/>
          <w:szCs w:val="22"/>
        </w:rPr>
        <w:t>extra/ultra petita.</w:t>
      </w:r>
    </w:p>
    <w:p>
      <w:pPr>
        <w:pStyle w:val="Textojustificadorecuoprimeiralinha"/>
        <w:spacing w:lineRule="auto" w:line="360" w:before="0" w:after="0"/>
        <w:ind w:left="0" w:right="0" w:firstLine="1701"/>
        <w:jc w:val="both"/>
        <w:rPr>
          <w:rFonts w:ascii="Arial" w:hAnsi="Arial" w:cs="Arial Narrow"/>
          <w:color w:val="008000"/>
          <w:sz w:val="22"/>
          <w:szCs w:val="22"/>
        </w:rPr>
      </w:pPr>
      <w:r>
        <w:rPr>
          <w:rFonts w:cs="Arial Narrow" w:ascii="Arial" w:hAnsi="Arial"/>
          <w:color w:val="008000"/>
          <w:sz w:val="22"/>
          <w:szCs w:val="22"/>
        </w:rPr>
        <w:t>E ainda que houvesse tal pedido, o fato é a última tabela de gratificações de função na Reclamada é aquela vigente a par</w:t>
        <w:noBreakHyphen/>
        <w:t>r 01/05/2015 (anexa aos autos), de modo que não houve qualquer reajuste nos valores de funções desde essa data.</w:t>
      </w:r>
    </w:p>
    <w:p>
      <w:pPr>
        <w:pStyle w:val="Textojustificadorecuoprimeiralinha"/>
        <w:spacing w:lineRule="auto" w:line="360" w:before="0" w:after="0"/>
        <w:ind w:left="0" w:right="0" w:firstLine="1701"/>
        <w:jc w:val="both"/>
        <w:rPr/>
      </w:pPr>
      <w:r>
        <w:rPr>
          <w:rStyle w:val="Nfase"/>
          <w:rFonts w:cs="Arial Narrow" w:ascii="Arial" w:hAnsi="Arial"/>
          <w:b/>
          <w:bCs/>
          <w:color w:val="008000"/>
          <w:sz w:val="22"/>
          <w:szCs w:val="22"/>
          <w:u w:val="single"/>
        </w:rPr>
        <w:t>Data maxima venia</w:t>
      </w:r>
      <w:r>
        <w:rPr>
          <w:rStyle w:val="Nfaseforte"/>
          <w:rFonts w:cs="Arial Narrow" w:ascii="Arial" w:hAnsi="Arial"/>
          <w:color w:val="008000"/>
          <w:sz w:val="22"/>
          <w:szCs w:val="22"/>
          <w:u w:val="single"/>
        </w:rPr>
        <w:t>, entendimento em sentido contrário poderia implicar em situação totalmente avessa ao intuito do próprio instituto da incorporação de gratificação de função, eis que, com o usual reajuste dos salários em percentual acima daquele previsto para as gratificações de função, tem-se situação em que o empregado com função gratificada incorporada perceberia valores a esse título superiores àqueles que receberia se es</w:t>
        <w:noBreakHyphen/>
        <w:t>vesse designado para a função correspondente.</w:t>
      </w:r>
    </w:p>
    <w:p>
      <w:pPr>
        <w:pStyle w:val="Textojustificado"/>
        <w:tabs>
          <w:tab w:val="clear" w:pos="420"/>
        </w:tabs>
        <w:spacing w:lineRule="auto" w:line="360" w:before="0" w:after="0"/>
        <w:ind w:left="1701" w:right="0" w:hanging="0"/>
        <w:jc w:val="both"/>
        <w:rPr>
          <w:rFonts w:ascii="Arial" w:hAnsi="Arial" w:cs="Arial Narrow"/>
          <w:color w:val="0000FF"/>
          <w:sz w:val="22"/>
          <w:szCs w:val="22"/>
          <w:u w:val="single"/>
        </w:rPr>
      </w:pPr>
      <w:r>
        <w:rPr/>
      </w:r>
    </w:p>
    <w:p>
      <w:pPr>
        <w:pStyle w:val="Textojustificado"/>
        <w:tabs>
          <w:tab w:val="clear" w:pos="420"/>
        </w:tabs>
        <w:spacing w:lineRule="auto" w:line="360" w:before="0" w:after="0"/>
        <w:ind w:left="1701" w:right="0" w:hanging="0"/>
        <w:jc w:val="both"/>
        <w:rPr/>
      </w:pPr>
      <w:r>
        <w:rPr>
          <w:rStyle w:val="Nfaseforte"/>
          <w:rFonts w:cs="Arial Narrow" w:ascii="Arial" w:hAnsi="Arial"/>
          <w:color w:val="0000FF"/>
          <w:sz w:val="22"/>
          <w:szCs w:val="22"/>
          <w:u w:val="single"/>
        </w:rPr>
        <w:t>5. Incorporação de gratificações de função percebidas a título de CIP. - SE HOUVER PEDIDO DE CIP</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Requer o Reclamante a incorporação não só da média ponderada das gratificações de função, mas também a integração dos valores referentes à “CIP-Complemento de Incentivo à Produtividade”. Contudo, ainda que se entenda pelo deferimento da pretensão de incorporação, o que se admite por medida de cautela apenas, certo é que tal integração não pode se dar na forma em</w:t>
        <w:br/>
        <w:t>que pleiteado.</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Isso porque a prova documental (fichas financeiras já acostadas aos autos pelo Reclamante) demonstra que apenas as gratificações de funções exercidas sob caráter de titularidade foram pagas por mais de cinco anos, de modo que, ainda que se entenda pela aplicabilidade da súmula nº 372 do C. TST ou dos já revogados Módulos 55 e 36 do MANPES à ECT, somente as gratificações de função preencheriam o requisito objetivo temporal exigido pelas referidas normas para a pretendida incorporação.</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Veja-se que a CIP só passou a ser adimplida após outubro de 2014, razão pela qual certamente não se amolda ao requisito temporal narrado na supracitada Súmula 372 ou nos próprios Módulos 55 e 36 do MANPES.</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Em assim sendo, certo é que eventual incorporação, ainda que devida, poderia se dar, no máximo, de forma a abranger a média ponderada das gratificações de funções exercidas pelo Reclamante em caráter de titularidade.</w:t>
      </w:r>
    </w:p>
    <w:p>
      <w:pPr>
        <w:pStyle w:val="Textojustificado"/>
        <w:tabs>
          <w:tab w:val="clear" w:pos="420"/>
        </w:tabs>
        <w:spacing w:lineRule="auto" w:line="360" w:before="0" w:after="0"/>
        <w:ind w:left="1701" w:right="0" w:hanging="0"/>
        <w:jc w:val="both"/>
        <w:rPr>
          <w:rFonts w:ascii="Arial" w:hAnsi="Arial" w:cs="Arial Narrow"/>
          <w:color w:val="C9211E"/>
          <w:sz w:val="22"/>
          <w:szCs w:val="22"/>
          <w:u w:val="single"/>
        </w:rPr>
      </w:pPr>
      <w:r>
        <w:rPr/>
      </w:r>
    </w:p>
    <w:p>
      <w:pPr>
        <w:pStyle w:val="Textojustificado"/>
        <w:tabs>
          <w:tab w:val="clear" w:pos="420"/>
        </w:tabs>
        <w:spacing w:lineRule="auto" w:line="360" w:before="0" w:after="0"/>
        <w:ind w:left="1701" w:right="0" w:hanging="0"/>
        <w:jc w:val="both"/>
        <w:rPr/>
      </w:pPr>
      <w:r>
        <w:rPr>
          <w:rStyle w:val="Nfaseforte"/>
          <w:rFonts w:cs="Arial Narrow" w:ascii="Arial" w:hAnsi="Arial"/>
          <w:color w:val="C9211E"/>
          <w:sz w:val="22"/>
          <w:szCs w:val="22"/>
          <w:u w:val="single"/>
        </w:rPr>
        <w:t xml:space="preserve">6. </w:t>
      </w:r>
      <w:r>
        <w:rPr>
          <w:rStyle w:val="Fontepargpadro1"/>
          <w:rFonts w:cs="Arial Narrow" w:ascii="Arial" w:hAnsi="Arial"/>
          <w:b/>
          <w:color w:val="C9211E"/>
          <w:sz w:val="22"/>
          <w:szCs w:val="22"/>
          <w:u w:val="single"/>
        </w:rPr>
        <w:t>COMPENSAÇÃO COM GRATIFICAÇÕES DE FUNÇÃO PERCEBIDAS PELA PARTE AUTORAPOSTERIORMENTE À DESTITUIÇÃO.</w:t>
      </w:r>
    </w:p>
    <w:p>
      <w:pPr>
        <w:pStyle w:val="Normal"/>
        <w:spacing w:lineRule="auto" w:line="360"/>
        <w:ind w:left="0" w:right="0" w:firstLine="1695"/>
        <w:jc w:val="both"/>
        <w:rPr>
          <w:rFonts w:ascii="Arial" w:hAnsi="Arial" w:cs="Arial Narrow"/>
          <w:b/>
          <w:color w:val="C9211E"/>
          <w:sz w:val="22"/>
          <w:szCs w:val="22"/>
        </w:rPr>
      </w:pPr>
      <w:r>
        <w:rPr>
          <w:rFonts w:cs="Arial Narrow" w:ascii="Arial" w:hAnsi="Arial"/>
          <w:b/>
          <w:color w:val="C9211E"/>
          <w:sz w:val="22"/>
          <w:szCs w:val="22"/>
        </w:rPr>
      </w:r>
    </w:p>
    <w:p>
      <w:pPr>
        <w:pStyle w:val="Normal"/>
        <w:spacing w:lineRule="auto" w:line="360"/>
        <w:ind w:left="0" w:right="0" w:firstLine="1695"/>
        <w:jc w:val="both"/>
        <w:rPr/>
      </w:pPr>
      <w:r>
        <w:rPr>
          <w:rStyle w:val="Fontepargpadro1"/>
          <w:rFonts w:cs="Arial Narrow" w:ascii="Arial" w:hAnsi="Arial"/>
          <w:i/>
          <w:color w:val="C9211E"/>
          <w:sz w:val="22"/>
          <w:szCs w:val="22"/>
        </w:rPr>
        <w:t xml:space="preserve">Ad cautelam, </w:t>
      </w:r>
      <w:r>
        <w:rPr>
          <w:rStyle w:val="Fontepargpadro1"/>
          <w:rFonts w:cs="Arial Narrow" w:ascii="Arial" w:hAnsi="Arial"/>
          <w:color w:val="C9211E"/>
          <w:sz w:val="22"/>
          <w:szCs w:val="22"/>
        </w:rPr>
        <w:t xml:space="preserve">caso se entenda ser devida a incorporação da gratificação de função à parte Autora, </w:t>
      </w:r>
      <w:r>
        <w:rPr>
          <w:rStyle w:val="Fontepargpadro1"/>
          <w:rFonts w:cs="Arial Narrow" w:ascii="Arial" w:hAnsi="Arial"/>
          <w:b/>
          <w:color w:val="C9211E"/>
          <w:sz w:val="22"/>
          <w:szCs w:val="22"/>
          <w:u w:val="single"/>
        </w:rPr>
        <w:t>fica desde já requerido seja expressamente autorizado que os valores a serem integrados à remuneração da empregada sob esse título possam ser compensados das parcelas por ela percebidas pelas funções gratificadas por ela percebidas após a destituição, conforme comprovado pelas fichas cadastral e financeiras em anexo, senão vejamos:</w:t>
      </w:r>
    </w:p>
    <w:p>
      <w:pPr>
        <w:pStyle w:val="Normal"/>
        <w:spacing w:lineRule="auto" w:line="360"/>
        <w:ind w:left="0" w:right="0" w:firstLine="1695"/>
        <w:jc w:val="both"/>
        <w:rPr/>
      </w:pPr>
      <w:r>
        <w:drawing>
          <wp:anchor behindDoc="0" distT="0" distB="0" distL="0" distR="0" simplePos="0" locked="0" layoutInCell="0" allowOverlap="1" relativeHeight="116">
            <wp:simplePos x="0" y="0"/>
            <wp:positionH relativeFrom="column">
              <wp:posOffset>-149860</wp:posOffset>
            </wp:positionH>
            <wp:positionV relativeFrom="paragraph">
              <wp:posOffset>73660</wp:posOffset>
            </wp:positionV>
            <wp:extent cx="5761355" cy="3092450"/>
            <wp:effectExtent l="0" t="0" r="0" b="0"/>
            <wp:wrapSquare wrapText="bothSides"/>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761355" cy="3092450"/>
                    </a:xfrm>
                    <a:prstGeom prst="rect">
                      <a:avLst/>
                    </a:prstGeom>
                  </pic:spPr>
                </pic:pic>
              </a:graphicData>
            </a:graphic>
          </wp:anchor>
        </w:drawing>
      </w:r>
      <w:r>
        <w:rPr>
          <w:rStyle w:val="Fontepargpadro"/>
          <w:rFonts w:cs="Arial Narrow" w:ascii="Arial" w:hAnsi="Arial"/>
          <w:color w:val="C9211E"/>
          <w:sz w:val="22"/>
          <w:szCs w:val="22"/>
        </w:rPr>
        <w:t>Vale dizer: caso se entenda pelo deferimento do pleito autoral, pugna a Reclamada ao menos seja autorizada a compensação dos valores já pagos a título de incorporação judicial possam ser compensados com as parcelas por ela percebidas pelo exercício de função gratificada posteriormente a</w:t>
      </w:r>
      <w:r>
        <w:rPr>
          <w:rStyle w:val="Fontepargpadro"/>
          <w:rFonts w:cs="Arial Narrow" w:ascii="Arial" w:hAnsi="Arial"/>
          <w:b/>
          <w:bCs/>
          <w:color w:val="158466"/>
          <w:sz w:val="22"/>
          <w:szCs w:val="22"/>
        </w:rPr>
        <w:t xml:space="preserve"> </w:t>
        <w:tab/>
        <w:t>[DATA DA NOVA DESIGNAÇÃO PARA FUNÇÃO GRATIFICADA]</w:t>
      </w:r>
      <w:r>
        <w:rPr>
          <w:rStyle w:val="Fontepargpadro"/>
          <w:rFonts w:cs="Arial Narrow" w:ascii="Arial" w:hAnsi="Arial"/>
          <w:color w:val="C9211E"/>
          <w:sz w:val="22"/>
          <w:szCs w:val="22"/>
        </w:rPr>
        <w:t>.</w:t>
      </w:r>
    </w:p>
    <w:p>
      <w:pPr>
        <w:pStyle w:val="Normal"/>
        <w:spacing w:lineRule="auto" w:line="360"/>
        <w:ind w:left="0" w:right="0" w:firstLine="1695"/>
        <w:jc w:val="both"/>
        <w:rPr>
          <w:rFonts w:ascii="Arial" w:hAnsi="Arial" w:cs="Arial Narrow"/>
          <w:color w:val="C9211E"/>
          <w:sz w:val="22"/>
          <w:szCs w:val="22"/>
        </w:rPr>
      </w:pPr>
      <w:r>
        <w:rPr>
          <w:rFonts w:cs="Arial Narrow" w:ascii="Arial" w:hAnsi="Arial"/>
          <w:color w:val="C9211E"/>
          <w:sz w:val="22"/>
          <w:szCs w:val="22"/>
        </w:rPr>
        <w:t>Nesse sentido caminha a jurisprudência mais balizada:</w:t>
      </w:r>
    </w:p>
    <w:p>
      <w:pPr>
        <w:pStyle w:val="Normal"/>
        <w:spacing w:lineRule="auto" w:line="360"/>
        <w:ind w:left="0" w:right="0" w:firstLine="1695"/>
        <w:jc w:val="both"/>
        <w:rPr>
          <w:rFonts w:ascii="Arial" w:hAnsi="Arial" w:cs="Arial Narrow"/>
          <w:color w:val="C9211E"/>
          <w:sz w:val="22"/>
          <w:szCs w:val="22"/>
        </w:rPr>
      </w:pPr>
      <w:r>
        <w:rPr>
          <w:rFonts w:cs="Arial Narrow" w:ascii="Arial" w:hAnsi="Arial"/>
          <w:color w:val="C9211E"/>
          <w:sz w:val="22"/>
          <w:szCs w:val="22"/>
        </w:rPr>
      </w:r>
    </w:p>
    <w:p>
      <w:pPr>
        <w:pStyle w:val="Normal"/>
        <w:tabs>
          <w:tab w:val="clear" w:pos="420"/>
        </w:tabs>
        <w:spacing w:lineRule="auto" w:line="240"/>
        <w:ind w:left="1701" w:right="0" w:hanging="6"/>
        <w:jc w:val="both"/>
        <w:rPr/>
      </w:pPr>
      <w:r>
        <w:rPr>
          <w:rStyle w:val="Fontepargpadro1"/>
          <w:rFonts w:cs="Arial Narrow" w:ascii="Arial" w:hAnsi="Arial"/>
          <w:color w:val="C9211E"/>
          <w:sz w:val="22"/>
          <w:szCs w:val="22"/>
        </w:rPr>
        <w:t>“</w:t>
      </w:r>
      <w:r>
        <w:rPr>
          <w:rStyle w:val="Fontepargpadro1"/>
          <w:rFonts w:cs="Arial Narrow" w:ascii="Arial" w:hAnsi="Arial"/>
          <w:color w:val="C9211E"/>
          <w:sz w:val="22"/>
          <w:szCs w:val="22"/>
        </w:rPr>
        <w:t xml:space="preserve">AGRAVO DE INSTRUMENTO. RECURSO DE REVISTA. GRATIFICAÇÃO DE FUNÇÃO PERCEBIDA POR MAIS DE DEZ ANOS - INCORPORAÇÃO - CUMULAÇÃO COM GRATIFICAÇÃO DE FUNÇÃO PERCEBIDA EM VIRTUDE DO EXERCÍCIO DE OUTRA FUNÇÃO DE CONFIANÇA - POSSIBILIDADE DE COMPENSAÇÃO. Dá-se provimento ao agravo de instrumento quando configurada no recurso de revista a hipótese da alínea a do art. 896 da CLT. Agravo provido. </w:t>
      </w:r>
      <w:r>
        <w:rPr>
          <w:rStyle w:val="Fontepargpadro1"/>
          <w:rFonts w:cs="Arial Narrow" w:ascii="Arial" w:hAnsi="Arial"/>
          <w:b/>
          <w:color w:val="C9211E"/>
          <w:sz w:val="22"/>
          <w:szCs w:val="22"/>
          <w:u w:val="single"/>
        </w:rPr>
        <w:t>RECURSO DE REVISTA. GRATIFICAÇÃO DE FUNÇÃO PERCEBIDA POR MAIS DE DEZ ANOS - INCORPORAÇÃO - CUMULAÇÃO COM GRATIFICAÇÃO DE FUNÇÃO PERCEBIDA EM VIRTUDE DO EXERCÍCIO DE OUTRA FUNÇÃO DE CONFIANÇA - POSSIBILIDADE DE COMPENSAÇÃO</w:t>
      </w:r>
      <w:r>
        <w:rPr>
          <w:rStyle w:val="Fontepargpadro1"/>
          <w:rFonts w:cs="Arial Narrow" w:ascii="Arial" w:hAnsi="Arial"/>
          <w:color w:val="C9211E"/>
          <w:sz w:val="22"/>
          <w:szCs w:val="22"/>
        </w:rPr>
        <w:t>. A presente situação versa sobre empregado que, revertido ao seu cargo efetivo, teve assegurado o direito ao recebimento de adicional compensatório e veio, posteriormente, a exercer nova função comissionada. Em tais circunstâncias, encontra-se dentro da liberalidade contratual do empregador estabelecer, mediante norma interna empresarial, limitações ao recebimento da gratificação de função atualmente exercida por aqueles que já percebem adicional compensatório pelo exercício de funções anteriores. Isso porque, tratando-se a gratificação de função parcela variável do salário, seus níveis remuneratórios podem ser livremente estipulados pelas partes contratantes, integrando, portanto, o âmbito de normas sujeitas ao -jus variandi- do empregador, desde que, por óbvio, sejam respeitadas as vantagens trabalhistas já incorporadas ao patrimônio jurídico do empregado em razão de norma regulamentar anterior. Recurso de revista conhecido e desprovido. AGRAVO DE INSTRUMENTO” (TST – RR 0000562-33.2011.5.06.0001; Órgão Julgador: 2ª Turma; Publicação: DEJT 08/11/2013; Julgamento: 30 de Outubro de 2013; Relator: Renato de Lacerda Paiva) – d.n.</w:t>
      </w:r>
    </w:p>
    <w:p>
      <w:pPr>
        <w:pStyle w:val="Normal"/>
        <w:tabs>
          <w:tab w:val="clear" w:pos="420"/>
        </w:tabs>
        <w:spacing w:lineRule="auto" w:line="240"/>
        <w:ind w:left="1701" w:right="0" w:hanging="6"/>
        <w:jc w:val="both"/>
        <w:rPr>
          <w:rFonts w:ascii="Arial" w:hAnsi="Arial" w:cs="Arial Narrow"/>
          <w:color w:val="C9211E"/>
          <w:sz w:val="22"/>
          <w:szCs w:val="22"/>
        </w:rPr>
      </w:pPr>
      <w:r>
        <w:rPr>
          <w:rFonts w:cs="Arial Narrow" w:ascii="Arial" w:hAnsi="Arial"/>
          <w:color w:val="C9211E"/>
          <w:sz w:val="22"/>
          <w:szCs w:val="22"/>
        </w:rPr>
      </w:r>
    </w:p>
    <w:p>
      <w:pPr>
        <w:pStyle w:val="Normal"/>
        <w:tabs>
          <w:tab w:val="clear" w:pos="420"/>
        </w:tabs>
        <w:spacing w:lineRule="auto" w:line="240"/>
        <w:ind w:left="1701" w:right="0" w:hanging="6"/>
        <w:jc w:val="both"/>
        <w:rPr/>
      </w:pPr>
      <w:r>
        <w:rPr>
          <w:rStyle w:val="Fontepargpadro1"/>
          <w:rFonts w:cs="Arial Narrow" w:ascii="Arial" w:hAnsi="Arial"/>
          <w:color w:val="C9211E"/>
          <w:sz w:val="22"/>
          <w:szCs w:val="22"/>
        </w:rPr>
        <w:t>“</w:t>
      </w:r>
      <w:r>
        <w:rPr>
          <w:rStyle w:val="Fontepargpadro1"/>
          <w:rFonts w:cs="Arial Narrow" w:ascii="Arial" w:hAnsi="Arial"/>
          <w:color w:val="C9211E"/>
          <w:sz w:val="22"/>
          <w:szCs w:val="22"/>
        </w:rPr>
        <w:t xml:space="preserve">Ementa: AGRAVO DE INSTRUMENTO EM RECURSO DE REVISTA - CUMULAÇÃO DE GRATIFICAÇÃO - ADICIONAL DE INCORPORAÇÃO E NOVO CARGO COMISSIONADO - COMPENSAÇÃO - POSSIBILIDADE. </w:t>
      </w:r>
      <w:r>
        <w:rPr>
          <w:rStyle w:val="Fontepargpadro1"/>
          <w:rFonts w:cs="Arial Narrow" w:ascii="Arial" w:hAnsi="Arial"/>
          <w:b/>
          <w:color w:val="C9211E"/>
          <w:sz w:val="22"/>
          <w:szCs w:val="22"/>
          <w:u w:val="single"/>
        </w:rPr>
        <w:t>Nos termos da Súmula nº 372, I, desta Corte, a gratificação de função percebida por mais de 10 (dez) anos, incorpora ao salário do empregado, posto que o referido adicional visa manter a estabilidade financeira. Todavia, tal Súmula não impede a compensação do valor da gratificação de função referente a nova função comissionada, com o valor percebido a título de adicional de função incorporado ao salário</w:t>
      </w:r>
      <w:r>
        <w:rPr>
          <w:rStyle w:val="Fontepargpadro1"/>
          <w:rFonts w:cs="Arial Narrow" w:ascii="Arial" w:hAnsi="Arial"/>
          <w:color w:val="C9211E"/>
          <w:sz w:val="22"/>
          <w:szCs w:val="22"/>
        </w:rPr>
        <w:t>. Precedentes. Agravo de instrumento não provido.” (TST – AIRR 14634520115220004 1463-45.2011.5.22.0004; Órgão Julgador: 2ª Turma; Publicação: DEJT 29/11/2013; Julgamento: 20 de Novembro de 2013; Relator: Valdir Florindo) – d.n.</w:t>
      </w:r>
    </w:p>
    <w:p>
      <w:pPr>
        <w:pStyle w:val="Normal"/>
        <w:spacing w:lineRule="auto" w:line="360"/>
        <w:ind w:left="0" w:right="0" w:firstLine="1695"/>
        <w:jc w:val="both"/>
        <w:rPr>
          <w:rFonts w:ascii="Arial" w:hAnsi="Arial" w:cs="Arial Narrow"/>
          <w:color w:val="C9211E"/>
          <w:sz w:val="22"/>
          <w:szCs w:val="22"/>
        </w:rPr>
      </w:pPr>
      <w:r>
        <w:rPr>
          <w:rFonts w:cs="Arial Narrow" w:ascii="Arial" w:hAnsi="Arial"/>
          <w:color w:val="C9211E"/>
          <w:sz w:val="22"/>
          <w:szCs w:val="22"/>
        </w:rPr>
      </w:r>
    </w:p>
    <w:p>
      <w:pPr>
        <w:pStyle w:val="Normal"/>
        <w:spacing w:lineRule="auto" w:line="360"/>
        <w:ind w:left="0" w:right="0" w:firstLine="1695"/>
        <w:jc w:val="both"/>
        <w:rPr/>
      </w:pPr>
      <w:r>
        <w:rPr>
          <w:rStyle w:val="Fontepargpadro1"/>
          <w:rFonts w:cs="Arial Narrow" w:ascii="Arial" w:hAnsi="Arial"/>
          <w:color w:val="C9211E"/>
          <w:sz w:val="22"/>
          <w:szCs w:val="22"/>
        </w:rPr>
        <w:t>Tal medida, além de evitar enriquecimento indevido do empregado (</w:t>
      </w:r>
      <w:r>
        <w:rPr>
          <w:rStyle w:val="Fontepargpadro1"/>
          <w:rFonts w:cs="Arial Narrow" w:ascii="Arial" w:hAnsi="Arial"/>
          <w:i/>
          <w:color w:val="C9211E"/>
          <w:sz w:val="22"/>
          <w:szCs w:val="22"/>
        </w:rPr>
        <w:t xml:space="preserve">bis in idem </w:t>
      </w:r>
      <w:r>
        <w:rPr>
          <w:rStyle w:val="Fontepargpadro1"/>
          <w:rFonts w:cs="Arial Narrow" w:ascii="Arial" w:hAnsi="Arial"/>
          <w:color w:val="C9211E"/>
          <w:sz w:val="22"/>
          <w:szCs w:val="22"/>
        </w:rPr>
        <w:t>pela percepção de duas gratificações de idêntico fundamento – uma judicialmente incorporada e outra paga pelo exercício de outra função), constitui verdadeiro incentivo tanto à empregadora quanto ao próprio trabalhador para investirem na relação empregatícia.</w:t>
      </w:r>
    </w:p>
    <w:p>
      <w:pPr>
        <w:pStyle w:val="Normal"/>
        <w:spacing w:lineRule="auto" w:line="360"/>
        <w:ind w:left="0" w:right="0" w:firstLine="1695"/>
        <w:jc w:val="both"/>
        <w:rPr>
          <w:rFonts w:ascii="Arial" w:hAnsi="Arial" w:cs="Arial Narrow"/>
          <w:color w:val="C9211E"/>
          <w:sz w:val="22"/>
          <w:szCs w:val="22"/>
        </w:rPr>
      </w:pPr>
      <w:r>
        <w:rPr>
          <w:rFonts w:cs="Arial Narrow" w:ascii="Arial" w:hAnsi="Arial"/>
          <w:color w:val="C9211E"/>
          <w:sz w:val="22"/>
          <w:szCs w:val="22"/>
        </w:rPr>
        <w:t>Isso porque, caso não autorizada a compensação em questão, estar-se-ia praticamente impondo às partes a sedimentação da carreira do empregado no que tange à designações para exercício de funções gratificadas.</w:t>
      </w:r>
    </w:p>
    <w:p>
      <w:pPr>
        <w:pStyle w:val="Normal"/>
        <w:spacing w:lineRule="auto" w:line="360"/>
        <w:ind w:left="0" w:right="0" w:firstLine="1695"/>
        <w:jc w:val="both"/>
        <w:rPr>
          <w:rFonts w:ascii="Arial" w:hAnsi="Arial" w:cs="Arial Narrow"/>
          <w:color w:val="C9211E"/>
          <w:sz w:val="22"/>
          <w:szCs w:val="22"/>
        </w:rPr>
      </w:pPr>
      <w:r>
        <w:rPr>
          <w:rFonts w:cs="Arial Narrow" w:ascii="Arial" w:hAnsi="Arial"/>
          <w:color w:val="C9211E"/>
          <w:sz w:val="22"/>
          <w:szCs w:val="22"/>
        </w:rPr>
        <w:t>Não se pode olvidar que à Reclamada, por constituir-se empresa pública gestora de patrimônio pertencente unicamente à União Federal, impõe-se o poder-dever de gerir o erário de forma responsável e proba.</w:t>
      </w:r>
    </w:p>
    <w:p>
      <w:pPr>
        <w:pStyle w:val="Textojustificado"/>
        <w:spacing w:lineRule="auto" w:line="360" w:before="0" w:after="0"/>
        <w:ind w:left="0" w:right="0" w:firstLine="1701"/>
        <w:jc w:val="both"/>
        <w:rPr/>
      </w:pPr>
      <w:r>
        <w:rPr>
          <w:rStyle w:val="Fontepargpadro1"/>
          <w:rFonts w:cs="Arial Narrow" w:ascii="Arial" w:hAnsi="Arial"/>
          <w:color w:val="C9211E"/>
          <w:sz w:val="22"/>
          <w:szCs w:val="22"/>
          <w:u w:val="single"/>
        </w:rPr>
        <w:t xml:space="preserve">Assim, requer a Reclamada que, em caso de eventual e inesperada procedência da demanda quanto ao pleito de incorporação de gratificação de função, </w:t>
      </w:r>
      <w:r>
        <w:rPr>
          <w:rStyle w:val="Fontepargpadro1"/>
          <w:rFonts w:cs="Arial Narrow" w:ascii="Arial" w:hAnsi="Arial"/>
          <w:b/>
          <w:color w:val="C9211E"/>
          <w:sz w:val="22"/>
          <w:szCs w:val="22"/>
          <w:u w:val="single"/>
        </w:rPr>
        <w:t xml:space="preserve">seja expressamente autorizado que os valores a serem integrados à remuneração do empregado sob esse título possam ser compensados das parcelas por ele percebidas sob idêntico fundamento decorrente de designações posteriores a </w:t>
      </w:r>
      <w:r>
        <w:rPr>
          <w:rStyle w:val="Fontepargpadro1"/>
          <w:rFonts w:cs="Arial Narrow" w:ascii="Arial" w:hAnsi="Arial"/>
          <w:b/>
          <w:color w:val="158466"/>
          <w:sz w:val="22"/>
          <w:szCs w:val="22"/>
          <w:u w:val="single"/>
        </w:rPr>
        <w:t>[DATA DA NOVA DESIGNAÇÃO PARA FUNÇÃO GRATIFICADA].</w:t>
      </w:r>
    </w:p>
    <w:p>
      <w:pPr>
        <w:pStyle w:val="Textojustificado"/>
        <w:spacing w:lineRule="auto" w:line="360" w:before="0" w:after="0"/>
        <w:ind w:left="0" w:right="0" w:firstLine="1701"/>
        <w:jc w:val="both"/>
        <w:rPr>
          <w:rFonts w:ascii="Arial" w:hAnsi="Arial"/>
          <w:sz w:val="22"/>
          <w:szCs w:val="22"/>
        </w:rPr>
      </w:pPr>
      <w:r>
        <w:rPr>
          <w:rFonts w:ascii="Arial" w:hAnsi="Arial"/>
          <w:sz w:val="22"/>
          <w:szCs w:val="22"/>
        </w:rPr>
      </w:r>
    </w:p>
    <w:p>
      <w:pPr>
        <w:pStyle w:val="Textojustificado"/>
        <w:spacing w:lineRule="auto" w:line="360" w:before="0" w:after="0"/>
        <w:ind w:left="0" w:right="0" w:firstLine="1701"/>
        <w:jc w:val="both"/>
        <w:rPr/>
      </w:pPr>
      <w:r>
        <w:rPr>
          <w:rStyle w:val="Nfaseforte"/>
          <w:rFonts w:cs="Arial Narrow" w:ascii="Arial" w:hAnsi="Arial"/>
          <w:sz w:val="22"/>
          <w:szCs w:val="22"/>
          <w:u w:val="single"/>
        </w:rPr>
        <w:t>7. REFLEXOS.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Não havendo principal, não há falar em </w:t>
      </w:r>
      <w:r>
        <w:rPr>
          <w:rStyle w:val="Fontepargpadro"/>
          <w:rFonts w:cs="Arial Narrow" w:ascii="Arial" w:hAnsi="Arial"/>
          <w:color w:val="FF0000"/>
          <w:sz w:val="22"/>
          <w:szCs w:val="22"/>
        </w:rPr>
        <w:t>“(...) repercussões nos anuênios (Cláusula 09 do ACT 2009-2011, ratificadas pelas sentenças normativas 2011-2014 e Cláusulas 58 dos ACT´s 2014-2020), nas férias anuais, gratificação de férias de 70% estabelecida em cláusula de Acordo Coletivo de Trabalho reeditada ano a ano (Cláusula 29 do ACT 2009-2011, ratificadas pelas sentenças normativas 2011-2014 e Cláusulas 59 dos ACT´s 2014-2020), 13º salários, PLR, e em todos os benefícios futuros que tenham como base de cálculo a REMUNERAÇÃO BASE do trabalhador, atualmente composta por Salário + Anuênio + Gratificação de Função Convencional / Complemento Remuneração Singular + CIP-Complemento Incentivo Produtividade”, conforme requerido na inicial.</w:t>
      </w:r>
    </w:p>
    <w:p>
      <w:pPr>
        <w:pStyle w:val="Textojustificadorecuoprimeiralinha"/>
        <w:spacing w:lineRule="auto" w:line="360" w:before="0" w:after="0"/>
        <w:ind w:left="0" w:right="0" w:firstLine="1701"/>
        <w:jc w:val="both"/>
        <w:rPr/>
      </w:pPr>
      <w:r>
        <w:rPr>
          <w:rStyle w:val="Fontepargpadro"/>
          <w:rFonts w:cs="Arial Narrow" w:ascii="Arial" w:hAnsi="Arial"/>
          <w:color w:val="0000FF"/>
          <w:sz w:val="22"/>
          <w:szCs w:val="22"/>
        </w:rPr>
        <w:t xml:space="preserve">Contudo, ainda que assim não fosse, observa-se que o que pretende a Reclamante com o pedido de determinação da Reclamada a se abster de registrar como judicial na ficha do empregado a incorporação eventualmente determinada no presente processo é escolher qual nomenclatura se deve dar à parcela, ou seja, a participação ativa do Poder Judiciário no desempenho e na gestão da atividade empresarial, o que, </w:t>
      </w:r>
      <w:r>
        <w:rPr>
          <w:rStyle w:val="Nfase"/>
          <w:rFonts w:cs="Arial Narrow" w:ascii="Arial" w:hAnsi="Arial"/>
          <w:color w:val="0000FF"/>
          <w:sz w:val="22"/>
          <w:szCs w:val="22"/>
        </w:rPr>
        <w:t>data venia</w:t>
      </w:r>
      <w:r>
        <w:rPr>
          <w:rStyle w:val="Fontepargpadro"/>
          <w:rFonts w:cs="Arial Narrow" w:ascii="Arial" w:hAnsi="Arial"/>
          <w:color w:val="0000FF"/>
          <w:sz w:val="22"/>
          <w:szCs w:val="22"/>
        </w:rPr>
        <w:t>, não pode ser admitido.</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Some-se a isso o fato de que não há falar em prejuízo na simples adoção de nomenclatura diversa da pretendida pelo obreiro, de modo que interferência do d. Poder Judiciário, neste caso, prestar-se-ia unicamente para impor à Reclamada obrigação não prevista em lei ou em qualquer normativo (interno ou coletivo) aplicável à hipótese.</w:t>
      </w:r>
    </w:p>
    <w:p>
      <w:pPr>
        <w:pStyle w:val="Textojustificadorecuoprimeiralinha"/>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t>Nesse sentido cabe citar recente precedente deste E. Regional, nos autos da ação trabalhista nº. 0024134-04.2017.5.24.0002, julgado em 24/01/2018, a 2ª Turma da Corte Regional, em voto exarado pelo eminente Desembargador AMAURY RODRIGUES PINTO JÚNIOR, vejamos:</w:t>
      </w:r>
    </w:p>
    <w:p>
      <w:pPr>
        <w:pStyle w:val="Citacao"/>
        <w:spacing w:lineRule="auto" w:line="360" w:before="0" w:after="0"/>
        <w:ind w:left="0" w:right="0" w:firstLine="1701"/>
        <w:jc w:val="both"/>
        <w:rPr>
          <w:rFonts w:ascii="Arial" w:hAnsi="Arial" w:cs="Arial Narrow"/>
          <w:color w:val="0000FF"/>
          <w:sz w:val="22"/>
          <w:szCs w:val="22"/>
        </w:rPr>
      </w:pPr>
      <w:r>
        <w:rPr>
          <w:rFonts w:cs="Arial Narrow" w:ascii="Arial" w:hAnsi="Arial"/>
          <w:color w:val="0000FF"/>
          <w:sz w:val="22"/>
          <w:szCs w:val="22"/>
        </w:rPr>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"2.4 - OBRIGAÇÃO DE NÃO FAZER - NÃO REFERÊNCIA À ORIGEM JUDICIAL DA INCORPORAÇÃO (RECURSO DO AUTOR)</w:t>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Contra a sentença que indeferiu o pedido, por ausência de prejuízo, recorre o autor pedindo que a ré se abstenha de referir à origem judicial da incorporação à gratificação de função, sob pena de se caracterizar discriminação em relação aos empregados que conquistaram o direito administrativamente (ID. bf9deaa - Pág. 3).</w:t>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Analiso.</w:t>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Consta da petição inicial o seguinte pedido: Seja, ainda, determinado à reclamada que se ABSTENHA DE REGISTRAR NA FICHA FUNCIONAL do obreiro que se trata de incorporação por ordem judicial, eis que respaldado o pleito nos próprios normativos internos da empresa, devendo seguir o padrão utilizado para todos os demais empregados que tiveram reconhecido administrativamente esse direito (ID. 9e9fff6 - Pág. 34).</w:t>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De fato, nada jus</w:t>
        <w:noBreakHyphen/>
        <w:t>fica a condenação do empregador à obrigação de não fazer ora em apreço. Ao contrário, prejudica-o pela indevida limitação ao poder diretivo do empregador.</w:t>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Digno de nota que potencial prejuízo e/ou abusivo advindo dessa referência pelo empregador poderá ser objeto de questionamento em juízo (art. 5º, XXXV, da CRFB), mediante demanda revisional inclusive (art. 505, I, do CPC).</w:t>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Por fim, acertada a conclusão do juízo de origem: "caso o reclamante venha a sofrer prejuízos em decorrência desta anotação, se é que será feita, certamente terá o direito de buscar a reparação que entender conveniente na seara cabível. Se o direito foi reconhecido judicialmente, não há como obrigar a empresa a anotar que seu deferimento teve origem administrativa" (ID. 63aec2b - Pág. 1).</w:t>
      </w:r>
    </w:p>
    <w:p>
      <w:pPr>
        <w:pStyle w:val="Citacao"/>
        <w:tabs>
          <w:tab w:val="clear" w:pos="420"/>
        </w:tabs>
        <w:spacing w:lineRule="auto" w:line="240" w:before="0" w:after="0"/>
        <w:ind w:left="1701" w:right="0" w:firstLine="567"/>
        <w:jc w:val="both"/>
        <w:rPr>
          <w:rFonts w:ascii="Arial" w:hAnsi="Arial" w:cs="Arial Narrow"/>
          <w:color w:val="0000FF"/>
          <w:sz w:val="22"/>
          <w:szCs w:val="22"/>
        </w:rPr>
      </w:pPr>
      <w:r>
        <w:rPr>
          <w:rFonts w:cs="Arial Narrow" w:ascii="Arial" w:hAnsi="Arial"/>
          <w:color w:val="0000FF"/>
          <w:sz w:val="22"/>
          <w:szCs w:val="22"/>
        </w:rPr>
        <w:t>Nego provimento."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De todo modo, em relação à PLR, é de se destacar que, como sabido, referida parcela não possui caráter salarial e nem constitui base de incidência de qualquer encargo trabalhista, razão pela qual não há que se falar em reflexos conforme pleiteado.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Com efeito, a Participação em Lucros e Resultados – PLR configura parcela não habitual paga aos empregados nos termos da Lei 10.101, de 19 de Dezembro de 2000, que visa assegurar “(...) a participação dos trabalhadores nos lucros ou resultados da empresa como instrumento de integração entre o capital e o trabalho e como incentivo à produtividade, nos termos do art. 7º, inciso XI, da Constituição” (art. 1º da Lei nº 10.101/00).</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Aliás, sobre o assunto, cumpre transcrever o que dispõe o art. 3º do referido diploma legal, </w:t>
      </w:r>
      <w:r>
        <w:rPr>
          <w:rStyle w:val="Nfase"/>
          <w:rFonts w:cs="Arial Narrow" w:ascii="Arial" w:hAnsi="Arial"/>
          <w:sz w:val="22"/>
          <w:szCs w:val="22"/>
        </w:rPr>
        <w:t>verbis</w:t>
      </w:r>
      <w:r>
        <w:rPr>
          <w:rStyle w:val="Fontepargpadro"/>
          <w:rFonts w:cs="Arial Narrow" w:ascii="Arial" w:hAnsi="Arial"/>
          <w:sz w:val="22"/>
          <w:szCs w:val="22"/>
        </w:rPr>
        <w:t>:</w:t>
      </w:r>
    </w:p>
    <w:p>
      <w:pPr>
        <w:pStyle w:val="Citaca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Citacao"/>
        <w:tabs>
          <w:tab w:val="clear" w:pos="420"/>
        </w:tabs>
        <w:spacing w:lineRule="auto" w:line="240" w:before="0" w:after="0"/>
        <w:ind w:left="1701" w:right="0" w:hanging="0"/>
        <w:jc w:val="both"/>
        <w:rPr>
          <w:rFonts w:ascii="Arial" w:hAnsi="Arial" w:cs="Arial Narrow"/>
          <w:sz w:val="22"/>
          <w:szCs w:val="22"/>
        </w:rPr>
      </w:pPr>
      <w:r>
        <w:rPr>
          <w:rFonts w:cs="Arial Narrow" w:ascii="Arial" w:hAnsi="Arial"/>
          <w:sz w:val="22"/>
          <w:szCs w:val="22"/>
        </w:rPr>
        <w:t>“</w:t>
      </w:r>
      <w:r>
        <w:rPr>
          <w:rFonts w:cs="Arial Narrow" w:ascii="Arial" w:hAnsi="Arial"/>
          <w:sz w:val="22"/>
          <w:szCs w:val="22"/>
        </w:rPr>
        <w:t>Art. 3º. A participação de que trata o art. 2º não substitui ou complementa a remuneração devida a qualquer empregado, nem constitui base de incidência de qualquer encargo trabalhista, não se lhe aplicando o princípio da habitualidade.</w:t>
      </w:r>
    </w:p>
    <w:p>
      <w:pPr>
        <w:pStyle w:val="Textojustificadorecuoprimeiralinha"/>
        <w:spacing w:lineRule="auto" w:line="24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Assim, descabida a pretensão autoral também quanto a esses pontos.</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tabs>
          <w:tab w:val="clear" w:pos="420"/>
        </w:tabs>
        <w:spacing w:lineRule="auto" w:line="360" w:before="0" w:after="0"/>
        <w:ind w:left="1701" w:right="0" w:hanging="0"/>
        <w:jc w:val="both"/>
        <w:rPr/>
      </w:pPr>
      <w:r>
        <w:rPr>
          <w:rStyle w:val="Nfaseforte"/>
          <w:rFonts w:cs="Arial Narrow" w:ascii="Arial" w:hAnsi="Arial"/>
          <w:sz w:val="22"/>
          <w:szCs w:val="22"/>
          <w:u w:val="single"/>
        </w:rPr>
        <w:t>8. DO PEDIDO DE PAGAMENTO DE CONTRIBUIÇÕES À PREVIDÊNCIA PRIVADA – POSTALIS. - SE HOUVER PEDIDO DE POSTALIS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Ainda que Vossa Excelência entenda serem devidas quaisquer verbas ao Reclamante, o que se admite por medida de cautela apenas, no mérito, melhor sorte não assiste ao obreiro quanto ao pedido de pagamento de contribuições à Previdência Privada.</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Com efeito, embora o obreiro pleiteie a condenação da Reclamada ao recolhimento junto ao POSTALIS da cota da patrocinadora sobre todas as diferenças salariais que afirma fazer jus, não comprovou, por meio de cópia do termo de adesão ao plano, o vínculo com a entidade previdenciária em questão, o que, por si só, já obsta o deferimento de qualquer pretensão nesse ponto.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Ademais, de se observar que a Reclamante afirma que durante todo o pacto laboral foram procedidos os descontos de suas remunerações mensais das quantias correspondentes às contribuições destinadas ao POSTALIS, sendo que em contrapartida a Reclamada contribuiu com a cota da patrocinadora em quantia idêntica.</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Ou seja, o próprio autor admite que, para que a empregadora tenha o dever de realizar o depósito de quaisquer valores perante o órgão previdenciário dos Correios, é </w:t>
      </w:r>
      <w:r>
        <w:rPr>
          <w:rStyle w:val="Nfase"/>
          <w:rFonts w:cs="Arial Narrow" w:ascii="Arial" w:hAnsi="Arial"/>
          <w:sz w:val="22"/>
          <w:szCs w:val="22"/>
        </w:rPr>
        <w:t xml:space="preserve">conditio sine qua non </w:t>
      </w:r>
      <w:r>
        <w:rPr>
          <w:rStyle w:val="Fontepargpadro"/>
          <w:rFonts w:cs="Arial Narrow" w:ascii="Arial" w:hAnsi="Arial"/>
          <w:sz w:val="22"/>
          <w:szCs w:val="22"/>
        </w:rPr>
        <w:t>o desconto da contribuição para o programa na folha do participante.</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Ora, é de se questionar: se, no caso, o autor não requereu o desconto da sua cotaparte em eventual verba que tenha a receber a `tulo de diferenças salariais, como pode pretender que a Reclamada seja obrigada a recolher a respectiva contrapartida???</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Nesse ponto, de se lembrar a vedação contida nos Artigos 141 e 492 do NCPC, que assim dispõem:</w:t>
      </w:r>
    </w:p>
    <w:p>
      <w:pPr>
        <w:pStyle w:val="Citaca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Citacao"/>
        <w:tabs>
          <w:tab w:val="clear" w:pos="420"/>
        </w:tabs>
        <w:spacing w:lineRule="auto" w:line="240" w:before="0" w:after="0"/>
        <w:ind w:left="1701" w:right="0" w:hanging="0"/>
        <w:jc w:val="both"/>
        <w:rPr>
          <w:rFonts w:ascii="Arial" w:hAnsi="Arial" w:cs="Arial Narrow"/>
          <w:sz w:val="22"/>
          <w:szCs w:val="22"/>
        </w:rPr>
      </w:pPr>
      <w:r>
        <w:rPr>
          <w:rFonts w:cs="Arial Narrow" w:ascii="Arial" w:hAnsi="Arial"/>
          <w:sz w:val="22"/>
          <w:szCs w:val="22"/>
        </w:rPr>
        <w:t>“</w:t>
      </w:r>
      <w:r>
        <w:rPr>
          <w:rFonts w:cs="Arial Narrow" w:ascii="Arial" w:hAnsi="Arial"/>
          <w:sz w:val="22"/>
          <w:szCs w:val="22"/>
        </w:rPr>
        <w:t>Art. 141. O juiz decidirá o mérito nos limites propostos pelas partes, sendo-lhe vedado</w:t>
        <w:br/>
        <w:t>conhecer de questões não suscitadas a cujo respeito a lei exige iniciativa da parte.”</w:t>
      </w:r>
    </w:p>
    <w:p>
      <w:pPr>
        <w:pStyle w:val="Citacao"/>
        <w:tabs>
          <w:tab w:val="clear" w:pos="420"/>
        </w:tabs>
        <w:spacing w:lineRule="auto" w:line="240" w:before="0" w:after="0"/>
        <w:ind w:left="1701" w:right="0" w:hanging="0"/>
        <w:jc w:val="both"/>
        <w:rPr>
          <w:rFonts w:ascii="Arial" w:hAnsi="Arial" w:cs="Arial Narrow"/>
          <w:sz w:val="22"/>
          <w:szCs w:val="22"/>
        </w:rPr>
      </w:pPr>
      <w:r>
        <w:rPr>
          <w:rFonts w:cs="Arial Narrow" w:ascii="Arial" w:hAnsi="Arial"/>
          <w:sz w:val="22"/>
          <w:szCs w:val="22"/>
        </w:rPr>
        <w:t>“</w:t>
      </w:r>
      <w:r>
        <w:rPr>
          <w:rFonts w:cs="Arial Narrow" w:ascii="Arial" w:hAnsi="Arial"/>
          <w:sz w:val="22"/>
          <w:szCs w:val="22"/>
        </w:rPr>
        <w:t>Art. 492. É vedado ao juiz proferir decisão de natureza diversa da pedida, bem como condenar a parte em quantidade superior ou em objeto diverso do que lhe foi demandado.”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Isso significa dizer: não tendo o Reclamante, na exordial, requerido o desconto a título de contribuição ao POSTALIS das eventuais verbas que vier a receber referentes à diferenças de incorporação de função, não pode o juízo determinar tal obrigação, sob pena de julgamento </w:t>
      </w:r>
      <w:r>
        <w:rPr>
          <w:rStyle w:val="Nfase"/>
          <w:rFonts w:cs="Arial Narrow" w:ascii="Arial" w:hAnsi="Arial"/>
          <w:sz w:val="22"/>
          <w:szCs w:val="22"/>
        </w:rPr>
        <w:t>ultra/extra petita.</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Como consequência, inviável cogitar a condenação da Reclamada a realizar o recolhimento da correspondente contrapartida, razão pela qual se impõe, de imediato, a declaração de improcedência da Reclamação também quanto a este ponto.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Impor a obrigação nos termos que requerido seria o mesmo que onerar a Reclamada, sem qualquer previsão legal ou contratual, a custear, sozinha, o plano de previdência privada do Reclamante, o que não pode ocorrer, principalmente à vista do fato de que a ECT se constitui empresa pública federal gestora de patrimônio pertencente exclusivamente à União, vinculada, portanto, aos princípios constitucionais da legalidade, impessoalidade, moralidade e eficiência, dentre outros.</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spacing w:lineRule="auto" w:line="360" w:before="0" w:after="0"/>
        <w:ind w:left="0" w:right="0" w:firstLine="1701"/>
        <w:jc w:val="both"/>
        <w:rPr/>
      </w:pPr>
      <w:r>
        <w:rPr>
          <w:rStyle w:val="Nfaseforte"/>
          <w:rFonts w:cs="Arial Narrow" w:ascii="Arial" w:hAnsi="Arial"/>
          <w:sz w:val="22"/>
          <w:szCs w:val="22"/>
          <w:u w:val="single"/>
        </w:rPr>
        <w:t>9. IMPUGNAÇÃO AOS DOCUMENTOS COLACIONADOS À INICIAL</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Impugna a Reclamada, por amor ao debate e por respeito ao princípio da eventualidade, todos os documentos juntados ao processo pelo Reclamante que não estejam revestidos das formalidades do art. 830 da CLT, os unilaterais, sem assinatura e os que contenham conteúdo desconhecido da empresa Reclamada.</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Ficam também, desde já, expressamente impugnadas todas as alegações, documentos,valores e pedidos da RT que estejam dissonantes das afirmações contidas na presente defesa, bem como dos document</w:t>
      </w:r>
      <w:r>
        <w:rPr>
          <w:rStyle w:val="Fontepargpadro"/>
          <w:rFonts w:cs="Arial Narrow" w:ascii="Arial" w:hAnsi="Arial"/>
          <w:b/>
          <w:sz w:val="22"/>
          <w:szCs w:val="22"/>
        </w:rPr>
        <w:t>o</w:t>
      </w:r>
      <w:r>
        <w:rPr>
          <w:rStyle w:val="Fontepargpadro"/>
          <w:rFonts w:cs="Arial Narrow" w:ascii="Arial" w:hAnsi="Arial"/>
          <w:sz w:val="22"/>
          <w:szCs w:val="22"/>
        </w:rPr>
        <w:t>s que a acompanham.</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spacing w:lineRule="auto" w:line="360" w:before="0" w:after="0"/>
        <w:ind w:left="0" w:right="0" w:firstLine="1701"/>
        <w:jc w:val="both"/>
        <w:rPr/>
      </w:pPr>
      <w:r>
        <w:rPr>
          <w:rStyle w:val="Nfaseforte"/>
          <w:rFonts w:cs="Arial Narrow" w:ascii="Arial" w:hAnsi="Arial"/>
          <w:sz w:val="22"/>
          <w:szCs w:val="22"/>
          <w:u w:val="single"/>
        </w:rPr>
        <w:t>10. DOS HONORÁRIOS ADVOCATÍCIOS.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Face à total improcedência do pleito obreiro, indevidos honorários sucumbenciais ao patrono do Reclamante. Ao contrário, é o Reclamante quem deve ser condenado ao pagamento de honorários aos patronos da Reclamada no importe de 15% sobre o valor atualizado da causa, nos termos do art. 791-A, I, da CLT.</w:t>
      </w:r>
    </w:p>
    <w:p>
      <w:pPr>
        <w:pStyle w:val="Textojustificado"/>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
        <w:tabs>
          <w:tab w:val="clear" w:pos="420"/>
        </w:tabs>
        <w:spacing w:lineRule="auto" w:line="360" w:before="0" w:after="0"/>
        <w:ind w:left="1701" w:right="0" w:hanging="0"/>
        <w:jc w:val="both"/>
        <w:rPr/>
      </w:pPr>
      <w:r>
        <w:rPr>
          <w:rStyle w:val="Nfaseforte"/>
          <w:rFonts w:cs="Arial Narrow" w:ascii="Arial" w:hAnsi="Arial"/>
          <w:color w:val="FF0000"/>
          <w:sz w:val="22"/>
          <w:szCs w:val="22"/>
          <w:u w:val="single"/>
        </w:rPr>
        <w:t>V. DA COMPROVAÇÃO DO CUMPRIMENTO DA DECISÃO DE ANTECIPAÇÃO DA TUTELA. - SE NÃO SIDO COMPROVADA AINDA</w:t>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r>
    </w:p>
    <w:p>
      <w:pPr>
        <w:pStyle w:val="Textojustificadorecuoprimeiralinha"/>
        <w:spacing w:lineRule="auto" w:line="360" w:before="0" w:after="0"/>
        <w:ind w:left="0" w:right="0" w:firstLine="1701"/>
        <w:jc w:val="both"/>
        <w:rPr>
          <w:rFonts w:ascii="Arial" w:hAnsi="Arial" w:cs="Arial Narrow"/>
          <w:color w:val="FF0000"/>
          <w:sz w:val="22"/>
          <w:szCs w:val="22"/>
        </w:rPr>
      </w:pPr>
      <w:r>
        <w:rPr>
          <w:rFonts w:cs="Arial Narrow" w:ascii="Arial" w:hAnsi="Arial"/>
          <w:color w:val="FF0000"/>
          <w:sz w:val="22"/>
          <w:szCs w:val="22"/>
        </w:rPr>
        <w:t>Requer a Reclamada, por fim, a juntada aos autos do documento enviado pela área competente da ECT consistente em "print" de tela do sistema de pagamento atestando o restabelecimento da média ponderada das gratificações de funções percebidas pelo obreiro nos últimos dez anos, acrescida da CIP, e planilha de cálculo da média ponderada, nos termos em que determinado por este d. juízo.</w:t>
      </w:r>
    </w:p>
    <w:p>
      <w:pPr>
        <w:pStyle w:val="Normal"/>
        <w:pBdr>
          <w:top w:val="single" w:sz="6" w:space="4" w:color="000000"/>
          <w:left w:val="single" w:sz="6" w:space="4" w:color="000000"/>
          <w:bottom w:val="single" w:sz="6" w:space="4" w:color="000000"/>
          <w:right w:val="single" w:sz="6" w:space="4" w:color="000000"/>
        </w:pBdr>
        <w:bidi w:val="0"/>
        <w:spacing w:lineRule="exact" w:line="240" w:before="320" w:after="260"/>
        <w:ind w:left="0" w:right="0" w:hanging="0"/>
        <w:jc w:val="center"/>
        <w:rPr/>
      </w:pPr>
      <w:r>
        <w:rPr>
          <w:rStyle w:val="Nfaseforte"/>
          <w:rFonts w:cs="Arial Narrow" w:ascii="Arial" w:hAnsi="Arial"/>
          <w:b/>
          <w:bCs/>
          <w:sz w:val="22"/>
          <w:szCs w:val="22"/>
          <w:u w:val="single"/>
        </w:rPr>
        <w:t>DOS PEDIDOS</w:t>
      </w:r>
    </w:p>
    <w:p>
      <w:pPr>
        <w:pStyle w:val="Textojustificado"/>
        <w:bidi w:val="0"/>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Pelo exposto, requer a reclamada, preliminarmente, seja o pedido de pagamento da cota da patrocinadora na conta de participação do reclamante no plano de previdência complementar, POSTALPREV, mantido junto ao POSTALIS, extinto sem resolução de mérito, face a incompetência desta Justiça Especializada para processar e julgar e pretensão em questão.</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Outrossim, requer a Reclamada seja desde já reconhecida a prescrição total da pretensão autoral de ver aplicado ao caso os revogados Módulos 55 e 36 do Manual de Pessoal da ECT, com a consequente extinção do processo quanto a esse pedido nos termos do art. 487, II, do CPC/2015.</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No mérito, pugna pela improcedência da reclamação trabalhista em sua totalidade, pelos fundamentos acima articulados.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Requer, ainda, a equiparação da ECT à Fazenda Pública, concedendo-lhe prazo em dobro para recorrer, dispensa do recolhimento de depósito recursal, isenção das custas processuais e pagamento por meio de precatório, sob a égide do artigo 12 do Decreto-lei nº.509 de 20/03/1969, bem como da regra constante no artigo 790-A da CLT, acrescido pela Lei 10.537 de 27/08/2002 e do Decreto-Lei nº 779, de 21 de agosto de 1969, incisos III, IV e VI.</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Outrossim, caso Vossa Excelência julgue procedente os pedidos, requer, com base no artigo 767 da Consolidação das Leis do Trabalho, a COMPENSAÇÃO de todas as quantias já pagas sob o mesmo fundamento.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Protesta por todos os meios de prova em direito admitidos, especialmente a documental, testemunhal, pericial, depoimento pessoal do Reclamante e juntada posterior de documentos, se necessário.</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Nesses Termos,</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t>Pede Deferimento.</w:t>
      </w:r>
    </w:p>
    <w:p>
      <w:pPr>
        <w:pStyle w:val="Textojustificadorecuoprimeiralinha"/>
        <w:spacing w:lineRule="auto" w:line="360" w:before="0" w:after="0"/>
        <w:ind w:left="0" w:right="0" w:firstLine="1701"/>
        <w:jc w:val="both"/>
        <w:rPr/>
      </w:pPr>
      <w:r>
        <w:rPr>
          <w:rStyle w:val="Fontepargpadro"/>
          <w:rFonts w:cs="Arial Narrow" w:ascii="Arial" w:hAnsi="Arial"/>
          <w:sz w:val="22"/>
          <w:szCs w:val="22"/>
        </w:rPr>
        <w:t xml:space="preserve">Campo Grande/MS, </w:t>
      </w:r>
      <w:r>
        <w:rPr>
          <w:rStyle w:val="Fontepargpadro"/>
          <w:rFonts w:cs="Arial Narrow" w:ascii="Arial" w:hAnsi="Arial"/>
          <w:sz w:val="22"/>
          <w:szCs w:val="22"/>
        </w:rPr>
        <w:t>data de assinatura eletrônica.</w:t>
      </w:r>
    </w:p>
    <w:p>
      <w:pPr>
        <w:pStyle w:val="Textojustificadorecuoprimeiralinha"/>
        <w:spacing w:lineRule="auto" w:line="360" w:before="0" w:after="0"/>
        <w:ind w:left="0" w:right="0" w:firstLine="1701"/>
        <w:jc w:val="both"/>
        <w:rPr>
          <w:rFonts w:ascii="Arial" w:hAnsi="Arial" w:cs="Arial Narrow"/>
          <w:sz w:val="22"/>
          <w:szCs w:val="22"/>
        </w:rPr>
      </w:pPr>
      <w:r>
        <w:rPr>
          <w:rFonts w:cs="Arial Narrow" w:ascii="Arial" w:hAnsi="Arial"/>
          <w:sz w:val="22"/>
          <w:szCs w:val="22"/>
        </w:rPr>
      </w:r>
    </w:p>
    <w:p>
      <w:pPr>
        <w:pStyle w:val="Textocentralizado"/>
        <w:spacing w:lineRule="auto" w:line="360" w:before="0" w:after="0"/>
        <w:jc w:val="center"/>
        <w:rPr/>
      </w:pPr>
      <w:r>
        <w:rPr>
          <w:rStyle w:val="Nfaseforte"/>
          <w:rFonts w:cs="Arial Narrow" w:ascii="Arial" w:hAnsi="Arial"/>
          <w:sz w:val="22"/>
          <w:szCs w:val="22"/>
        </w:rPr>
        <w:t>Marcos Hideki Kamibayashi</w:t>
      </w:r>
    </w:p>
    <w:p>
      <w:pPr>
        <w:pStyle w:val="Textocentralizado"/>
        <w:spacing w:lineRule="auto" w:line="360" w:before="0" w:after="0"/>
        <w:jc w:val="center"/>
        <w:rPr/>
      </w:pPr>
      <w:r>
        <w:rPr>
          <w:rStyle w:val="Nfaseforte"/>
          <w:rFonts w:cs="Arial Narrow" w:ascii="Arial" w:hAnsi="Arial"/>
          <w:sz w:val="22"/>
          <w:szCs w:val="22"/>
        </w:rPr>
        <w:t>OAB/MS 14.580</w:t>
      </w:r>
    </w:p>
    <w:sectPr>
      <w:headerReference w:type="default" r:id="rId3"/>
      <w:footerReference w:type="default" r:id="rId4"/>
      <w:type w:val="nextPage"/>
      <w:pgSz w:w="11906" w:h="16838"/>
      <w:pgMar w:left="2268" w:right="851" w:gutter="0" w:header="851" w:top="1474" w:footer="851" w:bottom="90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Narrow">
    <w:charset w:val="00"/>
    <w:family w:val="swiss"/>
    <w:pitch w:val="variable"/>
  </w:font>
  <w:font w:name="StarSymbol">
    <w:altName w:val="Arial Unicode MS"/>
    <w:charset w:val="02"/>
    <w:family w:val="auto"/>
    <w:pitch w:val="default"/>
  </w:font>
  <w:font w:name="Wingdings">
    <w:charset w:val="02"/>
    <w:family w:val="auto"/>
    <w:pitch w:val="variable"/>
  </w:font>
  <w:font w:name="Segoe UI">
    <w:charset w:val="00"/>
    <w:family w:val="swiss"/>
    <w:pitch w:val="variable"/>
  </w:font>
  <w:font w:name="Verdana">
    <w:charset w:val="00"/>
    <w:family w:val="swiss"/>
    <w:pitch w:val="variable"/>
  </w:font>
  <w:font w:name="Liberation Sans">
    <w:altName w:val="Arial"/>
    <w:charset w:val="00"/>
    <w:family w:val="swiss"/>
    <w:pitch w:val="variable"/>
  </w:font>
  <w:font w:name="Courier New">
    <w:charset w:val="00"/>
    <w:family w:val="modern"/>
    <w:pitch w:val="fixed"/>
  </w:font>
  <w:font w:name="Comic Sans MS">
    <w:charset w:val="00"/>
    <w:family w:val="script"/>
    <w:pitch w:val="variable"/>
  </w:font>
  <w:font w:name="Century Gothic">
    <w:charset w:val="00"/>
    <w:family w:val="swiss"/>
    <w:pitch w:val="variable"/>
  </w:font>
  <w:font w:name="Open Sans">
    <w:charset w:val="00"/>
    <w:family w:val="roman"/>
    <w:pitch w:val="variable"/>
  </w:font>
  <w:font w:name="Arial">
    <w:charset w:val="00"/>
    <w:family w:val="roman"/>
    <w:pitch w:val="variable"/>
  </w:font>
  <w:font w:name="Book Antiqu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pBdr>
        <w:bottom w:val="single" w:sz="6" w:space="1" w:color="000000"/>
      </w:pBdr>
      <w:jc w:val="center"/>
      <w:rPr>
        <w:rFonts w:ascii="Arial Narrow" w:hAnsi="Arial Narrow" w:cs="Arial Narrow"/>
        <w:sz w:val="22"/>
        <w:szCs w:val="22"/>
      </w:rPr>
    </w:pPr>
    <w:r>
      <w:rPr>
        <w:rFonts w:cs="Arial Narrow" w:ascii="Arial Narrow" w:hAnsi="Arial Narrow"/>
        <w:sz w:val="22"/>
        <w:szCs w:val="22"/>
      </w:rPr>
    </w:r>
  </w:p>
  <w:p>
    <w:pPr>
      <w:pStyle w:val="Rodap"/>
      <w:jc w:val="center"/>
      <w:rPr/>
    </w:pPr>
    <w:r>
      <w:rPr>
        <w:rStyle w:val="Fontepargpadro"/>
        <w:rFonts w:cs="Arial Narrow" w:ascii="Arial Narrow" w:hAnsi="Arial Narrow"/>
        <w:sz w:val="22"/>
        <w:szCs w:val="22"/>
      </w:rPr>
      <w:t xml:space="preserve">Avenida Calógeras nº 2309 – 2º andar – Centro – Campo Grande – MS – Fone </w:t>
    </w:r>
    <w:r>
      <w:rPr>
        <w:rStyle w:val="Fontepargpadro"/>
        <w:rFonts w:cs="Arial Narrow" w:ascii="Arial Narrow" w:hAnsi="Arial Narrow"/>
        <w:sz w:val="22"/>
        <w:szCs w:val="22"/>
      </w:rPr>
      <w:t>2109</w:t>
    </w:r>
    <w:r>
      <w:rPr>
        <w:rStyle w:val="Fontepargpadro"/>
        <w:rFonts w:cs="Arial Narrow" w:ascii="Arial Narrow" w:hAnsi="Arial Narrow"/>
        <w:sz w:val="22"/>
        <w:szCs w:val="22"/>
      </w:rPr>
      <w:t>-</w:t>
    </w:r>
    <w:r>
      <w:rPr>
        <w:rStyle w:val="Fontepargpadro"/>
        <w:rFonts w:cs="Arial Narrow" w:ascii="Arial Narrow" w:hAnsi="Arial Narrow"/>
        <w:sz w:val="22"/>
        <w:szCs w:val="22"/>
      </w:rPr>
      <w:t>1</w:t>
    </w:r>
    <w:r>
      <w:rPr>
        <w:rStyle w:val="Fontepargpadro"/>
        <w:rFonts w:cs="Arial Narrow" w:ascii="Arial Narrow" w:hAnsi="Arial Narrow"/>
        <w:sz w:val="22"/>
        <w:szCs w:val="22"/>
      </w:rPr>
      <w:t>004.</w:t>
    </w:r>
    <w:r>
      <mc:AlternateContent>
        <mc:Choice Requires="wps">
          <w:drawing>
            <wp:anchor behindDoc="0" distT="0" distB="0" distL="0" distR="0" simplePos="0" locked="0" layoutInCell="0" allowOverlap="1" relativeHeight="115">
              <wp:simplePos x="0" y="0"/>
              <wp:positionH relativeFrom="margin">
                <wp:posOffset>5332095</wp:posOffset>
              </wp:positionH>
              <wp:positionV relativeFrom="paragraph">
                <wp:posOffset>5080</wp:posOffset>
              </wp:positionV>
              <wp:extent cx="240030" cy="143510"/>
              <wp:effectExtent l="0" t="0" r="0" b="0"/>
              <wp:wrapSquare wrapText="bothSides"/>
              <wp:docPr id="3" name="Quadro1"/>
              <a:graphic xmlns:a="http://schemas.openxmlformats.org/drawingml/2006/main">
                <a:graphicData uri="http://schemas.microsoft.com/office/word/2010/wordprocessingShape">
                  <wps:wsp>
                    <wps:cNvSpPr txBox="1"/>
                    <wps:spPr>
                      <a:xfrm>
                        <a:off x="0" y="0"/>
                        <a:ext cx="240030" cy="143510"/>
                      </a:xfrm>
                      <a:prstGeom prst="rect"/>
                      <a:solidFill>
                        <a:srgbClr val="FFFFFF">
                          <a:alpha val="0"/>
                        </a:srgbClr>
                      </a:solidFill>
                    </wps:spPr>
                    <wps:txbx>
                      <w:txbxContent>
                        <w:p>
                          <w:pPr>
                            <w:pStyle w:val="Rodap"/>
                            <w:rPr/>
                          </w:pPr>
                          <w:r>
                            <w:rPr>
                              <w:rStyle w:val="Nmerodepgina"/>
                              <w:rFonts w:cs="Arial Narrow" w:ascii="Arial Narrow" w:hAnsi="Arial Narrow"/>
                              <w:sz w:val="20"/>
                            </w:rPr>
                            <w:fldChar w:fldCharType="begin"/>
                          </w:r>
                          <w:r>
                            <w:rPr>
                              <w:rStyle w:val="Nmerodepgina"/>
                              <w:sz w:val="20"/>
                              <w:rFonts w:cs="Arial Narrow" w:ascii="Arial Narrow" w:hAnsi="Arial Narrow"/>
                            </w:rPr>
                            <w:instrText xml:space="preserve"> PAGE </w:instrText>
                          </w:r>
                          <w:r>
                            <w:rPr>
                              <w:rStyle w:val="Nmerodepgina"/>
                              <w:sz w:val="20"/>
                              <w:rFonts w:cs="Arial Narrow" w:ascii="Arial Narrow" w:hAnsi="Arial Narrow"/>
                            </w:rPr>
                            <w:fldChar w:fldCharType="separate"/>
                          </w:r>
                          <w:r>
                            <w:rPr>
                              <w:rStyle w:val="Nmerodepgina"/>
                              <w:sz w:val="20"/>
                              <w:rFonts w:cs="Arial Narrow" w:ascii="Arial Narrow" w:hAnsi="Arial Narrow"/>
                            </w:rPr>
                            <w:t>57</w:t>
                          </w:r>
                          <w:r>
                            <w:rPr>
                              <w:rStyle w:val="Nmerodepgina"/>
                              <w:sz w:val="20"/>
                              <w:rFonts w:cs="Arial Narrow" w:ascii="Arial Narrow" w:hAnsi="Arial Narrow"/>
                            </w:rPr>
                            <w:fldChar w:fldCharType="end"/>
                          </w:r>
                        </w:p>
                      </w:txbxContent>
                    </wps:txbx>
                    <wps:bodyPr anchor="t" lIns="0" tIns="0" rIns="0" bIns="0">
                      <a:noAutofit/>
                    </wps:bodyPr>
                  </wps:wsp>
                </a:graphicData>
              </a:graphic>
            </wp:anchor>
          </w:drawing>
        </mc:Choice>
        <mc:Fallback>
          <w:pict>
            <v:rect style="position:absolute;rotation:-0;width:18.9pt;height:11.3pt;mso-wrap-distance-left:0pt;mso-wrap-distance-right:0pt;mso-wrap-distance-top:0pt;mso-wrap-distance-bottom:0pt;margin-top:0.4pt;mso-position-vertical-relative:text;margin-left:419.85pt;mso-position-horizontal-relative:margin">
              <v:textbox inset="0in,0in,0in,0in">
                <w:txbxContent>
                  <w:p>
                    <w:pPr>
                      <w:pStyle w:val="Rodap"/>
                      <w:rPr/>
                    </w:pPr>
                    <w:r>
                      <w:rPr>
                        <w:rStyle w:val="Nmerodepgina"/>
                        <w:rFonts w:cs="Arial Narrow" w:ascii="Arial Narrow" w:hAnsi="Arial Narrow"/>
                        <w:sz w:val="20"/>
                      </w:rPr>
                      <w:fldChar w:fldCharType="begin"/>
                    </w:r>
                    <w:r>
                      <w:rPr>
                        <w:rStyle w:val="Nmerodepgina"/>
                        <w:sz w:val="20"/>
                        <w:rFonts w:cs="Arial Narrow" w:ascii="Arial Narrow" w:hAnsi="Arial Narrow"/>
                      </w:rPr>
                      <w:instrText xml:space="preserve"> PAGE </w:instrText>
                    </w:r>
                    <w:r>
                      <w:rPr>
                        <w:rStyle w:val="Nmerodepgina"/>
                        <w:sz w:val="20"/>
                        <w:rFonts w:cs="Arial Narrow" w:ascii="Arial Narrow" w:hAnsi="Arial Narrow"/>
                      </w:rPr>
                      <w:fldChar w:fldCharType="separate"/>
                    </w:r>
                    <w:r>
                      <w:rPr>
                        <w:rStyle w:val="Nmerodepgina"/>
                        <w:sz w:val="20"/>
                        <w:rFonts w:cs="Arial Narrow" w:ascii="Arial Narrow" w:hAnsi="Arial Narrow"/>
                      </w:rPr>
                      <w:t>57</w:t>
                    </w:r>
                    <w:r>
                      <w:rPr>
                        <w:rStyle w:val="Nmerodepgina"/>
                        <w:sz w:val="20"/>
                        <w:rFonts w:cs="Arial Narrow" w:ascii="Arial Narrow" w:hAnsi="Arial Narrow"/>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alho"/>
      <w:jc w:val="center"/>
      <w:rPr>
        <w:rFonts w:ascii="Book Antiqua" w:hAnsi="Book Antiqua" w:cs="Book Antiqua"/>
        <w:sz w:val="22"/>
      </w:rPr>
    </w:pPr>
    <w:r>
      <w:rPr>
        <w:rFonts w:cs="Book Antiqua" w:ascii="Book Antiqua" w:hAnsi="Book Antiqua"/>
        <w:sz w:val="22"/>
      </w:rPr>
    </w:r>
  </w:p>
  <w:tbl>
    <w:tblPr>
      <w:tblW w:w="8758" w:type="dxa"/>
      <w:jc w:val="left"/>
      <w:tblInd w:w="8" w:type="dxa"/>
      <w:tblLayout w:type="fixed"/>
      <w:tblCellMar>
        <w:top w:w="0" w:type="dxa"/>
        <w:left w:w="0" w:type="dxa"/>
        <w:bottom w:w="0" w:type="dxa"/>
        <w:right w:w="0" w:type="dxa"/>
      </w:tblCellMar>
    </w:tblPr>
    <w:tblGrid>
      <w:gridCol w:w="2272"/>
      <w:gridCol w:w="6486"/>
    </w:tblGrid>
    <w:tr>
      <w:trPr>
        <w:trHeight w:val="328" w:hRule="atLeast"/>
      </w:trPr>
      <w:tc>
        <w:tcPr>
          <w:tcW w:w="2272" w:type="dxa"/>
          <w:tcBorders/>
        </w:tcPr>
        <w:p>
          <w:pPr>
            <w:pStyle w:val="Cabealho"/>
            <w:snapToGrid w:val="false"/>
            <w:rPr/>
          </w:pPr>
          <w:r>
            <w:rPr>
              <w:rStyle w:val="Fontepargpadro"/>
              <w:lang w:eastAsia="pt-BR"/>
            </w:rPr>
            <w:drawing>
              <wp:inline distT="0" distB="0" distL="0" distR="0">
                <wp:extent cx="1442085" cy="540385"/>
                <wp:effectExtent l="0" t="0" r="0" b="0"/>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1"/>
                        <a:srcRect l="-84" t="-224" r="-84" b="-224"/>
                        <a:stretch>
                          <a:fillRect/>
                        </a:stretch>
                      </pic:blipFill>
                      <pic:spPr bwMode="auto">
                        <a:xfrm>
                          <a:off x="0" y="0"/>
                          <a:ext cx="1442085" cy="540385"/>
                        </a:xfrm>
                        <a:prstGeom prst="rect">
                          <a:avLst/>
                        </a:prstGeom>
                      </pic:spPr>
                    </pic:pic>
                  </a:graphicData>
                </a:graphic>
              </wp:inline>
            </w:drawing>
          </w:r>
        </w:p>
      </w:tc>
      <w:tc>
        <w:tcPr>
          <w:tcW w:w="6486" w:type="dxa"/>
          <w:tcBorders>
            <w:bottom w:val="single" w:sz="4" w:space="0" w:color="000000"/>
          </w:tcBorders>
        </w:tcPr>
        <w:p>
          <w:pPr>
            <w:pStyle w:val="Cabealho"/>
            <w:snapToGrid w:val="false"/>
            <w:jc w:val="center"/>
            <w:rPr>
              <w:rFonts w:ascii="Arial Narrow" w:hAnsi="Arial Narrow" w:cs="Arial Narrow"/>
              <w:b/>
              <w:bCs/>
              <w:sz w:val="24"/>
              <w:szCs w:val="24"/>
            </w:rPr>
          </w:pPr>
          <w:r>
            <w:rPr>
              <w:rFonts w:cs="Arial Narrow" w:ascii="Arial Narrow" w:hAnsi="Arial Narrow"/>
              <w:b/>
              <w:bCs/>
              <w:sz w:val="24"/>
              <w:szCs w:val="24"/>
            </w:rPr>
          </w:r>
        </w:p>
        <w:p>
          <w:pPr>
            <w:pStyle w:val="Cabealho"/>
            <w:snapToGrid w:val="false"/>
            <w:jc w:val="center"/>
            <w:rPr>
              <w:rFonts w:ascii="Arial Narrow" w:hAnsi="Arial Narrow" w:cs="Arial Narrow"/>
              <w:b/>
              <w:bCs/>
              <w:sz w:val="24"/>
              <w:szCs w:val="24"/>
            </w:rPr>
          </w:pPr>
          <w:r>
            <w:rPr>
              <w:rFonts w:cs="Arial Narrow" w:ascii="Arial Narrow" w:hAnsi="Arial Narrow"/>
              <w:b/>
              <w:bCs/>
              <w:sz w:val="24"/>
              <w:szCs w:val="24"/>
            </w:rPr>
            <w:t>Empresa Brasileira de Correios e Telégrafos</w:t>
          </w:r>
        </w:p>
        <w:p>
          <w:pPr>
            <w:pStyle w:val="Cabealho"/>
            <w:snapToGrid w:val="false"/>
            <w:jc w:val="center"/>
            <w:rPr>
              <w:rFonts w:ascii="Arial Narrow" w:hAnsi="Arial Narrow" w:cs="Arial Narrow"/>
              <w:b/>
              <w:bCs/>
              <w:sz w:val="24"/>
              <w:szCs w:val="24"/>
            </w:rPr>
          </w:pPr>
          <w:r>
            <w:rPr>
              <w:rFonts w:cs="Arial Narrow" w:ascii="Arial Narrow" w:hAnsi="Arial Narrow"/>
              <w:b/>
              <w:bCs/>
              <w:sz w:val="24"/>
              <w:szCs w:val="24"/>
            </w:rPr>
            <w:t>Superintendência Estadual de Mato Grosso do Sul</w:t>
          </w:r>
        </w:p>
        <w:p>
          <w:pPr>
            <w:pStyle w:val="Cabealho"/>
            <w:snapToGrid w:val="false"/>
            <w:jc w:val="center"/>
            <w:rPr>
              <w:rFonts w:ascii="Arial Narrow" w:hAnsi="Arial Narrow" w:cs="Arial Narrow"/>
              <w:b/>
              <w:bCs/>
              <w:sz w:val="24"/>
              <w:szCs w:val="24"/>
            </w:rPr>
          </w:pPr>
          <w:r>
            <w:rPr>
              <w:rFonts w:cs="Arial Narrow" w:ascii="Arial Narrow" w:hAnsi="Arial Narrow"/>
              <w:b/>
              <w:bCs/>
              <w:sz w:val="24"/>
              <w:szCs w:val="24"/>
            </w:rPr>
            <w:t>Assessoria Jurídica</w:t>
          </w:r>
        </w:p>
        <w:p>
          <w:pPr>
            <w:pStyle w:val="Cabealho"/>
            <w:snapToGrid w:val="false"/>
            <w:jc w:val="center"/>
            <w:rPr>
              <w:rFonts w:ascii="Arial Narrow" w:hAnsi="Arial Narrow" w:cs="Arial Narrow"/>
              <w:b/>
              <w:bCs/>
              <w:sz w:val="24"/>
              <w:szCs w:val="24"/>
            </w:rPr>
          </w:pPr>
          <w:r>
            <w:rPr>
              <w:rFonts w:cs="Arial Narrow" w:ascii="Arial Narrow" w:hAnsi="Arial Narrow"/>
              <w:b/>
              <w:bCs/>
              <w:sz w:val="24"/>
              <w:szCs w:val="24"/>
            </w:rPr>
          </w:r>
        </w:p>
      </w:tc>
    </w:tr>
  </w:tbl>
  <w:p>
    <w:pPr>
      <w:pStyle w:val="Standard"/>
      <w:jc w:val="center"/>
      <w:rPr>
        <w:rFonts w:ascii="Book Antiqua" w:hAnsi="Book Antiqua" w:cs="Book Antiqua"/>
        <w:sz w:val="22"/>
      </w:rPr>
    </w:pPr>
    <w:r>
      <w:rPr>
        <w:rFonts w:cs="Book Antiqua" w:ascii="Book Antiqua" w:hAnsi="Book Antiqua"/>
        <w:sz w:val="2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1"/>
      <w:lvlJc w:val="left"/>
      <w:pPr>
        <w:tabs>
          <w:tab w:val="num" w:pos="0"/>
        </w:tabs>
        <w:ind w:left="0" w:hanging="0"/>
      </w:pPr>
    </w:lvl>
    <w:lvl w:ilvl="1">
      <w:start w:val="1"/>
      <w:pStyle w:val="Ttulo2"/>
      <w:numFmt w:val="none"/>
      <w:suff w:val="nothing"/>
      <w:lvlText w:val="%2"/>
      <w:lvlJc w:val="left"/>
      <w:pPr>
        <w:tabs>
          <w:tab w:val="num" w:pos="0"/>
        </w:tabs>
        <w:ind w:left="0" w:hanging="0"/>
      </w:pPr>
    </w:lvl>
    <w:lvl w:ilvl="2">
      <w:start w:val="1"/>
      <w:pStyle w:val="Ttulo3"/>
      <w:numFmt w:val="none"/>
      <w:suff w:val="nothing"/>
      <w:lvlText w:val="%3"/>
      <w:lvlJc w:val="left"/>
      <w:pPr>
        <w:tabs>
          <w:tab w:val="num" w:pos="0"/>
        </w:tabs>
        <w:ind w:left="0" w:hanging="0"/>
      </w:pPr>
    </w:lvl>
    <w:lvl w:ilvl="3">
      <w:start w:val="1"/>
      <w:pStyle w:val="Ttulo4"/>
      <w:numFmt w:val="none"/>
      <w:suff w:val="nothing"/>
      <w:lvlText w:val="%4"/>
      <w:lvlJc w:val="left"/>
      <w:pPr>
        <w:tabs>
          <w:tab w:val="num" w:pos="0"/>
        </w:tabs>
        <w:ind w:left="0" w:hanging="0"/>
      </w:pPr>
    </w:lvl>
    <w:lvl w:ilvl="4">
      <w:start w:val="1"/>
      <w:pStyle w:val="Ttulo5"/>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pt-BR" w:eastAsia="zh-CN" w:bidi="hi-IN"/>
      </w:rPr>
    </w:rPrDefault>
    <w:pPrDefault>
      <w:pPr>
        <w:suppressAutoHyphens w:val="false"/>
        <w:textAlignment w:val="baseline"/>
      </w:pPr>
    </w:pPrDefault>
  </w:docDefaults>
  <w:style w:type="paragraph" w:styleId="Normal">
    <w:name w:val="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jc w:val="left"/>
      <w:textAlignment w:val="baseline"/>
    </w:pPr>
    <w:rPr>
      <w:rFonts w:ascii="Times New Roman" w:hAnsi="Times New Roman" w:eastAsia="SimSun;宋体" w:cs="Mangal;Liberation Mono"/>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pt-BR" w:eastAsia="zh-CN" w:bidi="hi-IN"/>
    </w:rPr>
  </w:style>
  <w:style w:type="paragraph" w:styleId="Ttulo1">
    <w:name w:val="Heading 1"/>
    <w:basedOn w:val="Standard"/>
    <w:next w:val="Standard"/>
    <w:qFormat/>
    <w:pPr>
      <w:keepNext w:val="true"/>
      <w:numPr>
        <w:ilvl w:val="0"/>
        <w:numId w:val="1"/>
      </w:numPr>
      <w:suppressAutoHyphens w:val="true"/>
      <w:spacing w:before="120" w:after="0"/>
      <w:ind w:left="0" w:right="-1233" w:hanging="0"/>
      <w:outlineLvl w:val="0"/>
    </w:pPr>
    <w:rPr>
      <w:i/>
      <w:spacing w:val="24"/>
      <w:sz w:val="24"/>
    </w:rPr>
  </w:style>
  <w:style w:type="paragraph" w:styleId="Ttulo2">
    <w:name w:val="Heading 2"/>
    <w:basedOn w:val="Standard"/>
    <w:next w:val="Standard"/>
    <w:qFormat/>
    <w:pPr>
      <w:keepNext w:val="true"/>
      <w:numPr>
        <w:ilvl w:val="1"/>
        <w:numId w:val="1"/>
      </w:numPr>
      <w:suppressAutoHyphens w:val="true"/>
      <w:spacing w:lineRule="auto" w:line="360"/>
      <w:jc w:val="both"/>
      <w:outlineLvl w:val="1"/>
    </w:pPr>
    <w:rPr>
      <w:b/>
    </w:rPr>
  </w:style>
  <w:style w:type="paragraph" w:styleId="Ttulo3">
    <w:name w:val="Heading 3"/>
    <w:basedOn w:val="Standard"/>
    <w:next w:val="Standard"/>
    <w:qFormat/>
    <w:pPr>
      <w:keepNext w:val="true"/>
      <w:numPr>
        <w:ilvl w:val="2"/>
        <w:numId w:val="1"/>
      </w:numPr>
      <w:suppressAutoHyphens w:val="true"/>
      <w:jc w:val="center"/>
      <w:outlineLvl w:val="2"/>
    </w:pPr>
    <w:rPr>
      <w:b/>
    </w:rPr>
  </w:style>
  <w:style w:type="paragraph" w:styleId="Ttulo4">
    <w:name w:val="Heading 4"/>
    <w:basedOn w:val="Standard"/>
    <w:next w:val="Standard"/>
    <w:qFormat/>
    <w:pPr>
      <w:keepNext w:val="true"/>
      <w:numPr>
        <w:ilvl w:val="3"/>
        <w:numId w:val="1"/>
      </w:numPr>
      <w:suppressAutoHyphens w:val="true"/>
      <w:outlineLvl w:val="3"/>
    </w:pPr>
    <w:rPr>
      <w:rFonts w:ascii="Arial Narrow" w:hAnsi="Arial Narrow" w:eastAsia="Arial Narrow" w:cs="Arial Narrow"/>
      <w:b/>
      <w:color w:val="0000FF"/>
      <w:sz w:val="20"/>
    </w:rPr>
  </w:style>
  <w:style w:type="paragraph" w:styleId="Ttulo5">
    <w:name w:val="Heading 5"/>
    <w:basedOn w:val="Standard"/>
    <w:next w:val="Standard"/>
    <w:qFormat/>
    <w:pPr>
      <w:keepNext w:val="true"/>
      <w:numPr>
        <w:ilvl w:val="4"/>
        <w:numId w:val="1"/>
      </w:numPr>
      <w:suppressAutoHyphens w:val="true"/>
      <w:ind w:left="0" w:right="0" w:firstLine="1418"/>
      <w:jc w:val="both"/>
      <w:outlineLvl w:val="4"/>
    </w:pPr>
    <w:rPr>
      <w:b/>
    </w:rPr>
  </w:style>
  <w:style w:type="character" w:styleId="Fontepargpadro">
    <w:name w:val="Fonte parág. padrão"/>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tarSymbol;Arial Unicode MS" w:hAnsi="StarSymbol;Arial Unicode MS" w:eastAsia="StarSymbol;Arial Unicode MS" w:cs="StarSymbol;Arial Unicode MS"/>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style>
  <w:style w:type="character" w:styleId="WW8Num9z1">
    <w:name w:val="WW8Num9z1"/>
    <w:qFormat/>
    <w:rPr/>
  </w:style>
  <w:style w:type="character" w:styleId="WW8Num9z2">
    <w:name w:val="WW8Num9z2"/>
    <w:qFormat/>
    <w:rPr/>
  </w:style>
  <w:style w:type="character" w:styleId="WW8Num9z3">
    <w:name w:val="WW8Num9z3"/>
    <w:qFormat/>
    <w:rPr/>
  </w:style>
  <w:style w:type="character" w:styleId="WW8Num9z4">
    <w:name w:val="WW8Num9z4"/>
    <w:qFormat/>
    <w:rPr/>
  </w:style>
  <w:style w:type="character" w:styleId="WW8Num9z5">
    <w:name w:val="WW8Num9z5"/>
    <w:qFormat/>
    <w:rPr/>
  </w:style>
  <w:style w:type="character" w:styleId="WW8Num9z6">
    <w:name w:val="WW8Num9z6"/>
    <w:qFormat/>
    <w:rPr/>
  </w:style>
  <w:style w:type="character" w:styleId="WW8Num9z7">
    <w:name w:val="WW8Num9z7"/>
    <w:qFormat/>
    <w:rPr/>
  </w:style>
  <w:style w:type="character" w:styleId="WW8Num9z8">
    <w:name w:val="WW8Num9z8"/>
    <w:qFormat/>
    <w:rPr/>
  </w:style>
  <w:style w:type="character" w:styleId="WW8Num10z0">
    <w:name w:val="WW8Num10z0"/>
    <w:qFormat/>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b/>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0">
    <w:name w:val="WW8Num12z0"/>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0">
    <w:name w:val="WW8Num13z0"/>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0">
    <w:name w:val="WW8Num14z0"/>
    <w:qFormat/>
    <w:rPr>
      <w:rFonts w:ascii="Symbol" w:hAnsi="Symbol" w:eastAsia="Symbol" w:cs="Symbol"/>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0">
    <w:name w:val="WW8Num16z0"/>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rFonts w:ascii="Symbol" w:hAnsi="Symbol" w:eastAsia="Symbol" w:cs="Symbol"/>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0">
    <w:name w:val="WW8Num19z0"/>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0">
    <w:name w:val="WW8Num20z0"/>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0">
    <w:name w:val="WW8Num21z0"/>
    <w:qFormat/>
    <w:rPr>
      <w:b/>
    </w:rPr>
  </w:style>
  <w:style w:type="character" w:styleId="WW8Num22z0">
    <w:name w:val="WW8Num22z0"/>
    <w:qFormat/>
    <w:rPr/>
  </w:style>
  <w:style w:type="character" w:styleId="WW8Num22z1">
    <w:name w:val="WW8Num22z1"/>
    <w:qFormat/>
    <w:rPr/>
  </w:style>
  <w:style w:type="character" w:styleId="WW8Num22z2">
    <w:name w:val="WW8Num22z2"/>
    <w:qFormat/>
    <w:rPr/>
  </w:style>
  <w:style w:type="character" w:styleId="WW8Num22z3">
    <w:name w:val="WW8Num22z3"/>
    <w:qFormat/>
    <w:rPr/>
  </w:style>
  <w:style w:type="character" w:styleId="WW8Num22z4">
    <w:name w:val="WW8Num22z4"/>
    <w:qFormat/>
    <w:rPr/>
  </w:style>
  <w:style w:type="character" w:styleId="WW8Num22z5">
    <w:name w:val="WW8Num22z5"/>
    <w:qFormat/>
    <w:rPr/>
  </w:style>
  <w:style w:type="character" w:styleId="WW8Num22z6">
    <w:name w:val="WW8Num22z6"/>
    <w:qFormat/>
    <w:rPr/>
  </w:style>
  <w:style w:type="character" w:styleId="WW8Num22z7">
    <w:name w:val="WW8Num22z7"/>
    <w:qFormat/>
    <w:rPr/>
  </w:style>
  <w:style w:type="character" w:styleId="WW8Num22z8">
    <w:name w:val="WW8Num22z8"/>
    <w:qFormat/>
    <w:rPr/>
  </w:style>
  <w:style w:type="character" w:styleId="WW8Num23z0">
    <w:name w:val="WW8Num23z0"/>
    <w:qFormat/>
    <w:rPr>
      <w:rFonts w:ascii="Symbol" w:hAnsi="Symbol" w:eastAsia="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0">
    <w:name w:val="WW8Num24z0"/>
    <w:qFormat/>
    <w:rPr>
      <w:rFonts w:ascii="StarSymbol;Arial Unicode MS" w:hAnsi="StarSymbol;Arial Unicode MS" w:eastAsia="StarSymbol;Arial Unicode MS" w:cs="StarSymbol;Arial Unicode MS"/>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rFonts w:ascii="Symbol" w:hAnsi="Symbol" w:eastAsia="Symbol" w:cs="Symbol"/>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0">
    <w:name w:val="WW8Num26z0"/>
    <w:qFormat/>
    <w:rPr>
      <w:rFonts w:ascii="Symbol" w:hAnsi="Symbol" w:eastAsia="Symbol" w:cs="Symbol"/>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rFonts w:ascii="StarSymbol;Arial Unicode MS" w:hAnsi="StarSymbol;Arial Unicode MS" w:eastAsia="StarSymbol;Arial Unicode MS" w:cs="StarSymbol;Arial Unicode MS"/>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style>
  <w:style w:type="character" w:styleId="WW8Num31z1">
    <w:name w:val="WW8Num31z1"/>
    <w:qFormat/>
    <w:rPr/>
  </w:style>
  <w:style w:type="character" w:styleId="WW8Num31z2">
    <w:name w:val="WW8Num31z2"/>
    <w:qFormat/>
    <w:rPr/>
  </w:style>
  <w:style w:type="character" w:styleId="WW8Num31z3">
    <w:name w:val="WW8Num31z3"/>
    <w:qFormat/>
    <w:rPr/>
  </w:style>
  <w:style w:type="character" w:styleId="WW8Num31z4">
    <w:name w:val="WW8Num31z4"/>
    <w:qFormat/>
    <w:rPr/>
  </w:style>
  <w:style w:type="character" w:styleId="WW8Num31z5">
    <w:name w:val="WW8Num31z5"/>
    <w:qFormat/>
    <w:rPr/>
  </w:style>
  <w:style w:type="character" w:styleId="WW8Num31z6">
    <w:name w:val="WW8Num31z6"/>
    <w:qFormat/>
    <w:rPr/>
  </w:style>
  <w:style w:type="character" w:styleId="WW8Num31z7">
    <w:name w:val="WW8Num31z7"/>
    <w:qFormat/>
    <w:rPr/>
  </w:style>
  <w:style w:type="character" w:styleId="WW8Num31z8">
    <w:name w:val="WW8Num31z8"/>
    <w:qFormat/>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WW8Num33z0">
    <w:name w:val="WW8Num33z0"/>
    <w:qFormat/>
    <w:rPr>
      <w:b/>
    </w:rPr>
  </w:style>
  <w:style w:type="character" w:styleId="WW8Num34z0">
    <w:name w:val="WW8Num34z0"/>
    <w:qFormat/>
    <w:rPr>
      <w:b/>
    </w:rPr>
  </w:style>
  <w:style w:type="character" w:styleId="WW8Num35z0">
    <w:name w:val="WW8Num35z0"/>
    <w:qFormat/>
    <w:rPr/>
  </w:style>
  <w:style w:type="character" w:styleId="WW8Num35z1">
    <w:name w:val="WW8Num35z1"/>
    <w:qFormat/>
    <w:rPr/>
  </w:style>
  <w:style w:type="character" w:styleId="WW8Num35z2">
    <w:name w:val="WW8Num35z2"/>
    <w:qFormat/>
    <w:rPr/>
  </w:style>
  <w:style w:type="character" w:styleId="WW8Num35z3">
    <w:name w:val="WW8Num35z3"/>
    <w:qFormat/>
    <w:rPr/>
  </w:style>
  <w:style w:type="character" w:styleId="WW8Num35z4">
    <w:name w:val="WW8Num35z4"/>
    <w:qFormat/>
    <w:rPr/>
  </w:style>
  <w:style w:type="character" w:styleId="WW8Num35z5">
    <w:name w:val="WW8Num35z5"/>
    <w:qFormat/>
    <w:rPr/>
  </w:style>
  <w:style w:type="character" w:styleId="WW8Num35z6">
    <w:name w:val="WW8Num35z6"/>
    <w:qFormat/>
    <w:rPr/>
  </w:style>
  <w:style w:type="character" w:styleId="WW8Num35z7">
    <w:name w:val="WW8Num35z7"/>
    <w:qFormat/>
    <w:rPr/>
  </w:style>
  <w:style w:type="character" w:styleId="WW8Num35z8">
    <w:name w:val="WW8Num35z8"/>
    <w:qFormat/>
    <w:rPr/>
  </w:style>
  <w:style w:type="character" w:styleId="WW8Num36z0">
    <w:name w:val="WW8Num36z0"/>
    <w:qFormat/>
    <w:rPr/>
  </w:style>
  <w:style w:type="character" w:styleId="WW8Num36z1">
    <w:name w:val="WW8Num36z1"/>
    <w:qFormat/>
    <w:rPr/>
  </w:style>
  <w:style w:type="character" w:styleId="WW8Num36z2">
    <w:name w:val="WW8Num36z2"/>
    <w:qFormat/>
    <w:rPr/>
  </w:style>
  <w:style w:type="character" w:styleId="WW8Num36z3">
    <w:name w:val="WW8Num36z3"/>
    <w:qFormat/>
    <w:rPr/>
  </w:style>
  <w:style w:type="character" w:styleId="WW8Num36z4">
    <w:name w:val="WW8Num36z4"/>
    <w:qFormat/>
    <w:rPr/>
  </w:style>
  <w:style w:type="character" w:styleId="WW8Num36z5">
    <w:name w:val="WW8Num36z5"/>
    <w:qFormat/>
    <w:rPr/>
  </w:style>
  <w:style w:type="character" w:styleId="WW8Num36z6">
    <w:name w:val="WW8Num36z6"/>
    <w:qFormat/>
    <w:rPr/>
  </w:style>
  <w:style w:type="character" w:styleId="WW8Num36z7">
    <w:name w:val="WW8Num36z7"/>
    <w:qFormat/>
    <w:rPr/>
  </w:style>
  <w:style w:type="character" w:styleId="WW8Num36z8">
    <w:name w:val="WW8Num36z8"/>
    <w:qFormat/>
    <w:rPr/>
  </w:style>
  <w:style w:type="character" w:styleId="WW8Num37z0">
    <w:name w:val="WW8Num37z0"/>
    <w:qFormat/>
    <w:rPr/>
  </w:style>
  <w:style w:type="character" w:styleId="WW8Num37z1">
    <w:name w:val="WW8Num37z1"/>
    <w:qFormat/>
    <w:rPr/>
  </w:style>
  <w:style w:type="character" w:styleId="WW8Num37z2">
    <w:name w:val="WW8Num37z2"/>
    <w:qFormat/>
    <w:rPr/>
  </w:style>
  <w:style w:type="character" w:styleId="WW8Num37z3">
    <w:name w:val="WW8Num37z3"/>
    <w:qFormat/>
    <w:rPr/>
  </w:style>
  <w:style w:type="character" w:styleId="WW8Num37z4">
    <w:name w:val="WW8Num37z4"/>
    <w:qFormat/>
    <w:rPr/>
  </w:style>
  <w:style w:type="character" w:styleId="WW8Num37z5">
    <w:name w:val="WW8Num37z5"/>
    <w:qFormat/>
    <w:rPr/>
  </w:style>
  <w:style w:type="character" w:styleId="WW8Num37z6">
    <w:name w:val="WW8Num37z6"/>
    <w:qFormat/>
    <w:rPr/>
  </w:style>
  <w:style w:type="character" w:styleId="WW8Num37z7">
    <w:name w:val="WW8Num37z7"/>
    <w:qFormat/>
    <w:rPr/>
  </w:style>
  <w:style w:type="character" w:styleId="WW8Num37z8">
    <w:name w:val="WW8Num37z8"/>
    <w:qFormat/>
    <w:rPr/>
  </w:style>
  <w:style w:type="character" w:styleId="WW8Num38z0">
    <w:name w:val="WW8Num38z0"/>
    <w:qFormat/>
    <w:rPr/>
  </w:style>
  <w:style w:type="character" w:styleId="WW8Num38z1">
    <w:name w:val="WW8Num38z1"/>
    <w:qFormat/>
    <w:rPr/>
  </w:style>
  <w:style w:type="character" w:styleId="WW8Num38z2">
    <w:name w:val="WW8Num38z2"/>
    <w:qFormat/>
    <w:rPr/>
  </w:style>
  <w:style w:type="character" w:styleId="WW8Num38z3">
    <w:name w:val="WW8Num38z3"/>
    <w:qFormat/>
    <w:rPr/>
  </w:style>
  <w:style w:type="character" w:styleId="WW8Num38z4">
    <w:name w:val="WW8Num38z4"/>
    <w:qFormat/>
    <w:rPr/>
  </w:style>
  <w:style w:type="character" w:styleId="WW8Num38z5">
    <w:name w:val="WW8Num38z5"/>
    <w:qFormat/>
    <w:rPr/>
  </w:style>
  <w:style w:type="character" w:styleId="WW8Num38z6">
    <w:name w:val="WW8Num38z6"/>
    <w:qFormat/>
    <w:rPr/>
  </w:style>
  <w:style w:type="character" w:styleId="WW8Num38z7">
    <w:name w:val="WW8Num38z7"/>
    <w:qFormat/>
    <w:rPr/>
  </w:style>
  <w:style w:type="character" w:styleId="WW8Num38z8">
    <w:name w:val="WW8Num38z8"/>
    <w:qFormat/>
    <w:rPr/>
  </w:style>
  <w:style w:type="character" w:styleId="WW8Num39z0">
    <w:name w:val="WW8Num39z0"/>
    <w:qFormat/>
    <w:rPr/>
  </w:style>
  <w:style w:type="character" w:styleId="WW8Num39z1">
    <w:name w:val="WW8Num39z1"/>
    <w:qFormat/>
    <w:rPr/>
  </w:style>
  <w:style w:type="character" w:styleId="WW8Num39z2">
    <w:name w:val="WW8Num39z2"/>
    <w:qFormat/>
    <w:rPr/>
  </w:style>
  <w:style w:type="character" w:styleId="WW8Num39z3">
    <w:name w:val="WW8Num39z3"/>
    <w:qFormat/>
    <w:rPr/>
  </w:style>
  <w:style w:type="character" w:styleId="WW8Num39z4">
    <w:name w:val="WW8Num39z4"/>
    <w:qFormat/>
    <w:rPr/>
  </w:style>
  <w:style w:type="character" w:styleId="WW8Num39z5">
    <w:name w:val="WW8Num39z5"/>
    <w:qFormat/>
    <w:rPr/>
  </w:style>
  <w:style w:type="character" w:styleId="WW8Num39z6">
    <w:name w:val="WW8Num39z6"/>
    <w:qFormat/>
    <w:rPr/>
  </w:style>
  <w:style w:type="character" w:styleId="WW8Num39z7">
    <w:name w:val="WW8Num39z7"/>
    <w:qFormat/>
    <w:rPr/>
  </w:style>
  <w:style w:type="character" w:styleId="WW8Num39z8">
    <w:name w:val="WW8Num39z8"/>
    <w:qFormat/>
    <w:rPr/>
  </w:style>
  <w:style w:type="character" w:styleId="WW8Num40z0">
    <w:name w:val="WW8Num40z0"/>
    <w:qFormat/>
    <w:rPr/>
  </w:style>
  <w:style w:type="character" w:styleId="WW8Num40z1">
    <w:name w:val="WW8Num40z1"/>
    <w:qFormat/>
    <w:rPr/>
  </w:style>
  <w:style w:type="character" w:styleId="WW8Num40z2">
    <w:name w:val="WW8Num40z2"/>
    <w:qFormat/>
    <w:rPr/>
  </w:style>
  <w:style w:type="character" w:styleId="WW8Num40z3">
    <w:name w:val="WW8Num40z3"/>
    <w:qFormat/>
    <w:rPr/>
  </w:style>
  <w:style w:type="character" w:styleId="WW8Num40z4">
    <w:name w:val="WW8Num40z4"/>
    <w:qFormat/>
    <w:rPr/>
  </w:style>
  <w:style w:type="character" w:styleId="WW8Num40z5">
    <w:name w:val="WW8Num40z5"/>
    <w:qFormat/>
    <w:rPr/>
  </w:style>
  <w:style w:type="character" w:styleId="WW8Num40z6">
    <w:name w:val="WW8Num40z6"/>
    <w:qFormat/>
    <w:rPr/>
  </w:style>
  <w:style w:type="character" w:styleId="WW8Num40z7">
    <w:name w:val="WW8Num40z7"/>
    <w:qFormat/>
    <w:rPr/>
  </w:style>
  <w:style w:type="character" w:styleId="WW8Num40z8">
    <w:name w:val="WW8Num40z8"/>
    <w:qFormat/>
    <w:rPr/>
  </w:style>
  <w:style w:type="character" w:styleId="WW8Num41z0">
    <w:name w:val="WW8Num41z0"/>
    <w:qFormat/>
    <w:rPr/>
  </w:style>
  <w:style w:type="character" w:styleId="WW8Num41z1">
    <w:name w:val="WW8Num41z1"/>
    <w:qFormat/>
    <w:rPr/>
  </w:style>
  <w:style w:type="character" w:styleId="WW8Num41z2">
    <w:name w:val="WW8Num41z2"/>
    <w:qFormat/>
    <w:rPr/>
  </w:style>
  <w:style w:type="character" w:styleId="WW8Num41z3">
    <w:name w:val="WW8Num41z3"/>
    <w:qFormat/>
    <w:rPr/>
  </w:style>
  <w:style w:type="character" w:styleId="WW8Num41z4">
    <w:name w:val="WW8Num41z4"/>
    <w:qFormat/>
    <w:rPr/>
  </w:style>
  <w:style w:type="character" w:styleId="WW8Num41z5">
    <w:name w:val="WW8Num41z5"/>
    <w:qFormat/>
    <w:rPr/>
  </w:style>
  <w:style w:type="character" w:styleId="WW8Num41z6">
    <w:name w:val="WW8Num41z6"/>
    <w:qFormat/>
    <w:rPr/>
  </w:style>
  <w:style w:type="character" w:styleId="WW8Num41z7">
    <w:name w:val="WW8Num41z7"/>
    <w:qFormat/>
    <w:rPr/>
  </w:style>
  <w:style w:type="character" w:styleId="WW8Num41z8">
    <w:name w:val="WW8Num41z8"/>
    <w:qFormat/>
    <w:rPr/>
  </w:style>
  <w:style w:type="character" w:styleId="WW8Num42z0">
    <w:name w:val="WW8Num42z0"/>
    <w:qFormat/>
    <w:rPr>
      <w:rFonts w:ascii="Wingdings" w:hAnsi="Wingdings" w:eastAsia="Wingdings" w:cs="Wingdings"/>
    </w:rPr>
  </w:style>
  <w:style w:type="character" w:styleId="WW8Num42z1">
    <w:name w:val="WW8Num42z1"/>
    <w:qFormat/>
    <w:rPr/>
  </w:style>
  <w:style w:type="character" w:styleId="WW8Num42z2">
    <w:name w:val="WW8Num42z2"/>
    <w:qFormat/>
    <w:rPr/>
  </w:style>
  <w:style w:type="character" w:styleId="WW8Num42z3">
    <w:name w:val="WW8Num42z3"/>
    <w:qFormat/>
    <w:rPr/>
  </w:style>
  <w:style w:type="character" w:styleId="WW8Num42z4">
    <w:name w:val="WW8Num42z4"/>
    <w:qFormat/>
    <w:rPr/>
  </w:style>
  <w:style w:type="character" w:styleId="WW8Num42z5">
    <w:name w:val="WW8Num42z5"/>
    <w:qFormat/>
    <w:rPr/>
  </w:style>
  <w:style w:type="character" w:styleId="WW8Num42z6">
    <w:name w:val="WW8Num42z6"/>
    <w:qFormat/>
    <w:rPr/>
  </w:style>
  <w:style w:type="character" w:styleId="WW8Num42z7">
    <w:name w:val="WW8Num42z7"/>
    <w:qFormat/>
    <w:rPr/>
  </w:style>
  <w:style w:type="character" w:styleId="WW8Num42z8">
    <w:name w:val="WW8Num42z8"/>
    <w:qFormat/>
    <w:rPr/>
  </w:style>
  <w:style w:type="character" w:styleId="WW8Num43z0">
    <w:name w:val="WW8Num43z0"/>
    <w:qFormat/>
    <w:rPr/>
  </w:style>
  <w:style w:type="character" w:styleId="WW8Num43z1">
    <w:name w:val="WW8Num43z1"/>
    <w:qFormat/>
    <w:rPr/>
  </w:style>
  <w:style w:type="character" w:styleId="WW8Num43z2">
    <w:name w:val="WW8Num43z2"/>
    <w:qFormat/>
    <w:rPr/>
  </w:style>
  <w:style w:type="character" w:styleId="WW8Num43z3">
    <w:name w:val="WW8Num43z3"/>
    <w:qFormat/>
    <w:rPr/>
  </w:style>
  <w:style w:type="character" w:styleId="WW8Num43z4">
    <w:name w:val="WW8Num43z4"/>
    <w:qFormat/>
    <w:rPr/>
  </w:style>
  <w:style w:type="character" w:styleId="WW8Num43z5">
    <w:name w:val="WW8Num43z5"/>
    <w:qFormat/>
    <w:rPr/>
  </w:style>
  <w:style w:type="character" w:styleId="WW8Num43z6">
    <w:name w:val="WW8Num43z6"/>
    <w:qFormat/>
    <w:rPr/>
  </w:style>
  <w:style w:type="character" w:styleId="WW8Num43z7">
    <w:name w:val="WW8Num43z7"/>
    <w:qFormat/>
    <w:rPr/>
  </w:style>
  <w:style w:type="character" w:styleId="WW8Num43z8">
    <w:name w:val="WW8Num43z8"/>
    <w:qFormat/>
    <w:rPr/>
  </w:style>
  <w:style w:type="character" w:styleId="WW8Num44z0">
    <w:name w:val="WW8Num44z0"/>
    <w:qFormat/>
    <w:rPr/>
  </w:style>
  <w:style w:type="character" w:styleId="WW8Num44z1">
    <w:name w:val="WW8Num44z1"/>
    <w:qFormat/>
    <w:rPr/>
  </w:style>
  <w:style w:type="character" w:styleId="WW8Num44z2">
    <w:name w:val="WW8Num44z2"/>
    <w:qFormat/>
    <w:rPr/>
  </w:style>
  <w:style w:type="character" w:styleId="WW8Num44z3">
    <w:name w:val="WW8Num44z3"/>
    <w:qFormat/>
    <w:rPr/>
  </w:style>
  <w:style w:type="character" w:styleId="WW8Num44z4">
    <w:name w:val="WW8Num44z4"/>
    <w:qFormat/>
    <w:rPr/>
  </w:style>
  <w:style w:type="character" w:styleId="WW8Num44z5">
    <w:name w:val="WW8Num44z5"/>
    <w:qFormat/>
    <w:rPr/>
  </w:style>
  <w:style w:type="character" w:styleId="WW8Num44z6">
    <w:name w:val="WW8Num44z6"/>
    <w:qFormat/>
    <w:rPr/>
  </w:style>
  <w:style w:type="character" w:styleId="WW8Num44z7">
    <w:name w:val="WW8Num44z7"/>
    <w:qFormat/>
    <w:rPr/>
  </w:style>
  <w:style w:type="character" w:styleId="WW8Num44z8">
    <w:name w:val="WW8Num44z8"/>
    <w:qFormat/>
    <w:rPr/>
  </w:style>
  <w:style w:type="character" w:styleId="WW8Num45z0">
    <w:name w:val="WW8Num45z0"/>
    <w:qFormat/>
    <w:rPr/>
  </w:style>
  <w:style w:type="character" w:styleId="WW8Num45z1">
    <w:name w:val="WW8Num45z1"/>
    <w:qFormat/>
    <w:rPr/>
  </w:style>
  <w:style w:type="character" w:styleId="WW8Num45z2">
    <w:name w:val="WW8Num45z2"/>
    <w:qFormat/>
    <w:rPr/>
  </w:style>
  <w:style w:type="character" w:styleId="WW8Num45z3">
    <w:name w:val="WW8Num45z3"/>
    <w:qFormat/>
    <w:rPr/>
  </w:style>
  <w:style w:type="character" w:styleId="WW8Num45z4">
    <w:name w:val="WW8Num45z4"/>
    <w:qFormat/>
    <w:rPr/>
  </w:style>
  <w:style w:type="character" w:styleId="WW8Num45z5">
    <w:name w:val="WW8Num45z5"/>
    <w:qFormat/>
    <w:rPr/>
  </w:style>
  <w:style w:type="character" w:styleId="WW8Num45z6">
    <w:name w:val="WW8Num45z6"/>
    <w:qFormat/>
    <w:rPr/>
  </w:style>
  <w:style w:type="character" w:styleId="WW8Num45z7">
    <w:name w:val="WW8Num45z7"/>
    <w:qFormat/>
    <w:rPr/>
  </w:style>
  <w:style w:type="character" w:styleId="WW8Num45z8">
    <w:name w:val="WW8Num45z8"/>
    <w:qFormat/>
    <w:rPr/>
  </w:style>
  <w:style w:type="character" w:styleId="WW8Num46z0">
    <w:name w:val="WW8Num46z0"/>
    <w:qFormat/>
    <w:rPr/>
  </w:style>
  <w:style w:type="character" w:styleId="WW8Num46z1">
    <w:name w:val="WW8Num46z1"/>
    <w:qFormat/>
    <w:rPr/>
  </w:style>
  <w:style w:type="character" w:styleId="WW8Num46z2">
    <w:name w:val="WW8Num46z2"/>
    <w:qFormat/>
    <w:rPr/>
  </w:style>
  <w:style w:type="character" w:styleId="WW8Num46z3">
    <w:name w:val="WW8Num46z3"/>
    <w:qFormat/>
    <w:rPr/>
  </w:style>
  <w:style w:type="character" w:styleId="WW8Num46z4">
    <w:name w:val="WW8Num46z4"/>
    <w:qFormat/>
    <w:rPr/>
  </w:style>
  <w:style w:type="character" w:styleId="WW8Num46z5">
    <w:name w:val="WW8Num46z5"/>
    <w:qFormat/>
    <w:rPr/>
  </w:style>
  <w:style w:type="character" w:styleId="WW8Num46z6">
    <w:name w:val="WW8Num46z6"/>
    <w:qFormat/>
    <w:rPr/>
  </w:style>
  <w:style w:type="character" w:styleId="WW8Num46z7">
    <w:name w:val="WW8Num46z7"/>
    <w:qFormat/>
    <w:rPr/>
  </w:style>
  <w:style w:type="character" w:styleId="WW8Num46z8">
    <w:name w:val="WW8Num46z8"/>
    <w:qFormat/>
    <w:rPr/>
  </w:style>
  <w:style w:type="character" w:styleId="WW8Num47z0">
    <w:name w:val="WW8Num47z0"/>
    <w:qFormat/>
    <w:rPr/>
  </w:style>
  <w:style w:type="character" w:styleId="WW8Num47z1">
    <w:name w:val="WW8Num47z1"/>
    <w:qFormat/>
    <w:rPr/>
  </w:style>
  <w:style w:type="character" w:styleId="WW8Num47z2">
    <w:name w:val="WW8Num47z2"/>
    <w:qFormat/>
    <w:rPr/>
  </w:style>
  <w:style w:type="character" w:styleId="WW8Num47z3">
    <w:name w:val="WW8Num47z3"/>
    <w:qFormat/>
    <w:rPr/>
  </w:style>
  <w:style w:type="character" w:styleId="WW8Num47z4">
    <w:name w:val="WW8Num47z4"/>
    <w:qFormat/>
    <w:rPr/>
  </w:style>
  <w:style w:type="character" w:styleId="WW8Num47z5">
    <w:name w:val="WW8Num47z5"/>
    <w:qFormat/>
    <w:rPr/>
  </w:style>
  <w:style w:type="character" w:styleId="WW8Num47z6">
    <w:name w:val="WW8Num47z6"/>
    <w:qFormat/>
    <w:rPr/>
  </w:style>
  <w:style w:type="character" w:styleId="WW8Num47z7">
    <w:name w:val="WW8Num47z7"/>
    <w:qFormat/>
    <w:rPr/>
  </w:style>
  <w:style w:type="character" w:styleId="WW8Num47z8">
    <w:name w:val="WW8Num47z8"/>
    <w:qFormat/>
    <w:rPr/>
  </w:style>
  <w:style w:type="character" w:styleId="WW8Num48z0">
    <w:name w:val="WW8Num48z0"/>
    <w:qFormat/>
    <w:rPr/>
  </w:style>
  <w:style w:type="character" w:styleId="WW8Num48z1">
    <w:name w:val="WW8Num48z1"/>
    <w:qFormat/>
    <w:rPr/>
  </w:style>
  <w:style w:type="character" w:styleId="WW8Num48z2">
    <w:name w:val="WW8Num48z2"/>
    <w:qFormat/>
    <w:rPr/>
  </w:style>
  <w:style w:type="character" w:styleId="WW8Num48z3">
    <w:name w:val="WW8Num48z3"/>
    <w:qFormat/>
    <w:rPr/>
  </w:style>
  <w:style w:type="character" w:styleId="WW8Num48z4">
    <w:name w:val="WW8Num48z4"/>
    <w:qFormat/>
    <w:rPr/>
  </w:style>
  <w:style w:type="character" w:styleId="WW8Num48z5">
    <w:name w:val="WW8Num48z5"/>
    <w:qFormat/>
    <w:rPr/>
  </w:style>
  <w:style w:type="character" w:styleId="WW8Num48z6">
    <w:name w:val="WW8Num48z6"/>
    <w:qFormat/>
    <w:rPr/>
  </w:style>
  <w:style w:type="character" w:styleId="WW8Num48z7">
    <w:name w:val="WW8Num48z7"/>
    <w:qFormat/>
    <w:rPr/>
  </w:style>
  <w:style w:type="character" w:styleId="WW8Num48z8">
    <w:name w:val="WW8Num48z8"/>
    <w:qFormat/>
    <w:rPr/>
  </w:style>
  <w:style w:type="character" w:styleId="WW8Num49z0">
    <w:name w:val="WW8Num49z0"/>
    <w:qFormat/>
    <w:rPr/>
  </w:style>
  <w:style w:type="character" w:styleId="WW8Num49z1">
    <w:name w:val="WW8Num49z1"/>
    <w:qFormat/>
    <w:rPr/>
  </w:style>
  <w:style w:type="character" w:styleId="WW8Num49z2">
    <w:name w:val="WW8Num49z2"/>
    <w:qFormat/>
    <w:rPr/>
  </w:style>
  <w:style w:type="character" w:styleId="WW8Num49z3">
    <w:name w:val="WW8Num49z3"/>
    <w:qFormat/>
    <w:rPr/>
  </w:style>
  <w:style w:type="character" w:styleId="WW8Num49z4">
    <w:name w:val="WW8Num49z4"/>
    <w:qFormat/>
    <w:rPr/>
  </w:style>
  <w:style w:type="character" w:styleId="WW8Num49z5">
    <w:name w:val="WW8Num49z5"/>
    <w:qFormat/>
    <w:rPr/>
  </w:style>
  <w:style w:type="character" w:styleId="WW8Num49z6">
    <w:name w:val="WW8Num49z6"/>
    <w:qFormat/>
    <w:rPr/>
  </w:style>
  <w:style w:type="character" w:styleId="WW8Num49z7">
    <w:name w:val="WW8Num49z7"/>
    <w:qFormat/>
    <w:rPr/>
  </w:style>
  <w:style w:type="character" w:styleId="WW8Num49z8">
    <w:name w:val="WW8Num49z8"/>
    <w:qFormat/>
    <w:rPr/>
  </w:style>
  <w:style w:type="character" w:styleId="WW8Num50z0">
    <w:name w:val="WW8Num50z0"/>
    <w:qFormat/>
    <w:rPr/>
  </w:style>
  <w:style w:type="character" w:styleId="WW8Num50z1">
    <w:name w:val="WW8Num50z1"/>
    <w:qFormat/>
    <w:rPr/>
  </w:style>
  <w:style w:type="character" w:styleId="WW8Num50z2">
    <w:name w:val="WW8Num50z2"/>
    <w:qFormat/>
    <w:rPr/>
  </w:style>
  <w:style w:type="character" w:styleId="WW8Num50z3">
    <w:name w:val="WW8Num50z3"/>
    <w:qFormat/>
    <w:rPr/>
  </w:style>
  <w:style w:type="character" w:styleId="WW8Num50z4">
    <w:name w:val="WW8Num50z4"/>
    <w:qFormat/>
    <w:rPr/>
  </w:style>
  <w:style w:type="character" w:styleId="WW8Num50z5">
    <w:name w:val="WW8Num50z5"/>
    <w:qFormat/>
    <w:rPr/>
  </w:style>
  <w:style w:type="character" w:styleId="WW8Num50z6">
    <w:name w:val="WW8Num50z6"/>
    <w:qFormat/>
    <w:rPr/>
  </w:style>
  <w:style w:type="character" w:styleId="WW8Num50z7">
    <w:name w:val="WW8Num50z7"/>
    <w:qFormat/>
    <w:rPr/>
  </w:style>
  <w:style w:type="character" w:styleId="WW8Num50z8">
    <w:name w:val="WW8Num50z8"/>
    <w:qFormat/>
    <w:rPr/>
  </w:style>
  <w:style w:type="character" w:styleId="WW8Num51z0">
    <w:name w:val="WW8Num51z0"/>
    <w:qFormat/>
    <w:rPr/>
  </w:style>
  <w:style w:type="character" w:styleId="WW8Num51z1">
    <w:name w:val="WW8Num51z1"/>
    <w:qFormat/>
    <w:rPr/>
  </w:style>
  <w:style w:type="character" w:styleId="WW8Num51z2">
    <w:name w:val="WW8Num51z2"/>
    <w:qFormat/>
    <w:rPr/>
  </w:style>
  <w:style w:type="character" w:styleId="WW8Num51z3">
    <w:name w:val="WW8Num51z3"/>
    <w:qFormat/>
    <w:rPr/>
  </w:style>
  <w:style w:type="character" w:styleId="WW8Num51z4">
    <w:name w:val="WW8Num51z4"/>
    <w:qFormat/>
    <w:rPr/>
  </w:style>
  <w:style w:type="character" w:styleId="WW8Num51z5">
    <w:name w:val="WW8Num51z5"/>
    <w:qFormat/>
    <w:rPr/>
  </w:style>
  <w:style w:type="character" w:styleId="WW8Num51z6">
    <w:name w:val="WW8Num51z6"/>
    <w:qFormat/>
    <w:rPr/>
  </w:style>
  <w:style w:type="character" w:styleId="WW8Num51z7">
    <w:name w:val="WW8Num51z7"/>
    <w:qFormat/>
    <w:rPr/>
  </w:style>
  <w:style w:type="character" w:styleId="WW8Num51z8">
    <w:name w:val="WW8Num51z8"/>
    <w:qFormat/>
    <w:rPr/>
  </w:style>
  <w:style w:type="character" w:styleId="WW8Num52z0">
    <w:name w:val="WW8Num52z0"/>
    <w:qFormat/>
    <w:rPr>
      <w:rFonts w:ascii="Symbol" w:hAnsi="Symbol" w:eastAsia="Symbol" w:cs="Symbol"/>
    </w:rPr>
  </w:style>
  <w:style w:type="character" w:styleId="WW8Num52z1">
    <w:name w:val="WW8Num52z1"/>
    <w:qFormat/>
    <w:rPr/>
  </w:style>
  <w:style w:type="character" w:styleId="WW8Num52z2">
    <w:name w:val="WW8Num52z2"/>
    <w:qFormat/>
    <w:rPr/>
  </w:style>
  <w:style w:type="character" w:styleId="WW8Num52z3">
    <w:name w:val="WW8Num52z3"/>
    <w:qFormat/>
    <w:rPr/>
  </w:style>
  <w:style w:type="character" w:styleId="WW8Num52z4">
    <w:name w:val="WW8Num52z4"/>
    <w:qFormat/>
    <w:rPr/>
  </w:style>
  <w:style w:type="character" w:styleId="WW8Num52z5">
    <w:name w:val="WW8Num52z5"/>
    <w:qFormat/>
    <w:rPr/>
  </w:style>
  <w:style w:type="character" w:styleId="WW8Num52z6">
    <w:name w:val="WW8Num52z6"/>
    <w:qFormat/>
    <w:rPr/>
  </w:style>
  <w:style w:type="character" w:styleId="WW8Num52z7">
    <w:name w:val="WW8Num52z7"/>
    <w:qFormat/>
    <w:rPr/>
  </w:style>
  <w:style w:type="character" w:styleId="WW8Num52z8">
    <w:name w:val="WW8Num52z8"/>
    <w:qFormat/>
    <w:rPr/>
  </w:style>
  <w:style w:type="character" w:styleId="WW8Num53z0">
    <w:name w:val="WW8Num53z0"/>
    <w:qFormat/>
    <w:rPr/>
  </w:style>
  <w:style w:type="character" w:styleId="WW8Num53z1">
    <w:name w:val="WW8Num53z1"/>
    <w:qFormat/>
    <w:rPr/>
  </w:style>
  <w:style w:type="character" w:styleId="WW8Num53z2">
    <w:name w:val="WW8Num53z2"/>
    <w:qFormat/>
    <w:rPr/>
  </w:style>
  <w:style w:type="character" w:styleId="WW8Num53z3">
    <w:name w:val="WW8Num53z3"/>
    <w:qFormat/>
    <w:rPr/>
  </w:style>
  <w:style w:type="character" w:styleId="WW8Num53z4">
    <w:name w:val="WW8Num53z4"/>
    <w:qFormat/>
    <w:rPr/>
  </w:style>
  <w:style w:type="character" w:styleId="WW8Num53z5">
    <w:name w:val="WW8Num53z5"/>
    <w:qFormat/>
    <w:rPr/>
  </w:style>
  <w:style w:type="character" w:styleId="WW8Num53z6">
    <w:name w:val="WW8Num53z6"/>
    <w:qFormat/>
    <w:rPr/>
  </w:style>
  <w:style w:type="character" w:styleId="WW8Num53z7">
    <w:name w:val="WW8Num53z7"/>
    <w:qFormat/>
    <w:rPr/>
  </w:style>
  <w:style w:type="character" w:styleId="WW8Num53z8">
    <w:name w:val="WW8Num53z8"/>
    <w:qFormat/>
    <w:rPr/>
  </w:style>
  <w:style w:type="character" w:styleId="WW8Num54z0">
    <w:name w:val="WW8Num54z0"/>
    <w:qFormat/>
    <w:rPr/>
  </w:style>
  <w:style w:type="character" w:styleId="WW8Num54z1">
    <w:name w:val="WW8Num54z1"/>
    <w:qFormat/>
    <w:rPr/>
  </w:style>
  <w:style w:type="character" w:styleId="WW8Num54z2">
    <w:name w:val="WW8Num54z2"/>
    <w:qFormat/>
    <w:rPr/>
  </w:style>
  <w:style w:type="character" w:styleId="WW8Num54z3">
    <w:name w:val="WW8Num54z3"/>
    <w:qFormat/>
    <w:rPr/>
  </w:style>
  <w:style w:type="character" w:styleId="WW8Num54z4">
    <w:name w:val="WW8Num54z4"/>
    <w:qFormat/>
    <w:rPr/>
  </w:style>
  <w:style w:type="character" w:styleId="WW8Num54z5">
    <w:name w:val="WW8Num54z5"/>
    <w:qFormat/>
    <w:rPr/>
  </w:style>
  <w:style w:type="character" w:styleId="WW8Num54z6">
    <w:name w:val="WW8Num54z6"/>
    <w:qFormat/>
    <w:rPr/>
  </w:style>
  <w:style w:type="character" w:styleId="WW8Num54z7">
    <w:name w:val="WW8Num54z7"/>
    <w:qFormat/>
    <w:rPr/>
  </w:style>
  <w:style w:type="character" w:styleId="WW8Num54z8">
    <w:name w:val="WW8Num54z8"/>
    <w:qFormat/>
    <w:rPr/>
  </w:style>
  <w:style w:type="character" w:styleId="WW8Num55z0">
    <w:name w:val="WW8Num55z0"/>
    <w:qFormat/>
    <w:rPr>
      <w:rFonts w:ascii="StarSymbol;Arial Unicode MS" w:hAnsi="StarSymbol;Arial Unicode MS" w:eastAsia="StarSymbol;Arial Unicode MS" w:cs="StarSymbol;Arial Unicode MS"/>
    </w:rPr>
  </w:style>
  <w:style w:type="character" w:styleId="WW8Num55z1">
    <w:name w:val="WW8Num55z1"/>
    <w:qFormat/>
    <w:rPr/>
  </w:style>
  <w:style w:type="character" w:styleId="WW8Num55z2">
    <w:name w:val="WW8Num55z2"/>
    <w:qFormat/>
    <w:rPr/>
  </w:style>
  <w:style w:type="character" w:styleId="WW8Num55z3">
    <w:name w:val="WW8Num55z3"/>
    <w:qFormat/>
    <w:rPr/>
  </w:style>
  <w:style w:type="character" w:styleId="WW8Num55z4">
    <w:name w:val="WW8Num55z4"/>
    <w:qFormat/>
    <w:rPr/>
  </w:style>
  <w:style w:type="character" w:styleId="WW8Num55z5">
    <w:name w:val="WW8Num55z5"/>
    <w:qFormat/>
    <w:rPr/>
  </w:style>
  <w:style w:type="character" w:styleId="WW8Num55z6">
    <w:name w:val="WW8Num55z6"/>
    <w:qFormat/>
    <w:rPr/>
  </w:style>
  <w:style w:type="character" w:styleId="WW8Num55z7">
    <w:name w:val="WW8Num55z7"/>
    <w:qFormat/>
    <w:rPr/>
  </w:style>
  <w:style w:type="character" w:styleId="WW8Num55z8">
    <w:name w:val="WW8Num55z8"/>
    <w:qFormat/>
    <w:rPr/>
  </w:style>
  <w:style w:type="character" w:styleId="WW8Num56z0">
    <w:name w:val="WW8Num56z0"/>
    <w:qFormat/>
    <w:rPr/>
  </w:style>
  <w:style w:type="character" w:styleId="WW8Num56z1">
    <w:name w:val="WW8Num56z1"/>
    <w:qFormat/>
    <w:rPr/>
  </w:style>
  <w:style w:type="character" w:styleId="WW8Num56z2">
    <w:name w:val="WW8Num56z2"/>
    <w:qFormat/>
    <w:rPr/>
  </w:style>
  <w:style w:type="character" w:styleId="WW8Num56z3">
    <w:name w:val="WW8Num56z3"/>
    <w:qFormat/>
    <w:rPr/>
  </w:style>
  <w:style w:type="character" w:styleId="WW8Num56z4">
    <w:name w:val="WW8Num56z4"/>
    <w:qFormat/>
    <w:rPr/>
  </w:style>
  <w:style w:type="character" w:styleId="WW8Num56z5">
    <w:name w:val="WW8Num56z5"/>
    <w:qFormat/>
    <w:rPr/>
  </w:style>
  <w:style w:type="character" w:styleId="WW8Num56z6">
    <w:name w:val="WW8Num56z6"/>
    <w:qFormat/>
    <w:rPr/>
  </w:style>
  <w:style w:type="character" w:styleId="WW8Num56z7">
    <w:name w:val="WW8Num56z7"/>
    <w:qFormat/>
    <w:rPr/>
  </w:style>
  <w:style w:type="character" w:styleId="WW8Num56z8">
    <w:name w:val="WW8Num56z8"/>
    <w:qFormat/>
    <w:rPr/>
  </w:style>
  <w:style w:type="character" w:styleId="WW8Num57z0">
    <w:name w:val="WW8Num57z0"/>
    <w:qFormat/>
    <w:rPr/>
  </w:style>
  <w:style w:type="character" w:styleId="WW8Num57z1">
    <w:name w:val="WW8Num57z1"/>
    <w:qFormat/>
    <w:rPr/>
  </w:style>
  <w:style w:type="character" w:styleId="WW8Num57z2">
    <w:name w:val="WW8Num57z2"/>
    <w:qFormat/>
    <w:rPr/>
  </w:style>
  <w:style w:type="character" w:styleId="WW8Num57z3">
    <w:name w:val="WW8Num57z3"/>
    <w:qFormat/>
    <w:rPr/>
  </w:style>
  <w:style w:type="character" w:styleId="WW8Num57z4">
    <w:name w:val="WW8Num57z4"/>
    <w:qFormat/>
    <w:rPr/>
  </w:style>
  <w:style w:type="character" w:styleId="WW8Num57z5">
    <w:name w:val="WW8Num57z5"/>
    <w:qFormat/>
    <w:rPr/>
  </w:style>
  <w:style w:type="character" w:styleId="WW8Num57z6">
    <w:name w:val="WW8Num57z6"/>
    <w:qFormat/>
    <w:rPr/>
  </w:style>
  <w:style w:type="character" w:styleId="WW8Num57z7">
    <w:name w:val="WW8Num57z7"/>
    <w:qFormat/>
    <w:rPr/>
  </w:style>
  <w:style w:type="character" w:styleId="WW8Num57z8">
    <w:name w:val="WW8Num57z8"/>
    <w:qFormat/>
    <w:rPr/>
  </w:style>
  <w:style w:type="character" w:styleId="WW8Num58z0">
    <w:name w:val="WW8Num58z0"/>
    <w:qFormat/>
    <w:rPr>
      <w:rFonts w:ascii="Symbol" w:hAnsi="Symbol" w:eastAsia="Symbol" w:cs="Symbol"/>
    </w:rPr>
  </w:style>
  <w:style w:type="character" w:styleId="WW8Num58z1">
    <w:name w:val="WW8Num58z1"/>
    <w:qFormat/>
    <w:rPr/>
  </w:style>
  <w:style w:type="character" w:styleId="WW8Num58z2">
    <w:name w:val="WW8Num58z2"/>
    <w:qFormat/>
    <w:rPr/>
  </w:style>
  <w:style w:type="character" w:styleId="WW8Num58z3">
    <w:name w:val="WW8Num58z3"/>
    <w:qFormat/>
    <w:rPr/>
  </w:style>
  <w:style w:type="character" w:styleId="WW8Num58z4">
    <w:name w:val="WW8Num58z4"/>
    <w:qFormat/>
    <w:rPr/>
  </w:style>
  <w:style w:type="character" w:styleId="WW8Num58z5">
    <w:name w:val="WW8Num58z5"/>
    <w:qFormat/>
    <w:rPr/>
  </w:style>
  <w:style w:type="character" w:styleId="WW8Num58z6">
    <w:name w:val="WW8Num58z6"/>
    <w:qFormat/>
    <w:rPr/>
  </w:style>
  <w:style w:type="character" w:styleId="WW8Num58z7">
    <w:name w:val="WW8Num58z7"/>
    <w:qFormat/>
    <w:rPr/>
  </w:style>
  <w:style w:type="character" w:styleId="WW8Num58z8">
    <w:name w:val="WW8Num58z8"/>
    <w:qFormat/>
    <w:rPr/>
  </w:style>
  <w:style w:type="character" w:styleId="WW8Num59z0">
    <w:name w:val="WW8Num59z0"/>
    <w:qFormat/>
    <w:rPr/>
  </w:style>
  <w:style w:type="character" w:styleId="WW8Num59z1">
    <w:name w:val="WW8Num59z1"/>
    <w:qFormat/>
    <w:rPr/>
  </w:style>
  <w:style w:type="character" w:styleId="WW8Num59z2">
    <w:name w:val="WW8Num59z2"/>
    <w:qFormat/>
    <w:rPr/>
  </w:style>
  <w:style w:type="character" w:styleId="WW8Num59z3">
    <w:name w:val="WW8Num59z3"/>
    <w:qFormat/>
    <w:rPr/>
  </w:style>
  <w:style w:type="character" w:styleId="WW8Num59z4">
    <w:name w:val="WW8Num59z4"/>
    <w:qFormat/>
    <w:rPr/>
  </w:style>
  <w:style w:type="character" w:styleId="WW8Num59z5">
    <w:name w:val="WW8Num59z5"/>
    <w:qFormat/>
    <w:rPr/>
  </w:style>
  <w:style w:type="character" w:styleId="WW8Num59z6">
    <w:name w:val="WW8Num59z6"/>
    <w:qFormat/>
    <w:rPr/>
  </w:style>
  <w:style w:type="character" w:styleId="WW8Num59z7">
    <w:name w:val="WW8Num59z7"/>
    <w:qFormat/>
    <w:rPr/>
  </w:style>
  <w:style w:type="character" w:styleId="WW8Num59z8">
    <w:name w:val="WW8Num59z8"/>
    <w:qFormat/>
    <w:rPr/>
  </w:style>
  <w:style w:type="character" w:styleId="WW8Num60z0">
    <w:name w:val="WW8Num60z0"/>
    <w:qFormat/>
    <w:rPr>
      <w:rFonts w:ascii="Symbol" w:hAnsi="Symbol" w:eastAsia="Symbol" w:cs="Symbol"/>
    </w:rPr>
  </w:style>
  <w:style w:type="character" w:styleId="WW8Num60z1">
    <w:name w:val="WW8Num60z1"/>
    <w:qFormat/>
    <w:rPr/>
  </w:style>
  <w:style w:type="character" w:styleId="WW8Num60z2">
    <w:name w:val="WW8Num60z2"/>
    <w:qFormat/>
    <w:rPr/>
  </w:style>
  <w:style w:type="character" w:styleId="WW8Num60z3">
    <w:name w:val="WW8Num60z3"/>
    <w:qFormat/>
    <w:rPr/>
  </w:style>
  <w:style w:type="character" w:styleId="WW8Num60z4">
    <w:name w:val="WW8Num60z4"/>
    <w:qFormat/>
    <w:rPr/>
  </w:style>
  <w:style w:type="character" w:styleId="WW8Num60z5">
    <w:name w:val="WW8Num60z5"/>
    <w:qFormat/>
    <w:rPr/>
  </w:style>
  <w:style w:type="character" w:styleId="WW8Num60z6">
    <w:name w:val="WW8Num60z6"/>
    <w:qFormat/>
    <w:rPr/>
  </w:style>
  <w:style w:type="character" w:styleId="WW8Num60z7">
    <w:name w:val="WW8Num60z7"/>
    <w:qFormat/>
    <w:rPr/>
  </w:style>
  <w:style w:type="character" w:styleId="WW8Num60z8">
    <w:name w:val="WW8Num60z8"/>
    <w:qFormat/>
    <w:rPr/>
  </w:style>
  <w:style w:type="character" w:styleId="WW8Num61z0">
    <w:name w:val="WW8Num61z0"/>
    <w:qFormat/>
    <w:rPr/>
  </w:style>
  <w:style w:type="character" w:styleId="WW8Num61z1">
    <w:name w:val="WW8Num61z1"/>
    <w:qFormat/>
    <w:rPr/>
  </w:style>
  <w:style w:type="character" w:styleId="WW8Num61z2">
    <w:name w:val="WW8Num61z2"/>
    <w:qFormat/>
    <w:rPr/>
  </w:style>
  <w:style w:type="character" w:styleId="WW8Num61z3">
    <w:name w:val="WW8Num61z3"/>
    <w:qFormat/>
    <w:rPr/>
  </w:style>
  <w:style w:type="character" w:styleId="WW8Num61z4">
    <w:name w:val="WW8Num61z4"/>
    <w:qFormat/>
    <w:rPr/>
  </w:style>
  <w:style w:type="character" w:styleId="WW8Num61z5">
    <w:name w:val="WW8Num61z5"/>
    <w:qFormat/>
    <w:rPr/>
  </w:style>
  <w:style w:type="character" w:styleId="WW8Num61z6">
    <w:name w:val="WW8Num61z6"/>
    <w:qFormat/>
    <w:rPr/>
  </w:style>
  <w:style w:type="character" w:styleId="WW8Num61z7">
    <w:name w:val="WW8Num61z7"/>
    <w:qFormat/>
    <w:rPr/>
  </w:style>
  <w:style w:type="character" w:styleId="WW8Num61z8">
    <w:name w:val="WW8Num61z8"/>
    <w:qFormat/>
    <w:rPr/>
  </w:style>
  <w:style w:type="character" w:styleId="WW8Num62z0">
    <w:name w:val="WW8Num62z0"/>
    <w:qFormat/>
    <w:rPr/>
  </w:style>
  <w:style w:type="character" w:styleId="WW8Num62z1">
    <w:name w:val="WW8Num62z1"/>
    <w:qFormat/>
    <w:rPr/>
  </w:style>
  <w:style w:type="character" w:styleId="WW8Num62z2">
    <w:name w:val="WW8Num62z2"/>
    <w:qFormat/>
    <w:rPr/>
  </w:style>
  <w:style w:type="character" w:styleId="WW8Num62z3">
    <w:name w:val="WW8Num62z3"/>
    <w:qFormat/>
    <w:rPr/>
  </w:style>
  <w:style w:type="character" w:styleId="WW8Num62z4">
    <w:name w:val="WW8Num62z4"/>
    <w:qFormat/>
    <w:rPr/>
  </w:style>
  <w:style w:type="character" w:styleId="WW8Num62z5">
    <w:name w:val="WW8Num62z5"/>
    <w:qFormat/>
    <w:rPr/>
  </w:style>
  <w:style w:type="character" w:styleId="WW8Num62z6">
    <w:name w:val="WW8Num62z6"/>
    <w:qFormat/>
    <w:rPr/>
  </w:style>
  <w:style w:type="character" w:styleId="WW8Num62z7">
    <w:name w:val="WW8Num62z7"/>
    <w:qFormat/>
    <w:rPr/>
  </w:style>
  <w:style w:type="character" w:styleId="WW8Num62z8">
    <w:name w:val="WW8Num62z8"/>
    <w:qFormat/>
    <w:rPr/>
  </w:style>
  <w:style w:type="character" w:styleId="WW8Num63z0">
    <w:name w:val="WW8Num63z0"/>
    <w:qFormat/>
    <w:rPr>
      <w:rFonts w:ascii="Times New Roman" w:hAnsi="Times New Roman" w:eastAsia="Times New Roman" w:cs="Times New Roman"/>
    </w:rPr>
  </w:style>
  <w:style w:type="character" w:styleId="WW8Num63z1">
    <w:name w:val="WW8Num63z1"/>
    <w:qFormat/>
    <w:rPr/>
  </w:style>
  <w:style w:type="character" w:styleId="WW8Num63z2">
    <w:name w:val="WW8Num63z2"/>
    <w:qFormat/>
    <w:rPr/>
  </w:style>
  <w:style w:type="character" w:styleId="WW8Num63z3">
    <w:name w:val="WW8Num63z3"/>
    <w:qFormat/>
    <w:rPr/>
  </w:style>
  <w:style w:type="character" w:styleId="WW8Num63z4">
    <w:name w:val="WW8Num63z4"/>
    <w:qFormat/>
    <w:rPr/>
  </w:style>
  <w:style w:type="character" w:styleId="WW8Num63z5">
    <w:name w:val="WW8Num63z5"/>
    <w:qFormat/>
    <w:rPr/>
  </w:style>
  <w:style w:type="character" w:styleId="WW8Num63z6">
    <w:name w:val="WW8Num63z6"/>
    <w:qFormat/>
    <w:rPr/>
  </w:style>
  <w:style w:type="character" w:styleId="WW8Num63z7">
    <w:name w:val="WW8Num63z7"/>
    <w:qFormat/>
    <w:rPr/>
  </w:style>
  <w:style w:type="character" w:styleId="WW8Num63z8">
    <w:name w:val="WW8Num63z8"/>
    <w:qFormat/>
    <w:rPr/>
  </w:style>
  <w:style w:type="character" w:styleId="WW8Num64z0">
    <w:name w:val="WW8Num64z0"/>
    <w:qFormat/>
    <w:rPr/>
  </w:style>
  <w:style w:type="character" w:styleId="WW8Num64z1">
    <w:name w:val="WW8Num64z1"/>
    <w:qFormat/>
    <w:rPr/>
  </w:style>
  <w:style w:type="character" w:styleId="WW8Num64z2">
    <w:name w:val="WW8Num64z2"/>
    <w:qFormat/>
    <w:rPr/>
  </w:style>
  <w:style w:type="character" w:styleId="WW8Num64z3">
    <w:name w:val="WW8Num64z3"/>
    <w:qFormat/>
    <w:rPr/>
  </w:style>
  <w:style w:type="character" w:styleId="WW8Num64z4">
    <w:name w:val="WW8Num64z4"/>
    <w:qFormat/>
    <w:rPr/>
  </w:style>
  <w:style w:type="character" w:styleId="WW8Num64z5">
    <w:name w:val="WW8Num64z5"/>
    <w:qFormat/>
    <w:rPr/>
  </w:style>
  <w:style w:type="character" w:styleId="WW8Num64z6">
    <w:name w:val="WW8Num64z6"/>
    <w:qFormat/>
    <w:rPr/>
  </w:style>
  <w:style w:type="character" w:styleId="WW8Num64z7">
    <w:name w:val="WW8Num64z7"/>
    <w:qFormat/>
    <w:rPr/>
  </w:style>
  <w:style w:type="character" w:styleId="WW8Num64z8">
    <w:name w:val="WW8Num64z8"/>
    <w:qFormat/>
    <w:rPr/>
  </w:style>
  <w:style w:type="character" w:styleId="WW8Num65z0">
    <w:name w:val="WW8Num65z0"/>
    <w:qFormat/>
    <w:rPr>
      <w:rFonts w:ascii="Symbol" w:hAnsi="Symbol" w:eastAsia="Symbol" w:cs="Symbol"/>
    </w:rPr>
  </w:style>
  <w:style w:type="character" w:styleId="WW8Num65z1">
    <w:name w:val="WW8Num65z1"/>
    <w:qFormat/>
    <w:rPr/>
  </w:style>
  <w:style w:type="character" w:styleId="WW8Num65z2">
    <w:name w:val="WW8Num65z2"/>
    <w:qFormat/>
    <w:rPr/>
  </w:style>
  <w:style w:type="character" w:styleId="WW8Num65z3">
    <w:name w:val="WW8Num65z3"/>
    <w:qFormat/>
    <w:rPr/>
  </w:style>
  <w:style w:type="character" w:styleId="WW8Num65z4">
    <w:name w:val="WW8Num65z4"/>
    <w:qFormat/>
    <w:rPr/>
  </w:style>
  <w:style w:type="character" w:styleId="WW8Num65z5">
    <w:name w:val="WW8Num65z5"/>
    <w:qFormat/>
    <w:rPr/>
  </w:style>
  <w:style w:type="character" w:styleId="WW8Num65z6">
    <w:name w:val="WW8Num65z6"/>
    <w:qFormat/>
    <w:rPr/>
  </w:style>
  <w:style w:type="character" w:styleId="WW8Num65z7">
    <w:name w:val="WW8Num65z7"/>
    <w:qFormat/>
    <w:rPr/>
  </w:style>
  <w:style w:type="character" w:styleId="WW8Num65z8">
    <w:name w:val="WW8Num65z8"/>
    <w:qFormat/>
    <w:rPr/>
  </w:style>
  <w:style w:type="character" w:styleId="WW8Num66z0">
    <w:name w:val="WW8Num66z0"/>
    <w:qFormat/>
    <w:rPr/>
  </w:style>
  <w:style w:type="character" w:styleId="WW8Num66z1">
    <w:name w:val="WW8Num66z1"/>
    <w:qFormat/>
    <w:rPr/>
  </w:style>
  <w:style w:type="character" w:styleId="WW8Num66z2">
    <w:name w:val="WW8Num66z2"/>
    <w:qFormat/>
    <w:rPr/>
  </w:style>
  <w:style w:type="character" w:styleId="WW8Num66z3">
    <w:name w:val="WW8Num66z3"/>
    <w:qFormat/>
    <w:rPr/>
  </w:style>
  <w:style w:type="character" w:styleId="WW8Num66z4">
    <w:name w:val="WW8Num66z4"/>
    <w:qFormat/>
    <w:rPr/>
  </w:style>
  <w:style w:type="character" w:styleId="WW8Num66z5">
    <w:name w:val="WW8Num66z5"/>
    <w:qFormat/>
    <w:rPr/>
  </w:style>
  <w:style w:type="character" w:styleId="WW8Num66z6">
    <w:name w:val="WW8Num66z6"/>
    <w:qFormat/>
    <w:rPr/>
  </w:style>
  <w:style w:type="character" w:styleId="WW8Num66z7">
    <w:name w:val="WW8Num66z7"/>
    <w:qFormat/>
    <w:rPr/>
  </w:style>
  <w:style w:type="character" w:styleId="WW8Num66z8">
    <w:name w:val="WW8Num66z8"/>
    <w:qFormat/>
    <w:rPr/>
  </w:style>
  <w:style w:type="character" w:styleId="WW8Num67z0">
    <w:name w:val="WW8Num67z0"/>
    <w:qFormat/>
    <w:rPr/>
  </w:style>
  <w:style w:type="character" w:styleId="WW8Num67z1">
    <w:name w:val="WW8Num67z1"/>
    <w:qFormat/>
    <w:rPr/>
  </w:style>
  <w:style w:type="character" w:styleId="WW8Num67z2">
    <w:name w:val="WW8Num67z2"/>
    <w:qFormat/>
    <w:rPr/>
  </w:style>
  <w:style w:type="character" w:styleId="WW8Num67z3">
    <w:name w:val="WW8Num67z3"/>
    <w:qFormat/>
    <w:rPr/>
  </w:style>
  <w:style w:type="character" w:styleId="WW8Num67z4">
    <w:name w:val="WW8Num67z4"/>
    <w:qFormat/>
    <w:rPr/>
  </w:style>
  <w:style w:type="character" w:styleId="WW8Num67z5">
    <w:name w:val="WW8Num67z5"/>
    <w:qFormat/>
    <w:rPr/>
  </w:style>
  <w:style w:type="character" w:styleId="WW8Num67z6">
    <w:name w:val="WW8Num67z6"/>
    <w:qFormat/>
    <w:rPr/>
  </w:style>
  <w:style w:type="character" w:styleId="WW8Num67z7">
    <w:name w:val="WW8Num67z7"/>
    <w:qFormat/>
    <w:rPr/>
  </w:style>
  <w:style w:type="character" w:styleId="WW8Num67z8">
    <w:name w:val="WW8Num67z8"/>
    <w:qFormat/>
    <w:rPr/>
  </w:style>
  <w:style w:type="character" w:styleId="WW8Num68z0">
    <w:name w:val="WW8Num68z0"/>
    <w:qFormat/>
    <w:rPr/>
  </w:style>
  <w:style w:type="character" w:styleId="WW8Num68z1">
    <w:name w:val="WW8Num68z1"/>
    <w:qFormat/>
    <w:rPr/>
  </w:style>
  <w:style w:type="character" w:styleId="WW8Num68z2">
    <w:name w:val="WW8Num68z2"/>
    <w:qFormat/>
    <w:rPr/>
  </w:style>
  <w:style w:type="character" w:styleId="WW8Num68z3">
    <w:name w:val="WW8Num68z3"/>
    <w:qFormat/>
    <w:rPr/>
  </w:style>
  <w:style w:type="character" w:styleId="WW8Num68z4">
    <w:name w:val="WW8Num68z4"/>
    <w:qFormat/>
    <w:rPr/>
  </w:style>
  <w:style w:type="character" w:styleId="WW8Num68z5">
    <w:name w:val="WW8Num68z5"/>
    <w:qFormat/>
    <w:rPr/>
  </w:style>
  <w:style w:type="character" w:styleId="WW8Num68z6">
    <w:name w:val="WW8Num68z6"/>
    <w:qFormat/>
    <w:rPr/>
  </w:style>
  <w:style w:type="character" w:styleId="WW8Num68z7">
    <w:name w:val="WW8Num68z7"/>
    <w:qFormat/>
    <w:rPr/>
  </w:style>
  <w:style w:type="character" w:styleId="WW8Num68z8">
    <w:name w:val="WW8Num68z8"/>
    <w:qFormat/>
    <w:rPr/>
  </w:style>
  <w:style w:type="character" w:styleId="WW8Num69z0">
    <w:name w:val="WW8Num69z0"/>
    <w:qFormat/>
    <w:rPr/>
  </w:style>
  <w:style w:type="character" w:styleId="WW8Num69z1">
    <w:name w:val="WW8Num69z1"/>
    <w:qFormat/>
    <w:rPr/>
  </w:style>
  <w:style w:type="character" w:styleId="WW8Num69z2">
    <w:name w:val="WW8Num69z2"/>
    <w:qFormat/>
    <w:rPr/>
  </w:style>
  <w:style w:type="character" w:styleId="WW8Num69z3">
    <w:name w:val="WW8Num69z3"/>
    <w:qFormat/>
    <w:rPr/>
  </w:style>
  <w:style w:type="character" w:styleId="WW8Num69z4">
    <w:name w:val="WW8Num69z4"/>
    <w:qFormat/>
    <w:rPr/>
  </w:style>
  <w:style w:type="character" w:styleId="WW8Num69z5">
    <w:name w:val="WW8Num69z5"/>
    <w:qFormat/>
    <w:rPr/>
  </w:style>
  <w:style w:type="character" w:styleId="WW8Num69z6">
    <w:name w:val="WW8Num69z6"/>
    <w:qFormat/>
    <w:rPr/>
  </w:style>
  <w:style w:type="character" w:styleId="WW8Num69z7">
    <w:name w:val="WW8Num69z7"/>
    <w:qFormat/>
    <w:rPr/>
  </w:style>
  <w:style w:type="character" w:styleId="WW8Num69z8">
    <w:name w:val="WW8Num69z8"/>
    <w:qFormat/>
    <w:rPr/>
  </w:style>
  <w:style w:type="character" w:styleId="WW8Num70z0">
    <w:name w:val="WW8Num70z0"/>
    <w:qFormat/>
    <w:rPr>
      <w:b/>
    </w:rPr>
  </w:style>
  <w:style w:type="character" w:styleId="WW8Num70z1">
    <w:name w:val="WW8Num70z1"/>
    <w:qFormat/>
    <w:rPr/>
  </w:style>
  <w:style w:type="character" w:styleId="WW8Num70z2">
    <w:name w:val="WW8Num70z2"/>
    <w:qFormat/>
    <w:rPr/>
  </w:style>
  <w:style w:type="character" w:styleId="WW8Num70z3">
    <w:name w:val="WW8Num70z3"/>
    <w:qFormat/>
    <w:rPr/>
  </w:style>
  <w:style w:type="character" w:styleId="WW8Num70z4">
    <w:name w:val="WW8Num70z4"/>
    <w:qFormat/>
    <w:rPr/>
  </w:style>
  <w:style w:type="character" w:styleId="WW8Num70z5">
    <w:name w:val="WW8Num70z5"/>
    <w:qFormat/>
    <w:rPr/>
  </w:style>
  <w:style w:type="character" w:styleId="WW8Num70z6">
    <w:name w:val="WW8Num70z6"/>
    <w:qFormat/>
    <w:rPr/>
  </w:style>
  <w:style w:type="character" w:styleId="WW8Num70z7">
    <w:name w:val="WW8Num70z7"/>
    <w:qFormat/>
    <w:rPr/>
  </w:style>
  <w:style w:type="character" w:styleId="WW8Num70z8">
    <w:name w:val="WW8Num70z8"/>
    <w:qFormat/>
    <w:rPr/>
  </w:style>
  <w:style w:type="character" w:styleId="WW8Num71z0">
    <w:name w:val="WW8Num71z0"/>
    <w:qFormat/>
    <w:rPr>
      <w:rFonts w:ascii="Symbol" w:hAnsi="Symbol" w:eastAsia="Symbol" w:cs="Symbol"/>
    </w:rPr>
  </w:style>
  <w:style w:type="character" w:styleId="WW8Num71z1">
    <w:name w:val="WW8Num71z1"/>
    <w:qFormat/>
    <w:rPr/>
  </w:style>
  <w:style w:type="character" w:styleId="WW8Num71z2">
    <w:name w:val="WW8Num71z2"/>
    <w:qFormat/>
    <w:rPr/>
  </w:style>
  <w:style w:type="character" w:styleId="WW8Num71z3">
    <w:name w:val="WW8Num71z3"/>
    <w:qFormat/>
    <w:rPr/>
  </w:style>
  <w:style w:type="character" w:styleId="WW8Num71z4">
    <w:name w:val="WW8Num71z4"/>
    <w:qFormat/>
    <w:rPr/>
  </w:style>
  <w:style w:type="character" w:styleId="WW8Num71z5">
    <w:name w:val="WW8Num71z5"/>
    <w:qFormat/>
    <w:rPr/>
  </w:style>
  <w:style w:type="character" w:styleId="WW8Num71z6">
    <w:name w:val="WW8Num71z6"/>
    <w:qFormat/>
    <w:rPr/>
  </w:style>
  <w:style w:type="character" w:styleId="WW8Num71z7">
    <w:name w:val="WW8Num71z7"/>
    <w:qFormat/>
    <w:rPr/>
  </w:style>
  <w:style w:type="character" w:styleId="WW8Num71z8">
    <w:name w:val="WW8Num71z8"/>
    <w:qFormat/>
    <w:rPr/>
  </w:style>
  <w:style w:type="character" w:styleId="WW8Num72z0">
    <w:name w:val="WW8Num72z0"/>
    <w:qFormat/>
    <w:rPr/>
  </w:style>
  <w:style w:type="character" w:styleId="WW8Num72z1">
    <w:name w:val="WW8Num72z1"/>
    <w:qFormat/>
    <w:rPr/>
  </w:style>
  <w:style w:type="character" w:styleId="WW8Num72z2">
    <w:name w:val="WW8Num72z2"/>
    <w:qFormat/>
    <w:rPr/>
  </w:style>
  <w:style w:type="character" w:styleId="WW8Num72z3">
    <w:name w:val="WW8Num72z3"/>
    <w:qFormat/>
    <w:rPr/>
  </w:style>
  <w:style w:type="character" w:styleId="WW8Num72z4">
    <w:name w:val="WW8Num72z4"/>
    <w:qFormat/>
    <w:rPr/>
  </w:style>
  <w:style w:type="character" w:styleId="WW8Num72z5">
    <w:name w:val="WW8Num72z5"/>
    <w:qFormat/>
    <w:rPr/>
  </w:style>
  <w:style w:type="character" w:styleId="WW8Num72z6">
    <w:name w:val="WW8Num72z6"/>
    <w:qFormat/>
    <w:rPr/>
  </w:style>
  <w:style w:type="character" w:styleId="WW8Num72z7">
    <w:name w:val="WW8Num72z7"/>
    <w:qFormat/>
    <w:rPr/>
  </w:style>
  <w:style w:type="character" w:styleId="WW8Num72z8">
    <w:name w:val="WW8Num72z8"/>
    <w:qFormat/>
    <w:rPr/>
  </w:style>
  <w:style w:type="character" w:styleId="WW8Num73z0">
    <w:name w:val="WW8Num73z0"/>
    <w:qFormat/>
    <w:rPr/>
  </w:style>
  <w:style w:type="character" w:styleId="WW8Num73z1">
    <w:name w:val="WW8Num73z1"/>
    <w:qFormat/>
    <w:rPr/>
  </w:style>
  <w:style w:type="character" w:styleId="WW8Num73z2">
    <w:name w:val="WW8Num73z2"/>
    <w:qFormat/>
    <w:rPr/>
  </w:style>
  <w:style w:type="character" w:styleId="WW8Num73z3">
    <w:name w:val="WW8Num73z3"/>
    <w:qFormat/>
    <w:rPr/>
  </w:style>
  <w:style w:type="character" w:styleId="WW8Num73z4">
    <w:name w:val="WW8Num73z4"/>
    <w:qFormat/>
    <w:rPr/>
  </w:style>
  <w:style w:type="character" w:styleId="WW8Num73z5">
    <w:name w:val="WW8Num73z5"/>
    <w:qFormat/>
    <w:rPr/>
  </w:style>
  <w:style w:type="character" w:styleId="WW8Num73z6">
    <w:name w:val="WW8Num73z6"/>
    <w:qFormat/>
    <w:rPr/>
  </w:style>
  <w:style w:type="character" w:styleId="WW8Num73z7">
    <w:name w:val="WW8Num73z7"/>
    <w:qFormat/>
    <w:rPr/>
  </w:style>
  <w:style w:type="character" w:styleId="WW8Num73z8">
    <w:name w:val="WW8Num73z8"/>
    <w:qFormat/>
    <w:rPr/>
  </w:style>
  <w:style w:type="character" w:styleId="WW8Num74z0">
    <w:name w:val="WW8Num74z0"/>
    <w:qFormat/>
    <w:rPr/>
  </w:style>
  <w:style w:type="character" w:styleId="WW8Num74z1">
    <w:name w:val="WW8Num74z1"/>
    <w:qFormat/>
    <w:rPr/>
  </w:style>
  <w:style w:type="character" w:styleId="WW8Num74z2">
    <w:name w:val="WW8Num74z2"/>
    <w:qFormat/>
    <w:rPr/>
  </w:style>
  <w:style w:type="character" w:styleId="WW8Num74z3">
    <w:name w:val="WW8Num74z3"/>
    <w:qFormat/>
    <w:rPr/>
  </w:style>
  <w:style w:type="character" w:styleId="WW8Num74z4">
    <w:name w:val="WW8Num74z4"/>
    <w:qFormat/>
    <w:rPr/>
  </w:style>
  <w:style w:type="character" w:styleId="WW8Num74z5">
    <w:name w:val="WW8Num74z5"/>
    <w:qFormat/>
    <w:rPr/>
  </w:style>
  <w:style w:type="character" w:styleId="WW8Num74z6">
    <w:name w:val="WW8Num74z6"/>
    <w:qFormat/>
    <w:rPr/>
  </w:style>
  <w:style w:type="character" w:styleId="WW8Num74z7">
    <w:name w:val="WW8Num74z7"/>
    <w:qFormat/>
    <w:rPr/>
  </w:style>
  <w:style w:type="character" w:styleId="WW8Num74z8">
    <w:name w:val="WW8Num74z8"/>
    <w:qFormat/>
    <w:rPr/>
  </w:style>
  <w:style w:type="character" w:styleId="WW8Num75z0">
    <w:name w:val="WW8Num75z0"/>
    <w:qFormat/>
    <w:rPr/>
  </w:style>
  <w:style w:type="character" w:styleId="WW8Num75z1">
    <w:name w:val="WW8Num75z1"/>
    <w:qFormat/>
    <w:rPr/>
  </w:style>
  <w:style w:type="character" w:styleId="WW8Num75z2">
    <w:name w:val="WW8Num75z2"/>
    <w:qFormat/>
    <w:rPr/>
  </w:style>
  <w:style w:type="character" w:styleId="WW8Num75z3">
    <w:name w:val="WW8Num75z3"/>
    <w:qFormat/>
    <w:rPr/>
  </w:style>
  <w:style w:type="character" w:styleId="WW8Num75z4">
    <w:name w:val="WW8Num75z4"/>
    <w:qFormat/>
    <w:rPr/>
  </w:style>
  <w:style w:type="character" w:styleId="WW8Num75z5">
    <w:name w:val="WW8Num75z5"/>
    <w:qFormat/>
    <w:rPr/>
  </w:style>
  <w:style w:type="character" w:styleId="WW8Num75z6">
    <w:name w:val="WW8Num75z6"/>
    <w:qFormat/>
    <w:rPr/>
  </w:style>
  <w:style w:type="character" w:styleId="WW8Num75z7">
    <w:name w:val="WW8Num75z7"/>
    <w:qFormat/>
    <w:rPr/>
  </w:style>
  <w:style w:type="character" w:styleId="WW8Num75z8">
    <w:name w:val="WW8Num75z8"/>
    <w:qFormat/>
    <w:rPr/>
  </w:style>
  <w:style w:type="character" w:styleId="WW8Num76z0">
    <w:name w:val="WW8Num76z0"/>
    <w:qFormat/>
    <w:rPr/>
  </w:style>
  <w:style w:type="character" w:styleId="WW8Num76z1">
    <w:name w:val="WW8Num76z1"/>
    <w:qFormat/>
    <w:rPr/>
  </w:style>
  <w:style w:type="character" w:styleId="WW8Num76z2">
    <w:name w:val="WW8Num76z2"/>
    <w:qFormat/>
    <w:rPr/>
  </w:style>
  <w:style w:type="character" w:styleId="WW8Num76z3">
    <w:name w:val="WW8Num76z3"/>
    <w:qFormat/>
    <w:rPr/>
  </w:style>
  <w:style w:type="character" w:styleId="WW8Num76z4">
    <w:name w:val="WW8Num76z4"/>
    <w:qFormat/>
    <w:rPr/>
  </w:style>
  <w:style w:type="character" w:styleId="WW8Num76z5">
    <w:name w:val="WW8Num76z5"/>
    <w:qFormat/>
    <w:rPr/>
  </w:style>
  <w:style w:type="character" w:styleId="WW8Num76z6">
    <w:name w:val="WW8Num76z6"/>
    <w:qFormat/>
    <w:rPr/>
  </w:style>
  <w:style w:type="character" w:styleId="WW8Num76z7">
    <w:name w:val="WW8Num76z7"/>
    <w:qFormat/>
    <w:rPr/>
  </w:style>
  <w:style w:type="character" w:styleId="WW8Num76z8">
    <w:name w:val="WW8Num76z8"/>
    <w:qFormat/>
    <w:rPr/>
  </w:style>
  <w:style w:type="character" w:styleId="WW8Num77z0">
    <w:name w:val="WW8Num77z0"/>
    <w:qFormat/>
    <w:rPr/>
  </w:style>
  <w:style w:type="character" w:styleId="WW8Num77z1">
    <w:name w:val="WW8Num77z1"/>
    <w:qFormat/>
    <w:rPr/>
  </w:style>
  <w:style w:type="character" w:styleId="WW8Num77z2">
    <w:name w:val="WW8Num77z2"/>
    <w:qFormat/>
    <w:rPr/>
  </w:style>
  <w:style w:type="character" w:styleId="WW8Num77z3">
    <w:name w:val="WW8Num77z3"/>
    <w:qFormat/>
    <w:rPr/>
  </w:style>
  <w:style w:type="character" w:styleId="WW8Num77z4">
    <w:name w:val="WW8Num77z4"/>
    <w:qFormat/>
    <w:rPr/>
  </w:style>
  <w:style w:type="character" w:styleId="WW8Num77z5">
    <w:name w:val="WW8Num77z5"/>
    <w:qFormat/>
    <w:rPr/>
  </w:style>
  <w:style w:type="character" w:styleId="WW8Num77z6">
    <w:name w:val="WW8Num77z6"/>
    <w:qFormat/>
    <w:rPr/>
  </w:style>
  <w:style w:type="character" w:styleId="WW8Num77z7">
    <w:name w:val="WW8Num77z7"/>
    <w:qFormat/>
    <w:rPr/>
  </w:style>
  <w:style w:type="character" w:styleId="WW8Num77z8">
    <w:name w:val="WW8Num77z8"/>
    <w:qFormat/>
    <w:rPr/>
  </w:style>
  <w:style w:type="character" w:styleId="Fontepargpadro1">
    <w:name w:val="Fonte parág. padrão1"/>
    <w:qFormat/>
    <w:rPr/>
  </w:style>
  <w:style w:type="character" w:styleId="FootnoteSymbol">
    <w:name w:val="Footnote Symbol"/>
    <w:qFormat/>
    <w:rPr>
      <w:vertAlign w:val="superscript"/>
    </w:rPr>
  </w:style>
  <w:style w:type="character" w:styleId="Nmerodepgina">
    <w:name w:val="Page Number"/>
    <w:basedOn w:val="Fontepargpadro1"/>
    <w:rPr/>
  </w:style>
  <w:style w:type="character" w:styleId="NumberingSymbols">
    <w:name w:val="Numbering Symbols"/>
    <w:qFormat/>
    <w:rPr/>
  </w:style>
  <w:style w:type="character" w:styleId="BulletSymbols">
    <w:name w:val="Bullet Symbols"/>
    <w:qFormat/>
    <w:rPr>
      <w:rFonts w:ascii="StarSymbol;Arial Unicode MS" w:hAnsi="StarSymbol;Arial Unicode MS" w:eastAsia="StarSymbol;Arial Unicode MS" w:cs="StarSymbol;Arial Unicode MS"/>
      <w:sz w:val="18"/>
      <w:szCs w:val="18"/>
    </w:rPr>
  </w:style>
  <w:style w:type="character" w:styleId="Hyperlink1">
    <w:name w:val="Hyperlink1"/>
    <w:qFormat/>
    <w:rPr>
      <w:color w:val="0000FF"/>
      <w:u w:val="single"/>
    </w:rPr>
  </w:style>
  <w:style w:type="character" w:styleId="HiperlinkVisitado">
    <w:name w:val="HiperlinkVisitado"/>
    <w:qFormat/>
    <w:rPr>
      <w:color w:val="800080"/>
      <w:u w:val="single"/>
    </w:rPr>
  </w:style>
  <w:style w:type="character" w:styleId="Footnoteanchor">
    <w:name w:val="Footnote anchor"/>
    <w:qFormat/>
    <w:rPr>
      <w:vertAlign w:val="superscript"/>
    </w:rPr>
  </w:style>
  <w:style w:type="character" w:styleId="StrongEmphasis">
    <w:name w:val="Strong Emphasis"/>
    <w:qFormat/>
    <w:rPr>
      <w:b/>
      <w:bCs/>
    </w:rPr>
  </w:style>
  <w:style w:type="character" w:styleId="Nfase">
    <w:name w:val="Emphasis"/>
    <w:qFormat/>
    <w:rPr>
      <w:i/>
      <w:iCs/>
    </w:rPr>
  </w:style>
  <w:style w:type="character" w:styleId="Caracteresdenotaderodap">
    <w:name w:val="Caracteres de nota de rodapé"/>
    <w:qFormat/>
    <w:rPr>
      <w:vertAlign w:val="superscript"/>
    </w:rPr>
  </w:style>
  <w:style w:type="character" w:styleId="TextodenotaderodapChar">
    <w:name w:val="Texto de nota de rodapé Char"/>
    <w:qFormat/>
    <w:rPr>
      <w:sz w:val="20"/>
      <w:szCs w:val="18"/>
    </w:rPr>
  </w:style>
  <w:style w:type="character" w:styleId="TextodebaloChar">
    <w:name w:val="Texto de balão Char"/>
    <w:qFormat/>
    <w:rPr>
      <w:rFonts w:ascii="Segoe UI" w:hAnsi="Segoe UI" w:eastAsia="Segoe UI" w:cs="Segoe UI"/>
      <w:sz w:val="18"/>
      <w:szCs w:val="16"/>
    </w:rPr>
  </w:style>
  <w:style w:type="character" w:styleId="Pr-formataoHTMLChar">
    <w:name w:val="Pré-formatação HTML Char"/>
    <w:qFormat/>
    <w:rPr>
      <w:rFonts w:ascii="Verdana" w:hAnsi="Verdana" w:eastAsia="Arial Unicode MS" w:cs="Times New Roman"/>
      <w:sz w:val="20"/>
      <w:szCs w:val="20"/>
      <w:lang w:bidi="ar-SA"/>
    </w:rPr>
  </w:style>
  <w:style w:type="character" w:styleId="Recuodecorpodetexto3Char">
    <w:name w:val="Recuo de corpo de texto 3 Char"/>
    <w:qFormat/>
    <w:rPr>
      <w:rFonts w:eastAsia="Times New Roman" w:cs="Times New Roman"/>
      <w:sz w:val="28"/>
      <w:szCs w:val="20"/>
      <w:lang w:bidi="ar-SA"/>
    </w:rPr>
  </w:style>
  <w:style w:type="character" w:styleId="Hlhilite">
    <w:name w:val="hl hilite"/>
    <w:basedOn w:val="Fontepargpadro1"/>
    <w:qFormat/>
    <w:rPr/>
  </w:style>
  <w:style w:type="character" w:styleId="LinkdaInternet">
    <w:name w:val="Hyperlink"/>
    <w:rPr>
      <w:color w:val="0000FF"/>
      <w:u w:val="single"/>
    </w:rPr>
  </w:style>
  <w:style w:type="character" w:styleId="Nfaseforte">
    <w:name w:val="Strong"/>
    <w:qFormat/>
    <w:rPr>
      <w:b/>
      <w:bCs/>
    </w:rPr>
  </w:style>
  <w:style w:type="character" w:styleId="Fontepargpadro8">
    <w:name w:val="Fonte parág. padrão8"/>
    <w:qFormat/>
    <w:rPr/>
  </w:style>
  <w:style w:type="character" w:styleId="Corpodetexto2Char">
    <w:name w:val="Corpo de texto 2 Char"/>
    <w:basedOn w:val="Fontepargpadro"/>
    <w:qFormat/>
    <w:rPr>
      <w:rFonts w:ascii="Times New Roman" w:hAnsi="Times New Roman" w:eastAsia="SimSun;宋体" w:cs="Mangal"/>
      <w:kern w:val="2"/>
      <w:szCs w:val="21"/>
    </w:rPr>
  </w:style>
  <w:style w:type="character" w:styleId="DefaultParagraphFont">
    <w:name w:val="Default Paragraph Font"/>
    <w:qFormat/>
    <w:rPr/>
  </w:style>
  <w:style w:type="paragraph" w:styleId="Ttulo">
    <w:name w:val="Título"/>
    <w:basedOn w:val="Normal"/>
    <w:next w:val="Corpodotexto"/>
    <w:qFormat/>
    <w:pPr>
      <w:keepNext w:val="true"/>
      <w:suppressAutoHyphens w:val="true"/>
      <w:spacing w:before="240" w:after="120"/>
    </w:pPr>
    <w:rPr>
      <w:rFonts w:ascii="Liberation Sans" w:hAnsi="Liberation Sans" w:eastAsia="Microsoft YaHei" w:cs="Arial"/>
      <w:sz w:val="28"/>
      <w:szCs w:val="28"/>
    </w:rPr>
  </w:style>
  <w:style w:type="paragraph" w:styleId="Corpodotexto">
    <w:name w:val="Body Text"/>
    <w:basedOn w:val="Normal"/>
    <w:pPr>
      <w:suppressAutoHyphens w:val="true"/>
      <w:spacing w:lineRule="auto" w:line="276" w:before="0" w:after="140"/>
    </w:pPr>
    <w:rPr/>
  </w:style>
  <w:style w:type="paragraph" w:styleId="Normal1">
    <w:name w:val="LO-Normal0"/>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jc w:val="left"/>
      <w:textAlignment w:val="baseline"/>
    </w:pPr>
    <w:rPr>
      <w:rFonts w:ascii="Liberation Serif" w:hAnsi="Liberation Serif" w:eastAsia="NSimSun"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pt-BR" w:eastAsia="zh-CN" w:bidi="hi-IN"/>
    </w:rPr>
  </w:style>
  <w:style w:type="paragraph" w:styleId="Lista">
    <w:name w:val="List"/>
    <w:basedOn w:val="Textbody"/>
    <w:pPr>
      <w:suppressAutoHyphens w:val="true"/>
    </w:pPr>
    <w:rPr>
      <w:rFonts w:cs="Tahoma"/>
    </w:rPr>
  </w:style>
  <w:style w:type="paragraph" w:styleId="Legenda">
    <w:name w:val="Caption"/>
    <w:basedOn w:val="Standard"/>
    <w:qFormat/>
    <w:pPr>
      <w:suppressLineNumbers/>
      <w:suppressAutoHyphens w:val="true"/>
      <w:spacing w:before="120" w:after="120"/>
    </w:pPr>
    <w:rPr>
      <w:rFonts w:cs="Tahoma"/>
      <w:i/>
      <w:iCs/>
      <w:sz w:val="20"/>
    </w:rPr>
  </w:style>
  <w:style w:type="paragraph" w:styleId="Ndice">
    <w:name w:val="Índice"/>
    <w:basedOn w:val="Normal"/>
    <w:qFormat/>
    <w:pPr>
      <w:suppressLineNumbers/>
      <w:suppressAutoHyphens w:val="true"/>
    </w:pPr>
    <w:rPr>
      <w:rFonts w:cs="Arial"/>
    </w:rPr>
  </w:style>
  <w:style w:type="paragraph" w:styleId="Standard">
    <w:name w:val="Standard"/>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left"/>
      <w:textAlignment w:val="baseline"/>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8"/>
      <w:sz w:val="28"/>
      <w:szCs w:val="20"/>
      <w:u w:val="none"/>
      <w:shd w:fill="auto" w:val="clear"/>
      <w:vertAlign w:val="baseline"/>
      <w:em w:val="none"/>
      <w:lang w:bidi="ar-SA" w:val="pt-BR" w:eastAsia="zh-CN"/>
    </w:rPr>
  </w:style>
  <w:style w:type="paragraph" w:styleId="Ttulo11">
    <w:name w:val="Título1"/>
    <w:basedOn w:val="Normal"/>
    <w:next w:val="Corpodotexto"/>
    <w:qFormat/>
    <w:pPr>
      <w:keepNext w:val="true"/>
      <w:suppressAutoHyphens w:val="true"/>
      <w:spacing w:before="240" w:after="120"/>
    </w:pPr>
    <w:rPr>
      <w:rFonts w:ascii="Liberation Sans" w:hAnsi="Liberation Sans" w:eastAsia="Microsoft YaHei" w:cs="Arial"/>
      <w:sz w:val="28"/>
      <w:szCs w:val="28"/>
    </w:rPr>
  </w:style>
  <w:style w:type="paragraph" w:styleId="Textbody">
    <w:name w:val="Text body"/>
    <w:basedOn w:val="Standard"/>
    <w:qFormat/>
    <w:pPr>
      <w:suppressAutoHyphens w:val="true"/>
      <w:spacing w:lineRule="auto" w:line="360"/>
      <w:jc w:val="both"/>
    </w:pPr>
    <w:rPr/>
  </w:style>
  <w:style w:type="paragraph" w:styleId="Heading">
    <w:name w:val="Heading"/>
    <w:basedOn w:val="Standard"/>
    <w:next w:val="Textbody"/>
    <w:qFormat/>
    <w:pPr>
      <w:keepNext w:val="true"/>
      <w:suppressAutoHyphens w:val="true"/>
      <w:spacing w:before="240" w:after="120"/>
    </w:pPr>
    <w:rPr>
      <w:rFonts w:ascii="Arial" w:hAnsi="Arial" w:eastAsia="MS Mincho" w:cs="Tahoma"/>
      <w:szCs w:val="28"/>
    </w:rPr>
  </w:style>
  <w:style w:type="paragraph" w:styleId="Textbodyindent">
    <w:name w:val="Text body indent"/>
    <w:basedOn w:val="Standard"/>
    <w:qFormat/>
    <w:pPr>
      <w:suppressAutoHyphens w:val="true"/>
      <w:ind w:left="0" w:right="0" w:firstLine="2835"/>
      <w:jc w:val="both"/>
    </w:pPr>
    <w:rPr/>
  </w:style>
  <w:style w:type="paragraph" w:styleId="Subttulo">
    <w:name w:val="Subtitle"/>
    <w:basedOn w:val="Heading"/>
    <w:next w:val="Textbody"/>
    <w:qFormat/>
    <w:pPr>
      <w:suppressAutoHyphens w:val="true"/>
      <w:jc w:val="center"/>
    </w:pPr>
    <w:rPr>
      <w:i/>
      <w:iCs/>
    </w:rPr>
  </w:style>
  <w:style w:type="paragraph" w:styleId="HeaderandFooter">
    <w:name w:val="Header and Footer"/>
    <w:basedOn w:val="Standard"/>
    <w:qFormat/>
    <w:pPr>
      <w:suppressLineNumbers/>
      <w:suppressAutoHyphens w:val="true"/>
    </w:pPr>
    <w:rPr/>
  </w:style>
  <w:style w:type="paragraph" w:styleId="CabealhoeRodap">
    <w:name w:val="Cabeçalho e Rodapé"/>
    <w:basedOn w:val="Normal"/>
    <w:qFormat/>
    <w:pPr>
      <w:suppressLineNumbers/>
      <w:tabs>
        <w:tab w:val="clear" w:pos="420"/>
        <w:tab w:val="center" w:pos="4819" w:leader="none"/>
        <w:tab w:val="right" w:pos="9638" w:leader="none"/>
      </w:tabs>
      <w:suppressAutoHyphens w:val="true"/>
    </w:pPr>
    <w:rPr/>
  </w:style>
  <w:style w:type="paragraph" w:styleId="Cabealho">
    <w:name w:val="Header"/>
    <w:basedOn w:val="Standard"/>
    <w:pPr>
      <w:suppressAutoHyphens w:val="true"/>
    </w:pPr>
    <w:rPr/>
  </w:style>
  <w:style w:type="paragraph" w:styleId="Rodap">
    <w:name w:val="Footer"/>
    <w:basedOn w:val="Standard"/>
    <w:pPr>
      <w:suppressAutoHyphens w:val="true"/>
    </w:pPr>
    <w:rPr/>
  </w:style>
  <w:style w:type="paragraph" w:styleId="TableContents">
    <w:name w:val="Table Contents"/>
    <w:basedOn w:val="Standard"/>
    <w:qFormat/>
    <w:pPr>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Framecontents">
    <w:name w:val="Frame contents"/>
    <w:basedOn w:val="Textbody"/>
    <w:qFormat/>
    <w:pPr>
      <w:suppressAutoHyphens w:val="true"/>
    </w:pPr>
    <w:rPr/>
  </w:style>
  <w:style w:type="paragraph" w:styleId="Footnote">
    <w:name w:val="Footnote"/>
    <w:basedOn w:val="Standard"/>
    <w:qFormat/>
    <w:pPr>
      <w:suppressAutoHyphens w:val="true"/>
    </w:pPr>
    <w:rPr>
      <w:sz w:val="20"/>
    </w:rPr>
  </w:style>
  <w:style w:type="paragraph" w:styleId="Index">
    <w:name w:val="Index"/>
    <w:basedOn w:val="Standard"/>
    <w:qFormat/>
    <w:pPr>
      <w:suppressLineNumbers/>
      <w:suppressAutoHyphens w:val="true"/>
    </w:pPr>
    <w:rPr>
      <w:rFonts w:cs="Tahoma"/>
    </w:rPr>
  </w:style>
  <w:style w:type="paragraph" w:styleId="Corpodetexto21">
    <w:name w:val="Corpo de texto 21"/>
    <w:basedOn w:val="Standard"/>
    <w:qFormat/>
    <w:pPr>
      <w:suppressAutoHyphens w:val="true"/>
      <w:overflowPunct w:val="false"/>
      <w:autoSpaceDE w:val="false"/>
      <w:jc w:val="both"/>
    </w:pPr>
    <w:rPr>
      <w:b/>
    </w:rPr>
  </w:style>
  <w:style w:type="paragraph" w:styleId="Recuodecorpodetexto21">
    <w:name w:val="Recuo de corpo de texto 21"/>
    <w:basedOn w:val="Standard"/>
    <w:qFormat/>
    <w:pPr>
      <w:suppressAutoHyphens w:val="true"/>
      <w:ind w:left="0" w:right="0" w:firstLine="3402"/>
      <w:jc w:val="both"/>
    </w:pPr>
    <w:rPr>
      <w:rFonts w:ascii="Courier New" w:hAnsi="Courier New" w:eastAsia="Courier New" w:cs="Courier New"/>
      <w:sz w:val="24"/>
    </w:rPr>
  </w:style>
  <w:style w:type="paragraph" w:styleId="Corpodetexto31">
    <w:name w:val="Corpo de texto 31"/>
    <w:basedOn w:val="Standard"/>
    <w:qFormat/>
    <w:pPr>
      <w:suppressAutoHyphens w:val="true"/>
      <w:spacing w:lineRule="auto" w:line="360"/>
      <w:jc w:val="both"/>
    </w:pPr>
    <w:rPr>
      <w:rFonts w:ascii="Comic Sans MS" w:hAnsi="Comic Sans MS" w:eastAsia="Comic Sans MS" w:cs="Comic Sans MS"/>
      <w:b/>
      <w:i/>
    </w:rPr>
  </w:style>
  <w:style w:type="paragraph" w:styleId="Recuodecorpodetexto31">
    <w:name w:val="Recuo de corpo de texto 31"/>
    <w:basedOn w:val="Standard"/>
    <w:qFormat/>
    <w:pPr>
      <w:suppressAutoHyphens w:val="true"/>
      <w:ind w:left="0" w:right="0" w:firstLine="1418"/>
      <w:jc w:val="both"/>
    </w:pPr>
    <w:rPr/>
  </w:style>
  <w:style w:type="paragraph" w:styleId="Textoembloco1">
    <w:name w:val="Texto em bloco1"/>
    <w:basedOn w:val="Standard"/>
    <w:qFormat/>
    <w:pPr>
      <w:tabs>
        <w:tab w:val="clear" w:pos="420"/>
      </w:tabs>
      <w:suppressAutoHyphens w:val="true"/>
      <w:ind w:left="567" w:right="567" w:hanging="0"/>
      <w:jc w:val="both"/>
    </w:pPr>
    <w:rPr>
      <w:rFonts w:ascii="Arial" w:hAnsi="Arial" w:eastAsia="Arial" w:cs="Arial"/>
    </w:rPr>
  </w:style>
  <w:style w:type="paragraph" w:styleId="A151571">
    <w:name w:val="_A151571"/>
    <w:qFormat/>
    <w:pPr>
      <w:keepNext w:val="false"/>
      <w:keepLines w:val="false"/>
      <w:pageBreakBefore w:val="false"/>
      <w:widowControl/>
      <w:pBdr/>
      <w:shd w:fill="auto" w:val="clear"/>
      <w:tabs>
        <w:tab w:val="clear" w:pos="420"/>
      </w:tabs>
      <w:suppressAutoHyphens w:val="true"/>
      <w:kinsoku w:val="true"/>
      <w:overflowPunct w:val="true"/>
      <w:autoSpaceDE w:val="true"/>
      <w:bidi w:val="0"/>
      <w:snapToGrid w:val="true"/>
      <w:spacing w:lineRule="auto" w:line="240"/>
      <w:ind w:left="1278" w:right="441" w:firstLine="1152"/>
      <w:jc w:val="both"/>
      <w:textAlignment w:val="baseline"/>
    </w:pPr>
    <w:rPr>
      <w:rFonts w:ascii="Arial" w:hAnsi="Arial" w:eastAsia="Times New Roman" w:cs="Arial"/>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0"/>
      <w:u w:val="none"/>
      <w:shd w:fill="auto" w:val="clear"/>
      <w:vertAlign w:val="baseline"/>
      <w:em w:val="none"/>
      <w:lang w:bidi="ar-SA" w:val="pt-BR" w:eastAsia="zh-CN"/>
    </w:rPr>
  </w:style>
  <w:style w:type="paragraph" w:styleId="NormalWeb">
    <w:name w:val="Normal (Web)"/>
    <w:basedOn w:val="Standard"/>
    <w:qFormat/>
    <w:pPr>
      <w:suppressAutoHyphens w:val="true"/>
      <w:spacing w:before="100" w:after="100"/>
    </w:pPr>
    <w:rPr>
      <w:sz w:val="24"/>
      <w:szCs w:val="24"/>
    </w:rPr>
  </w:style>
  <w:style w:type="paragraph" w:styleId="A281575">
    <w:name w:val="_A281575"/>
    <w:qFormat/>
    <w:pPr>
      <w:keepNext w:val="false"/>
      <w:keepLines w:val="false"/>
      <w:pageBreakBefore w:val="false"/>
      <w:widowControl/>
      <w:pBdr/>
      <w:shd w:fill="auto" w:val="clear"/>
      <w:tabs>
        <w:tab w:val="clear" w:pos="420"/>
      </w:tabs>
      <w:suppressAutoHyphens w:val="true"/>
      <w:kinsoku w:val="true"/>
      <w:overflowPunct w:val="true"/>
      <w:autoSpaceDE w:val="true"/>
      <w:bidi w:val="0"/>
      <w:snapToGrid w:val="true"/>
      <w:spacing w:lineRule="auto" w:line="240"/>
      <w:ind w:left="2016" w:right="0" w:firstLine="1872"/>
      <w:jc w:val="both"/>
      <w:textAlignment w:val="baseline"/>
    </w:pPr>
    <w:rPr>
      <w:rFonts w:ascii="Arial" w:hAnsi="Arial" w:eastAsia="Times New Roman" w:cs="Arial"/>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0"/>
      <w:u w:val="none"/>
      <w:shd w:fill="auto" w:val="clear"/>
      <w:vertAlign w:val="baseline"/>
      <w:em w:val="none"/>
      <w:lang w:bidi="ar-SA" w:val="pt-BR" w:eastAsia="zh-CN"/>
    </w:rPr>
  </w:style>
  <w:style w:type="paragraph" w:styleId="WW-Pr-formataoHTML">
    <w:name w:val="WW-Pré-formatação HTML"/>
    <w:basedOn w:val="Standard"/>
    <w:qFormat/>
    <w:pPr>
      <w:suppressAutoHyphens w:val="true"/>
    </w:pPr>
    <w:rPr>
      <w:rFonts w:ascii="Courier New" w:hAnsi="Courier New" w:eastAsia="Courier New" w:cs="Courier New"/>
      <w:sz w:val="20"/>
    </w:rPr>
  </w:style>
  <w:style w:type="paragraph" w:styleId="WW-Recuodecorpodetexto2">
    <w:name w:val="WW-Recuo de corpo de texto 2"/>
    <w:basedOn w:val="Standard"/>
    <w:qFormat/>
    <w:pPr>
      <w:suppressAutoHyphens w:val="true"/>
      <w:ind w:left="0" w:right="0" w:firstLine="1418"/>
      <w:jc w:val="both"/>
    </w:pPr>
    <w:rPr>
      <w:rFonts w:ascii="Arial" w:hAnsi="Arial" w:eastAsia="Arial" w:cs="Arial"/>
      <w:sz w:val="22"/>
    </w:rPr>
  </w:style>
  <w:style w:type="paragraph" w:styleId="WW-Recuodecorpodetexto3">
    <w:name w:val="WW-Recuo de corpo de texto 3"/>
    <w:basedOn w:val="Standard"/>
    <w:qFormat/>
    <w:pPr>
      <w:suppressAutoHyphens w:val="true"/>
      <w:ind w:left="0" w:right="0" w:firstLine="1418"/>
      <w:jc w:val="both"/>
    </w:pPr>
    <w:rPr/>
  </w:style>
  <w:style w:type="paragraph" w:styleId="Cabpes">
    <w:name w:val="cabpes"/>
    <w:basedOn w:val="Standard"/>
    <w:qFormat/>
    <w:pPr>
      <w:tabs>
        <w:tab w:val="clear" w:pos="420"/>
      </w:tabs>
      <w:suppressAutoHyphens w:val="true"/>
      <w:ind w:left="737" w:right="113" w:hanging="0"/>
      <w:jc w:val="both"/>
    </w:pPr>
    <w:rPr>
      <w:rFonts w:ascii="Arial" w:hAnsi="Arial" w:eastAsia="Arial" w:cs="Arial"/>
      <w:sz w:val="22"/>
    </w:rPr>
  </w:style>
  <w:style w:type="paragraph" w:styleId="A151575">
    <w:name w:val="_A151575"/>
    <w:qFormat/>
    <w:pPr>
      <w:keepNext w:val="false"/>
      <w:keepLines w:val="false"/>
      <w:pageBreakBefore w:val="false"/>
      <w:widowControl/>
      <w:pBdr/>
      <w:shd w:fill="auto" w:val="clear"/>
      <w:tabs>
        <w:tab w:val="clear" w:pos="420"/>
      </w:tabs>
      <w:suppressAutoHyphens w:val="true"/>
      <w:kinsoku w:val="true"/>
      <w:overflowPunct w:val="true"/>
      <w:autoSpaceDE w:val="true"/>
      <w:bidi w:val="0"/>
      <w:snapToGrid w:val="true"/>
      <w:spacing w:lineRule="auto" w:line="240"/>
      <w:ind w:left="2016" w:right="0" w:hanging="0"/>
      <w:jc w:val="both"/>
      <w:textAlignment w:val="baseline"/>
    </w:pPr>
    <w:rPr>
      <w:rFonts w:ascii="Arial" w:hAnsi="Arial" w:eastAsia="Times New Roman" w:cs="Arial"/>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0"/>
      <w:u w:val="none"/>
      <w:shd w:fill="auto" w:val="clear"/>
      <w:vertAlign w:val="baseline"/>
      <w:em w:val="none"/>
      <w:lang w:bidi="ar-SA" w:val="pt-BR" w:eastAsia="zh-CN"/>
    </w:rPr>
  </w:style>
  <w:style w:type="paragraph" w:styleId="Cabea">
    <w:name w:val="cabeça"/>
    <w:basedOn w:val="Standard"/>
    <w:qFormat/>
    <w:pPr>
      <w:tabs>
        <w:tab w:val="clear" w:pos="420"/>
      </w:tabs>
      <w:suppressAutoHyphens w:val="true"/>
      <w:ind w:left="680" w:right="113" w:hanging="0"/>
      <w:jc w:val="both"/>
    </w:pPr>
    <w:rPr>
      <w:rFonts w:ascii="Arial" w:hAnsi="Arial" w:eastAsia="Arial" w:cs="Arial"/>
      <w:sz w:val="22"/>
    </w:rPr>
  </w:style>
  <w:style w:type="paragraph" w:styleId="Cabeca">
    <w:name w:val="cabeca"/>
    <w:basedOn w:val="Standard"/>
    <w:qFormat/>
    <w:pPr>
      <w:tabs>
        <w:tab w:val="clear" w:pos="420"/>
      </w:tabs>
      <w:suppressAutoHyphens w:val="true"/>
      <w:ind w:left="680" w:right="170" w:hanging="0"/>
      <w:jc w:val="both"/>
    </w:pPr>
    <w:rPr>
      <w:rFonts w:ascii="Arial" w:hAnsi="Arial" w:eastAsia="Arial" w:cs="Arial"/>
      <w:sz w:val="22"/>
    </w:rPr>
  </w:style>
  <w:style w:type="paragraph" w:styleId="Corpo">
    <w:name w:val="Corpo"/>
    <w:qFormat/>
    <w:pPr>
      <w:keepNext w:val="false"/>
      <w:keepLines w:val="false"/>
      <w:pageBreakBefore w:val="false"/>
      <w:widowControl/>
      <w:pBdr/>
      <w:shd w:fill="auto" w:val="clear"/>
      <w:suppressAutoHyphens w:val="true"/>
      <w:kinsoku w:val="true"/>
      <w:overflowPunct w:val="true"/>
      <w:autoSpaceDE w:val="false"/>
      <w:bidi w:val="0"/>
      <w:snapToGrid w:val="true"/>
      <w:spacing w:lineRule="atLeast" w:line="360"/>
      <w:ind w:left="0" w:right="0" w:firstLine="2551"/>
      <w:jc w:val="both"/>
      <w:textAlignment w:val="baseline"/>
    </w:pPr>
    <w:rPr>
      <w:rFonts w:ascii="Courier New" w:hAnsi="Courier New" w:eastAsia="Arial" w:cs="Courier New"/>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bidi="ar-SA" w:val="pt-BR" w:eastAsia="zh-CN"/>
    </w:rPr>
  </w:style>
  <w:style w:type="paragraph" w:styleId="Ementa">
    <w:name w:val="Ementa"/>
    <w:basedOn w:val="Corpo"/>
    <w:qFormat/>
    <w:pPr>
      <w:tabs>
        <w:tab w:val="clear" w:pos="420"/>
      </w:tabs>
      <w:suppressAutoHyphens w:val="true"/>
      <w:spacing w:lineRule="atLeast" w:line="100"/>
      <w:ind w:left="4536" w:right="0" w:hanging="0"/>
    </w:pPr>
    <w:rPr/>
  </w:style>
  <w:style w:type="paragraph" w:styleId="Notaderodap">
    <w:name w:val="Footnote Text"/>
    <w:basedOn w:val="Normal"/>
    <w:pPr>
      <w:suppressAutoHyphens w:val="true"/>
    </w:pPr>
    <w:rPr>
      <w:sz w:val="20"/>
      <w:szCs w:val="18"/>
    </w:rPr>
  </w:style>
  <w:style w:type="paragraph" w:styleId="Textodebalo">
    <w:name w:val="Texto de balão"/>
    <w:basedOn w:val="Normal"/>
    <w:qFormat/>
    <w:pPr>
      <w:suppressAutoHyphens w:val="true"/>
    </w:pPr>
    <w:rPr>
      <w:rFonts w:ascii="Segoe UI" w:hAnsi="Segoe UI" w:eastAsia="Segoe UI" w:cs="Segoe UI"/>
      <w:sz w:val="18"/>
      <w:szCs w:val="16"/>
    </w:rPr>
  </w:style>
  <w:style w:type="paragraph" w:styleId="OFCIO">
    <w:name w:val="OFÍCIO"/>
    <w:basedOn w:val="Standard"/>
    <w:qFormat/>
    <w:pPr>
      <w:widowControl w:val="false"/>
      <w:suppressLineNumbers/>
      <w:suppressAutoHyphens w:val="true"/>
    </w:pPr>
    <w:rPr>
      <w:rFonts w:eastAsia="SimSun;宋体" w:cs="Mangal;Liberation Mono"/>
      <w:sz w:val="24"/>
      <w:szCs w:val="24"/>
      <w:lang w:bidi="hi-IN"/>
    </w:rPr>
  </w:style>
  <w:style w:type="paragraph" w:styleId="PargrafodaLista">
    <w:name w:val="Parágrafo da Lista"/>
    <w:basedOn w:val="Normal"/>
    <w:qFormat/>
    <w:pPr>
      <w:tabs>
        <w:tab w:val="clear" w:pos="420"/>
      </w:tabs>
      <w:suppressAutoHyphens w:val="true"/>
      <w:ind w:left="720" w:right="0" w:hanging="0"/>
    </w:pPr>
    <w:rPr>
      <w:szCs w:val="21"/>
    </w:rPr>
  </w:style>
  <w:style w:type="paragraph" w:styleId="BodyText23">
    <w:name w:val="Body Text 23"/>
    <w:basedOn w:val="Standard"/>
    <w:qFormat/>
    <w:pPr>
      <w:suppressAutoHyphens w:val="true"/>
      <w:ind w:left="0" w:right="0" w:firstLine="1701"/>
      <w:jc w:val="both"/>
    </w:pPr>
    <w:rPr/>
  </w:style>
  <w:style w:type="paragraph" w:styleId="WW-Corpodetexto2">
    <w:name w:val="WW-Corpo de texto 2"/>
    <w:basedOn w:val="Standard"/>
    <w:qFormat/>
    <w:pPr>
      <w:widowControl w:val="false"/>
      <w:suppressAutoHyphens w:val="true"/>
      <w:spacing w:before="120" w:after="0"/>
      <w:jc w:val="both"/>
    </w:pPr>
    <w:rPr>
      <w:rFonts w:ascii="Arial" w:hAnsi="Arial" w:eastAsia="SimSun;宋体" w:cs="Arial"/>
      <w:sz w:val="24"/>
      <w:szCs w:val="24"/>
      <w:lang w:bidi="hi-IN"/>
    </w:rPr>
  </w:style>
  <w:style w:type="paragraph" w:styleId="Ementa1">
    <w:name w:val=".Ementa"/>
    <w:basedOn w:val="Normal"/>
    <w:qFormat/>
    <w:pPr>
      <w:widowControl/>
      <w:tabs>
        <w:tab w:val="clear" w:pos="420"/>
      </w:tabs>
      <w:suppressAutoHyphens w:val="false"/>
      <w:autoSpaceDE w:val="false"/>
      <w:spacing w:lineRule="auto" w:line="360"/>
      <w:ind w:left="2977" w:right="0" w:firstLine="1418"/>
      <w:jc w:val="both"/>
      <w:textAlignment w:val="auto"/>
    </w:pPr>
    <w:rPr>
      <w:rFonts w:ascii="Courier New" w:hAnsi="Courier New" w:eastAsia="Times New Roman" w:cs="Courier New"/>
      <w:color w:val="000000"/>
      <w:kern w:val="0"/>
      <w:lang w:bidi="ar-SA"/>
    </w:rPr>
  </w:style>
  <w:style w:type="paragraph" w:styleId="Pr-formataoHTML">
    <w:name w:val="Pré-formatação HTML"/>
    <w:basedOn w:val="Standard"/>
    <w:qFormat/>
    <w:pPr>
      <w:suppressAutoHyphens w:val="true"/>
    </w:pPr>
    <w:rPr>
      <w:rFonts w:ascii="Verdana" w:hAnsi="Verdana" w:eastAsia="Arial Unicode MS" w:cs="Verdana"/>
      <w:sz w:val="20"/>
    </w:rPr>
  </w:style>
  <w:style w:type="paragraph" w:styleId="BodyText22">
    <w:name w:val="Body Text 22"/>
    <w:basedOn w:val="Standard"/>
    <w:qFormat/>
    <w:pPr>
      <w:widowControl w:val="false"/>
      <w:tabs>
        <w:tab w:val="clear" w:pos="420"/>
      </w:tabs>
      <w:suppressAutoHyphens w:val="true"/>
      <w:overflowPunct w:val="false"/>
      <w:autoSpaceDE w:val="false"/>
      <w:ind w:left="1260" w:right="0" w:hanging="0"/>
      <w:jc w:val="both"/>
    </w:pPr>
    <w:rPr>
      <w:rFonts w:ascii="Century Gothic" w:hAnsi="Century Gothic" w:eastAsia="Century Gothic" w:cs="Century Gothic"/>
      <w:b/>
      <w:caps/>
      <w:sz w:val="26"/>
    </w:rPr>
  </w:style>
  <w:style w:type="paragraph" w:styleId="Identificao">
    <w:name w:val="identificação"/>
    <w:basedOn w:val="Standard"/>
    <w:qFormat/>
    <w:pPr>
      <w:suppressAutoHyphens w:val="true"/>
      <w:spacing w:lineRule="atLeast" w:line="360"/>
      <w:ind w:left="0" w:right="0" w:firstLine="1304"/>
      <w:jc w:val="both"/>
    </w:pPr>
    <w:rPr>
      <w:rFonts w:ascii="Arial" w:hAnsi="Arial" w:eastAsia="Arial" w:cs="Arial"/>
      <w:sz w:val="24"/>
      <w:szCs w:val="24"/>
    </w:rPr>
  </w:style>
  <w:style w:type="paragraph" w:styleId="Relatrio">
    <w:name w:val="Relatório"/>
    <w:basedOn w:val="Standard"/>
    <w:qFormat/>
    <w:pPr>
      <w:suppressAutoHyphens w:val="true"/>
      <w:spacing w:lineRule="atLeast" w:line="360"/>
      <w:ind w:left="0" w:right="0" w:firstLine="1304"/>
      <w:jc w:val="both"/>
    </w:pPr>
    <w:rPr>
      <w:rFonts w:ascii="Arial" w:hAnsi="Arial" w:eastAsia="Arial" w:cs="Arial"/>
      <w:sz w:val="24"/>
      <w:szCs w:val="24"/>
    </w:rPr>
  </w:style>
  <w:style w:type="paragraph" w:styleId="Voto">
    <w:name w:val="Voto"/>
    <w:basedOn w:val="Standard"/>
    <w:qFormat/>
    <w:pPr>
      <w:suppressAutoHyphens w:val="true"/>
      <w:spacing w:lineRule="atLeast" w:line="360"/>
      <w:jc w:val="both"/>
    </w:pPr>
    <w:rPr>
      <w:rFonts w:ascii="Arial" w:hAnsi="Arial" w:eastAsia="Arial" w:cs="Arial"/>
      <w:sz w:val="24"/>
      <w:szCs w:val="24"/>
    </w:rPr>
  </w:style>
  <w:style w:type="paragraph" w:styleId="Normal11">
    <w:name w:val="Normal1"/>
    <w:basedOn w:val="Standard"/>
    <w:qFormat/>
    <w:pPr>
      <w:suppressAutoHyphens w:val="true"/>
      <w:spacing w:lineRule="atLeast" w:line="360"/>
      <w:ind w:left="0" w:right="0" w:firstLine="1304"/>
      <w:jc w:val="both"/>
    </w:pPr>
    <w:rPr>
      <w:rFonts w:ascii="Arial" w:hAnsi="Arial" w:eastAsia="Arial" w:cs="Arial"/>
      <w:sz w:val="24"/>
      <w:szCs w:val="24"/>
    </w:rPr>
  </w:style>
  <w:style w:type="paragraph" w:styleId="Decisum">
    <w:name w:val="Decisum"/>
    <w:basedOn w:val="Standard"/>
    <w:qFormat/>
    <w:pPr>
      <w:tabs>
        <w:tab w:val="clear" w:pos="420"/>
      </w:tabs>
      <w:suppressAutoHyphens w:val="true"/>
      <w:spacing w:lineRule="atLeast" w:line="360"/>
      <w:ind w:left="2098" w:right="0" w:hanging="0"/>
      <w:jc w:val="both"/>
    </w:pPr>
    <w:rPr>
      <w:rFonts w:ascii="Arial" w:hAnsi="Arial" w:eastAsia="Arial" w:cs="Arial"/>
      <w:sz w:val="24"/>
      <w:szCs w:val="24"/>
    </w:rPr>
  </w:style>
  <w:style w:type="paragraph" w:styleId="HTMLPreformatted1">
    <w:name w:val="HTML Preformatted1"/>
    <w:basedOn w:val="Standard"/>
    <w:qFormat/>
    <w:pPr>
      <w:suppressAutoHyphens w:val="true"/>
    </w:pPr>
    <w:rPr>
      <w:rFonts w:ascii="Courier New" w:hAnsi="Courier New" w:eastAsia="Courier New" w:cs="Courier New"/>
      <w:sz w:val="20"/>
    </w:rPr>
  </w:style>
  <w:style w:type="paragraph" w:styleId="BodyTextIndent21">
    <w:name w:val="Body Text Indent 21"/>
    <w:basedOn w:val="Standard"/>
    <w:qFormat/>
    <w:pPr>
      <w:widowControl w:val="false"/>
      <w:suppressAutoHyphens w:val="true"/>
      <w:ind w:left="0" w:right="0" w:firstLine="1418"/>
    </w:pPr>
    <w:rPr>
      <w:sz w:val="20"/>
    </w:rPr>
  </w:style>
  <w:style w:type="paragraph" w:styleId="Western">
    <w:name w:val="western"/>
    <w:basedOn w:val="Normal"/>
    <w:qFormat/>
    <w:pPr>
      <w:widowControl/>
      <w:suppressAutoHyphens w:val="false"/>
      <w:spacing w:before="100" w:after="0"/>
      <w:jc w:val="both"/>
      <w:textAlignment w:val="auto"/>
    </w:pPr>
    <w:rPr>
      <w:rFonts w:eastAsia="Times New Roman" w:cs="Times New Roman"/>
      <w:color w:val="000000"/>
      <w:kern w:val="0"/>
      <w:lang w:bidi="ar-SA"/>
    </w:rPr>
  </w:style>
  <w:style w:type="paragraph" w:styleId="Textojustificado">
    <w:name w:val="texto_justificado"/>
    <w:basedOn w:val="Normal"/>
    <w:qFormat/>
    <w:pPr>
      <w:widowControl/>
      <w:suppressAutoHyphens w:val="false"/>
      <w:spacing w:before="280" w:after="280"/>
      <w:textAlignment w:val="auto"/>
    </w:pPr>
    <w:rPr>
      <w:rFonts w:eastAsia="Times New Roman" w:cs="Times New Roman"/>
      <w:kern w:val="0"/>
      <w:lang w:bidi="ar-SA"/>
    </w:rPr>
  </w:style>
  <w:style w:type="paragraph" w:styleId="Citacao">
    <w:name w:val="citacao"/>
    <w:basedOn w:val="Normal"/>
    <w:qFormat/>
    <w:pPr>
      <w:widowControl/>
      <w:suppressAutoHyphens w:val="false"/>
      <w:spacing w:before="280" w:after="280"/>
      <w:textAlignment w:val="auto"/>
    </w:pPr>
    <w:rPr>
      <w:rFonts w:eastAsia="Times New Roman" w:cs="Times New Roman"/>
      <w:kern w:val="0"/>
      <w:lang w:bidi="ar-SA"/>
    </w:rPr>
  </w:style>
  <w:style w:type="paragraph" w:styleId="Tabelatextoalinhadojustificado">
    <w:name w:val="tabela_texto_alinhado_justificado"/>
    <w:basedOn w:val="Normal"/>
    <w:qFormat/>
    <w:pPr>
      <w:widowControl/>
      <w:suppressAutoHyphens w:val="false"/>
      <w:spacing w:before="280" w:after="280"/>
      <w:textAlignment w:val="auto"/>
    </w:pPr>
    <w:rPr>
      <w:rFonts w:eastAsia="Times New Roman" w:cs="Times New Roman"/>
      <w:kern w:val="0"/>
      <w:lang w:bidi="ar-SA"/>
    </w:rPr>
  </w:style>
  <w:style w:type="paragraph" w:styleId="Textojustificadorecuoprimeiralinha">
    <w:name w:val="texto_justificado_recuo_primeira_linha"/>
    <w:basedOn w:val="Normal"/>
    <w:qFormat/>
    <w:pPr>
      <w:widowControl/>
      <w:suppressAutoHyphens w:val="false"/>
      <w:spacing w:before="280" w:after="280"/>
      <w:textAlignment w:val="auto"/>
    </w:pPr>
    <w:rPr>
      <w:rFonts w:eastAsia="Times New Roman" w:cs="Times New Roman"/>
      <w:kern w:val="0"/>
      <w:lang w:bidi="ar-SA"/>
    </w:rPr>
  </w:style>
  <w:style w:type="paragraph" w:styleId="Textocentralizado">
    <w:name w:val="texto_centralizado"/>
    <w:basedOn w:val="Normal"/>
    <w:qFormat/>
    <w:pPr>
      <w:widowControl/>
      <w:suppressAutoHyphens w:val="false"/>
      <w:spacing w:before="280" w:after="280"/>
      <w:textAlignment w:val="auto"/>
    </w:pPr>
    <w:rPr>
      <w:rFonts w:eastAsia="Times New Roman" w:cs="Times New Roman"/>
      <w:kern w:val="0"/>
      <w:lang w:bidi="ar-SA"/>
    </w:rPr>
  </w:style>
  <w:style w:type="paragraph" w:styleId="Contedodoquadro">
    <w:name w:val="Conteúdo do quadro"/>
    <w:basedOn w:val="Normal"/>
    <w:qFormat/>
    <w:pPr>
      <w:suppressAutoHyphens w:val="true"/>
    </w:pPr>
    <w:rPr/>
  </w:style>
  <w:style w:type="paragraph" w:styleId="Contedodatabela">
    <w:name w:val="Conteúdo da tabela"/>
    <w:basedOn w:val="Normal"/>
    <w:qFormat/>
    <w:pPr>
      <w:suppressLineNumbers/>
      <w:suppressAutoHyphens w:val="true"/>
    </w:pPr>
    <w:rPr/>
  </w:style>
  <w:style w:type="paragraph" w:styleId="Ttulodetabela">
    <w:name w:val="Título de tabela"/>
    <w:basedOn w:val="Contedodatabela"/>
    <w:qFormat/>
    <w:pPr>
      <w:suppressAutoHyphens w:val="true"/>
      <w:jc w:val="center"/>
    </w:pPr>
    <w:rPr>
      <w:b/>
      <w:bCs/>
    </w:rPr>
  </w:style>
  <w:style w:type="paragraph" w:styleId="Default">
    <w:name w:val="Default"/>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jc w:val="left"/>
      <w:textAlignment w:val="baseline"/>
    </w:pPr>
    <w:rPr>
      <w:rFonts w:ascii="Open Sans" w:hAnsi="Open Sans" w:eastAsia="NSimSun" w:cs="Arial"/>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pt-BR" w:eastAsia="zh-CN" w:bidi="hi-IN"/>
    </w:rPr>
  </w:style>
  <w:style w:type="paragraph" w:styleId="Corpodotextorecuado">
    <w:name w:val="Body Text Indent"/>
    <w:basedOn w:val="Normal"/>
    <w:pPr>
      <w:suppressAutoHyphens w:val="true"/>
      <w:ind w:left="0" w:right="0" w:firstLine="2835"/>
      <w:jc w:val="both"/>
    </w:pPr>
    <w:rPr/>
  </w:style>
  <w:style w:type="paragraph" w:styleId="LO-Normal">
    <w:name w:val="LO-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jc w:val="left"/>
      <w:textAlignment w:val="baseline"/>
    </w:pPr>
    <w:rPr>
      <w:rFonts w:ascii="Liberation Serif" w:hAnsi="Liberation Serif" w:eastAsia="NSimSun" w:cs="Arial"/>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pt-BR" w:eastAsia="zh-CN" w:bidi="hi-IN"/>
    </w:rPr>
  </w:style>
  <w:style w:type="paragraph" w:styleId="Recuodecorpodetexto1">
    <w:name w:val="Recuo de corpo de texto1"/>
    <w:basedOn w:val="LO-Normal"/>
    <w:qFormat/>
    <w:pPr>
      <w:tabs>
        <w:tab w:val="clear" w:pos="420"/>
      </w:tabs>
      <w:suppressAutoHyphens w:val="true"/>
      <w:spacing w:before="0" w:after="120"/>
      <w:ind w:left="283" w:right="0" w:hanging="0"/>
    </w:pPr>
    <w:rPr>
      <w:rFonts w:eastAsia="Arial Unicode MS"/>
    </w:rPr>
  </w:style>
  <w:style w:type="paragraph" w:styleId="Corpodetexto2">
    <w:name w:val="Corpo de texto 2"/>
    <w:basedOn w:val="Normal1"/>
    <w:qFormat/>
    <w:pPr>
      <w:suppressAutoHyphens w:val="true"/>
      <w:spacing w:lineRule="auto" w:line="480" w:before="0" w:after="120"/>
    </w:pPr>
    <w:rPr>
      <w:rFonts w:ascii="Times New Roman" w:hAnsi="Times New Roman" w:eastAsia="SimSun;宋体" w:cs="Mangal"/>
      <w:kern w:val="2"/>
      <w:szCs w:val="21"/>
    </w:rPr>
  </w:style>
  <w:style w:type="paragraph" w:styleId="NormalTable">
    <w:name w:val="Normal Tab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left"/>
      <w:textAlignment w:val="auto"/>
    </w:pPr>
    <w:rPr>
      <w:rFonts w:ascii="Arial" w:hAnsi="Arial" w:eastAsia="Arial" w:cs="Arial"/>
      <w:b w:val="false"/>
      <w:bCs w:val="false"/>
      <w:i w:val="false"/>
      <w:iCs w:val="false"/>
      <w:caps w:val="false"/>
      <w:smallCaps w:val="false"/>
      <w:strike w:val="false"/>
      <w:dstrike w:val="false"/>
      <w:outline w:val="false"/>
      <w:emboss w:val="false"/>
      <w:imprint w:val="false"/>
      <w:color w:val="auto"/>
      <w:spacing w:val="0"/>
      <w:w w:val="100"/>
      <w:kern w:val="2"/>
      <w:position w:val="0"/>
      <w:sz w:val="22"/>
      <w:sz w:val="22"/>
      <w:szCs w:val="22"/>
      <w:u w:val="none"/>
      <w:shd w:fill="auto" w:val="clear"/>
      <w:vertAlign w:val="baseline"/>
      <w:em w:val="none"/>
      <w:lang w:val="pt-BR" w:eastAsia="zh-CN" w:bidi="hi-I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
  <TotalTime>37</TotalTime>
  <Application>LibreOffice/7.5.2.2$Windows_X86_64 LibreOffice_project/53bb9681a964705cf672590721dbc85eb4d0c3a2</Application>
  <AppVersion>15.0000</AppVersion>
  <Pages>57</Pages>
  <Words>20428</Words>
  <Characters>111340</Characters>
  <CharactersWithSpaces>131499</CharactersWithSpaces>
  <Paragraphs>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2022-08-10T23:12:00Z</dcterms:created>
  <dc:creator>ASJUR</dc:creator>
  <dc:description/>
  <cp:keywords>modelo</cp:keywords>
  <dc:language>pt-BR</dc:language>
  <cp:lastModifiedBy/>
  <cp:lastPrinted>2018-05-21T15:59:00Z</cp:lastPrinted>
  <dcterms:modified xsi:type="dcterms:W3CDTF">2026-08-10T09:49:24Z</dcterms:modified>
  <cp:revision>51</cp:revision>
  <dc:subject/>
  <dc:title>Contestação — Incorporação de Gratificação de Função (MODELO)</dc:title>
</cp:coreProperties>
</file>