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360" w:before="0" w:after="0"/>
        <w:jc w:val="both"/>
        <w:rPr/>
      </w:pPr>
      <w:r>
        <w:rPr>
          <w:rFonts w:eastAsia="Arial" w:cs="Arial"/>
          <w:b/>
          <w:bCs/>
          <w:sz w:val="22"/>
          <w:szCs w:val="22"/>
        </w:rPr>
        <w:t xml:space="preserve">EXCELENTÍSSIMO(A) SENHOR(A) DOUTOR(A) JUIZ(A) FEDERAL DA [Nº]ª VARA DO TRABALHO DE CAMPO GRANDE/MS.</w:t>
      </w:r>
    </w:p>
    <w:p>
      <w:pPr>
        <w:pStyle w:val="Normal"/>
        <w:spacing w:before="0" w:after="200"/>
        <w:rPr/>
      </w:pPr>
    </w:p>
    <w:p>
      <w:pPr>
        <w:pStyle w:val="Normal"/>
        <w:spacing w:lineRule="exact" w:line="240" w:before="100" w:after="160"/>
        <w:ind w:left="2268" w:hanging="0"/>
        <w:jc w:val="both"/>
        <w:rPr/>
      </w:pPr>
      <w:r>
        <w:rPr>
          <w:rFonts w:eastAsia="Arial" w:cs="Arial"/>
          <w:b/>
          <w:bCs/>
          <w:sz w:val="20"/>
          <w:szCs w:val="20"/>
        </w:rPr>
        <w:t xml:space="preserve">Decisão:</w:t>
      </w:r>
      <w:r>
        <w:rPr>
          <w:rFonts w:eastAsia="Arial" w:cs="Arial"/>
          <w:sz w:val="20"/>
          <w:szCs w:val="20"/>
        </w:rPr>
        <w:t xml:space="preserve"> Após o voto reajustado do Ministro Nunes Marques (Relator), que dava provimento ao recurso extraordinário para, reformando o acórdão recorrido, afastar a responsabilidade subsidiária da Administração Pública, propondo a fixação da seguinte tese (tema 1.118 da repercussão geral): “1. </w:t>
      </w:r>
      <w:r>
        <w:rPr>
          <w:rFonts w:eastAsia="Arial" w:cs="Arial"/>
          <w:b/>
          <w:bCs/>
          <w:sz w:val="20"/>
          <w:szCs w:val="20"/>
        </w:rPr>
        <w:t xml:space="preserve">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w:t>
      </w:r>
      <w:r>
        <w:rPr>
          <w:rFonts w:eastAsia="Arial" w:cs="Arial"/>
          <w:sz w:val="20"/>
          <w:szCs w:val="20"/>
        </w:rPr>
        <w:t xml:space="preserve"> 2. </w:t>
      </w:r>
      <w:r>
        <w:rPr>
          <w:rFonts w:eastAsia="Arial" w:cs="Arial"/>
          <w:b/>
          <w:bCs/>
          <w:sz w:val="20"/>
          <w:szCs w:val="20"/>
        </w:rPr>
        <w:t xml:space="preserve">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w:t>
      </w:r>
      <w:r>
        <w:rPr>
          <w:rFonts w:eastAsia="Arial" w:cs="Arial"/>
          <w:sz w:val="20"/>
          <w:szCs w:val="20"/>
        </w:rPr>
        <w:t xml:space="preserve"> 3. Constitui responsabilidade da Administração Pública garantir as condições de segurança, higiene e salubridade dos trabalhadores, quando o trabalho for realizado em suas dependências ou local previamente convencionado em contrato, nos termos do art. 5º-A, § 3º, da Lei nº 6.019/1974. 4. Nos contratos de terceirização, a Administração Pública deverá: (i) exigir da contratada a comprovação de capital social integralizado compatível com o número de empregados, na forma do art. 4º-B da Lei nº 6.019/1974; e (ii) adotar medidas para assegurar o cumprimento das obrigações trabalhistas pela contratada, na forma do art. 121, § 3º, da Lei nº 14.133/2021, tais como condicionar o pagamento à comprovação de quitação das obrigações trabalhistas do mês anterior”, no que foi acompanhado pelos Ministros Flávio Dino, Cármen Lúcia e Luís Roberto Barroso (Presidente); e do voto divergente do Ministro Edson Fachin, que negava provimento ao recurso extraordinário e propunha a fixação da seguinte tese: “É da administração pública o ônus de comprovar que se desincumbiu de todas as medidas legais exigidas para fins de se eximir da responsabilidade por ter faltado com o dever de bem contratar e fiscalizar o cumprimento das obrigações trabalhistas por parte da empresa prestadora de serviços contratada”, o julgamento foi suspenso. (...)” (STF – TEMA 1.118; Órgão Julgador: PLENO; Relator: Min. Nunes Marques; Julgado em: 13/02/2025) – d.n.</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b/>
          <w:bCs/>
          <w:sz w:val="20"/>
          <w:szCs w:val="20"/>
        </w:rPr>
        <w:t xml:space="preserve">TEMA 59 DO TST:</w:t>
      </w:r>
      <w:r>
        <w:rPr>
          <w:rFonts w:eastAsia="Arial" w:cs="Arial"/>
          <w:sz w:val="20"/>
          <w:szCs w:val="20"/>
        </w:rPr>
        <w:t xml:space="preserve"> A contratação dos serviços de transporte de mercadorias, por ostentar natureza comercial, não se enquadra na configuração jurídica de terceirização prevista na Súmula nº 331, IV, do TST e, por conseguinte, não enseja a responsabilização subsidiária das empresas tomadoras de serviços. – d.n.</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[REVISAR: confirmar, antes do protocolo, o número do incidente/processo que fixou o Tema 59 do TST, a data do julgamento e a publicação; e conferir se, nesta data, o julgamento do Tema 1.118 do STF foi concluído — em caso positivo, substituir a transcrição acima pela tese efetivamente fixada e, havendo determinação de suspensão nacional, requerer o sobrestamento em petição própria.]</w:t>
      </w:r>
    </w:p>
    <w:p>
      <w:pPr>
        <w:pStyle w:val="Normal"/>
        <w:spacing w:before="0" w:after="200"/>
        <w:rPr/>
      </w:pPr>
    </w:p>
    <w:p>
      <w:pPr>
        <w:pStyle w:val="Normal"/>
        <w:spacing w:lineRule="exact" w:line="360" w:before="0" w:after="0"/>
        <w:jc w:val="both"/>
        <w:rPr/>
      </w:pPr>
      <w:r>
        <w:rPr>
          <w:rFonts w:eastAsia="Arial" w:cs="Arial"/>
          <w:b/>
          <w:bCs/>
          <w:sz w:val="22"/>
          <w:szCs w:val="22"/>
        </w:rPr>
        <w:t xml:space="preserve">Autos n.º [Nº DO PROCESSO].</w:t>
      </w:r>
    </w:p>
    <w:p>
      <w:pPr>
        <w:pStyle w:val="Normal"/>
        <w:spacing w:lineRule="exact" w:line="360" w:before="0" w:after="0"/>
        <w:jc w:val="both"/>
        <w:rPr/>
      </w:pPr>
      <w:r>
        <w:rPr>
          <w:rFonts w:eastAsia="Arial" w:cs="Arial"/>
          <w:b/>
          <w:bCs/>
          <w:sz w:val="22"/>
          <w:szCs w:val="22"/>
        </w:rPr>
        <w:t xml:space="preserve">Reclamante: [NOME DO RECLAMANTE].</w:t>
      </w:r>
    </w:p>
    <w:p>
      <w:pPr>
        <w:pStyle w:val="Normal"/>
        <w:spacing w:lineRule="exact" w:line="360" w:before="0" w:after="0"/>
        <w:jc w:val="both"/>
        <w:rPr/>
      </w:pPr>
      <w:r>
        <w:rPr>
          <w:rFonts w:eastAsia="Arial" w:cs="Arial"/>
          <w:b/>
          <w:bCs/>
          <w:sz w:val="22"/>
          <w:szCs w:val="22"/>
        </w:rPr>
        <w:t xml:space="preserve">Reclamadas: 1 – [NOME DA 1ª RECLAMADA — EMPRESA TRANSPORTADORA];</w:t>
      </w:r>
    </w:p>
    <w:p>
      <w:pPr>
        <w:pStyle w:val="Normal"/>
        <w:spacing w:lineRule="exact" w:line="360" w:before="0" w:after="0"/>
        <w:jc w:val="both"/>
        <w:rPr/>
      </w:pPr>
      <w:r>
        <w:rPr>
          <w:rFonts w:eastAsia="Arial" w:cs="Arial"/>
          <w:b/>
          <w:bCs/>
          <w:sz w:val="22"/>
          <w:szCs w:val="22"/>
        </w:rPr>
        <w:t xml:space="preserve">                       2 – EMPRESA BRASILEIRA DE CORREIOS E TELÉGRAFOS – ECT.</w:t>
      </w:r>
    </w:p>
    <w:p>
      <w:pPr>
        <w:pStyle w:val="Normal"/>
        <w:spacing w:before="0" w:after="200"/>
        <w:rPr/>
      </w:pPr>
    </w:p>
    <w:p>
      <w:pPr>
        <w:pStyle w:val="Normal"/>
        <w:spacing w:lineRule="exact" w:line="360" w:before="0" w:after="120"/>
        <w:ind w:firstLine="1701"/>
        <w:jc w:val="both"/>
        <w:rPr/>
      </w:pPr>
      <w:r>
        <w:rPr>
          <w:rFonts w:eastAsia="Arial" w:cs="Arial"/>
          <w:b/>
          <w:bCs/>
          <w:sz w:val="22"/>
          <w:szCs w:val="22"/>
        </w:rPr>
        <w:t xml:space="preserve">EMPRESA BRASILEIRA DE CORREIOS E TELÉGRAFOS – ECT</w:t>
      </w:r>
      <w:r>
        <w:rPr>
          <w:rFonts w:eastAsia="Arial" w:cs="Arial"/>
          <w:sz w:val="22"/>
          <w:szCs w:val="22"/>
        </w:rPr>
        <w:t xml:space="preserve">, empresa pública federal instituída pelo Decreto-lei nº 509, de 20 de março de 1969, já qualificada nos autos em referência, por seu procurador adiante assinado, não se conformando, </w:t>
      </w:r>
      <w:r>
        <w:rPr>
          <w:rFonts w:eastAsia="Arial" w:cs="Arial"/>
          <w:i/>
          <w:iCs/>
          <w:sz w:val="22"/>
          <w:szCs w:val="22"/>
        </w:rPr>
        <w:t xml:space="preserve">data venia</w:t>
      </w:r>
      <w:r>
        <w:rPr>
          <w:rFonts w:eastAsia="Arial" w:cs="Arial"/>
          <w:sz w:val="22"/>
          <w:szCs w:val="22"/>
        </w:rPr>
        <w:t xml:space="preserve">, com a r. sentença de Id [Id DA SENTENÇA], vem, com fundamento no art. 895, I, da CLT, interpor o presente</w:t>
      </w:r>
    </w:p>
    <w:p>
      <w:pPr>
        <w:pStyle w:val="Normal"/>
        <w:spacing w:lineRule="exact" w:line="360" w:before="200" w:after="200"/>
        <w:jc w:val="center"/>
        <w:rPr/>
      </w:pPr>
      <w:r>
        <w:rPr>
          <w:rFonts w:eastAsia="Arial" w:cs="Arial"/>
          <w:b/>
          <w:bCs/>
          <w:sz w:val="22"/>
          <w:szCs w:val="22"/>
        </w:rPr>
        <w:t xml:space="preserve">RECURSO ORDINÁRIO</w:t>
      </w:r>
    </w:p>
    <w:p>
      <w:pPr>
        <w:pStyle w:val="Normal"/>
        <w:spacing w:lineRule="exact" w:line="360" w:before="0" w:after="120"/>
        <w:ind w:firstLine="1701"/>
        <w:jc w:val="both"/>
        <w:rPr/>
      </w:pPr>
      <w:r>
        <w:rPr>
          <w:rFonts w:eastAsia="Arial" w:cs="Arial"/>
          <w:sz w:val="22"/>
          <w:szCs w:val="22"/>
        </w:rPr>
        <w:t xml:space="preserve">ao Egrégio Tribunal Regional do Trabalho da 24ª Região, requerendo, para tanto, a juntada aos autos das razões recursais anexas, bem como a intimação da parte contrária para, querendo, apresentar contrarrazões, e a subsequente remessa dos autos ao E. Tribunal.</w:t>
      </w:r>
    </w:p>
    <w:p>
      <w:pPr>
        <w:pStyle w:val="Normal"/>
        <w:spacing w:lineRule="exact" w:line="360" w:before="0" w:after="120"/>
        <w:ind w:firstLine="1701"/>
        <w:jc w:val="both"/>
        <w:rPr/>
      </w:pPr>
      <w:r>
        <w:rPr>
          <w:rFonts w:eastAsia="Arial" w:cs="Arial"/>
          <w:sz w:val="22"/>
          <w:szCs w:val="22"/>
        </w:rPr>
        <w:t xml:space="preserve">Registre-se que o presente apelo é </w:t>
      </w:r>
      <w:r>
        <w:rPr>
          <w:rFonts w:eastAsia="Arial" w:cs="Arial"/>
          <w:b/>
          <w:bCs/>
          <w:sz w:val="22"/>
          <w:szCs w:val="22"/>
        </w:rPr>
        <w:t xml:space="preserve">tempestivo</w:t>
      </w:r>
      <w:r>
        <w:rPr>
          <w:rFonts w:eastAsia="Arial" w:cs="Arial"/>
          <w:sz w:val="22"/>
          <w:szCs w:val="22"/>
        </w:rPr>
        <w:t xml:space="preserve">, porquanto interposto no prazo de 8 (oito) dias, contado em dobro, na forma do art. 1º, III, do Decreto-lei nº 779/69 [REVISAR: conferir a data da intimação da sentença e a contagem do prazo em dobro em dias úteis, na forma do art. 775 da CLT].</w:t>
      </w:r>
    </w:p>
    <w:p>
      <w:pPr>
        <w:pStyle w:val="Normal"/>
        <w:spacing w:lineRule="exact" w:line="360" w:before="0" w:after="120"/>
        <w:ind w:firstLine="1701"/>
        <w:jc w:val="both"/>
        <w:rPr/>
      </w:pPr>
      <w:r>
        <w:rPr>
          <w:rFonts w:eastAsia="Arial" w:cs="Arial"/>
          <w:sz w:val="22"/>
          <w:szCs w:val="22"/>
        </w:rPr>
        <w:t xml:space="preserve">A Recorrente esclarece, ainda, que </w:t>
      </w:r>
      <w:r>
        <w:rPr>
          <w:rFonts w:eastAsia="Arial" w:cs="Arial"/>
          <w:b/>
          <w:bCs/>
          <w:sz w:val="22"/>
          <w:szCs w:val="22"/>
        </w:rPr>
        <w:t xml:space="preserve">deixa de efetuar o recolhimento das custas processuais e do depósito recursal</w:t>
      </w:r>
      <w:r>
        <w:rPr>
          <w:rFonts w:eastAsia="Arial" w:cs="Arial"/>
          <w:sz w:val="22"/>
          <w:szCs w:val="22"/>
        </w:rPr>
        <w:t xml:space="preserve">, uma vez que goza das mesmas prerrogativas concedidas à Fazenda Pública, por força da equiparação prevista no art. 12 do Decreto-lei nº 509/69, recepcionado pela CF/88 nos termos da decisão proferida pelo E. STF no julgamento do </w:t>
      </w:r>
      <w:r>
        <w:rPr>
          <w:rFonts w:eastAsia="Arial" w:cs="Arial"/>
          <w:b/>
          <w:bCs/>
          <w:sz w:val="22"/>
          <w:szCs w:val="22"/>
        </w:rPr>
        <w:t xml:space="preserve">RE 220.906/DF</w:t>
      </w:r>
      <w:r>
        <w:rPr>
          <w:rFonts w:eastAsia="Arial" w:cs="Arial"/>
          <w:sz w:val="22"/>
          <w:szCs w:val="22"/>
        </w:rPr>
        <w:t xml:space="preserve">, e da dispensa expressa do art. 1º, IV, do Decreto-lei nº 779/69, conforme, aliás, </w:t>
      </w:r>
      <w:r>
        <w:rPr>
          <w:rFonts w:eastAsia="Arial" w:cs="Arial"/>
          <w:b/>
          <w:bCs/>
          <w:sz w:val="22"/>
          <w:szCs w:val="22"/>
        </w:rPr>
        <w:t xml:space="preserve">expressamente reconhecido pela própria r. sentença recorrida</w:t>
      </w:r>
      <w:r>
        <w:rPr>
          <w:rFonts w:eastAsia="Arial" w:cs="Arial"/>
          <w:sz w:val="22"/>
          <w:szCs w:val="22"/>
        </w:rPr>
        <w:t xml:space="preserve"> no capítulo “[Nº E TÍTULO DO CAPÍTULO DA SENTENÇA SOBRE A EQUIPARAÇÃO]”, em que se declarou que a ECT “[TRANSCREVER O TRECHO EM QUE A SENTENÇA RECONHECE A EQUIPARAÇÃO]”.</w:t>
      </w:r>
    </w:p>
    <w:p>
      <w:pPr>
        <w:pStyle w:val="Normal"/>
        <w:spacing w:before="0" w:after="200"/>
        <w:rPr/>
      </w:pPr>
    </w:p>
    <w:p>
      <w:pPr>
        <w:pStyle w:val="Normal"/>
        <w:keepNext/>
        <w:widowControl/>
        <w:bidi w:val="0"/>
        <w:spacing w:lineRule="exact" w:line="360" w:before="0" w:after="160"/>
        <w:ind w:left="0" w:right="0" w:firstLine="1701"/>
        <w:jc w:val="both"/>
        <w:rPr/>
      </w:pPr>
      <w:r>
        <w:rPr>
          <w:rFonts w:eastAsia="Arial" w:cs="Arial"/>
          <w:sz w:val="22"/>
          <w:szCs w:val="22"/>
        </w:rPr>
        <w:t xml:space="preserve">Nesses Termos,</w:t>
      </w:r>
    </w:p>
    <w:p>
      <w:pPr>
        <w:pStyle w:val="Normal"/>
        <w:keepNext/>
        <w:widowControl/>
        <w:bidi w:val="0"/>
        <w:spacing w:lineRule="exact" w:line="360" w:before="0" w:after="160"/>
        <w:ind w:left="0" w:right="0" w:firstLine="1701"/>
        <w:jc w:val="both"/>
        <w:rPr/>
      </w:pPr>
      <w:r>
        <w:rPr>
          <w:rFonts w:eastAsia="Arial" w:cs="Arial"/>
          <w:sz w:val="22"/>
          <w:szCs w:val="22"/>
        </w:rPr>
        <w:t xml:space="preserve">Pede Deferimento.</w:t>
      </w:r>
    </w:p>
    <w:p>
      <w:pPr>
        <w:pStyle w:val="Normal"/>
        <w:spacing w:before="0" w:after="200"/>
        <w:rPr/>
      </w:pPr>
    </w:p>
    <w:p>
      <w:pPr>
        <w:pStyle w:val="Normal"/>
        <w:keepNext/>
        <w:widowControl/>
        <w:bidi w:val="0"/>
        <w:spacing w:lineRule="exact" w:line="360" w:before="0" w:after="160"/>
        <w:ind w:left="0" w:right="0" w:firstLine="1701"/>
        <w:jc w:val="both"/>
        <w:rPr/>
      </w:pPr>
      <w:r>
        <w:rPr>
          <w:rFonts w:eastAsia="Arial" w:cs="Arial"/>
          <w:sz w:val="22"/>
          <w:szCs w:val="22"/>
        </w:rPr>
        <w:t xml:space="preserve">Campo Grande/MS, data de assinatura eletrônica.</w:t>
      </w:r>
    </w:p>
    <w:p>
      <w:pPr>
        <w:pStyle w:val="Normal"/>
        <w:keepNext/>
        <w:spacing w:before="0" w:after="60"/>
        <w:jc w:val="center"/>
        <w:rPr/>
      </w:pPr>
      <w:r>
        <w:rPr>
          <w:rFonts w:eastAsia="Arial" w:cs="Arial"/>
          <w:b/>
          <w:bCs/>
          <w:sz w:val="22"/>
          <w:szCs w:val="22"/>
        </w:rPr>
        <w:t xml:space="preserve">Marcos Hideki Kamibayashi</w:t>
      </w:r>
    </w:p>
    <w:p>
      <w:pPr>
        <w:pStyle w:val="Normal"/>
        <w:keepNext/>
        <w:spacing w:before="0" w:after="60"/>
        <w:jc w:val="center"/>
        <w:rPr/>
      </w:pPr>
      <w:r>
        <w:rPr>
          <w:rFonts w:eastAsia="Arial" w:cs="Arial"/>
          <w:sz w:val="22"/>
          <w:szCs w:val="22"/>
        </w:rPr>
        <w:t xml:space="preserve">OAB/MS 14.580</w:t>
      </w:r>
    </w:p>
    <w:p>
      <w:pPr>
        <w:pageBreakBefore/>
        <w:pStyle w:val="Normal"/>
        <w:spacing w:lineRule="exact" w:line="360" w:before="0" w:after="0"/>
        <w:jc w:val="both"/>
        <w:rPr/>
      </w:pPr>
      <w:r>
        <w:rPr>
          <w:rFonts w:eastAsia="Arial" w:cs="Arial"/>
          <w:b/>
          <w:bCs/>
          <w:sz w:val="22"/>
          <w:szCs w:val="22"/>
        </w:rPr>
        <w:t xml:space="preserve">EGRÉGIO TRIBUNAL REGIONAL DO TRABALHO DA 24ª REGIÃO</w:t>
      </w:r>
    </w:p>
    <w:p>
      <w:pPr>
        <w:pStyle w:val="Normal"/>
        <w:spacing w:before="0" w:after="200"/>
        <w:rPr/>
      </w:pPr>
    </w:p>
    <w:p>
      <w:pPr>
        <w:pStyle w:val="Normal"/>
        <w:spacing w:lineRule="exact" w:line="360" w:before="0" w:after="0"/>
        <w:jc w:val="both"/>
        <w:rPr/>
      </w:pPr>
      <w:r>
        <w:rPr>
          <w:rFonts w:eastAsia="Arial" w:cs="Arial"/>
          <w:b/>
          <w:bCs/>
          <w:sz w:val="22"/>
          <w:szCs w:val="22"/>
        </w:rPr>
        <w:t xml:space="preserve">Recurso Ordinário</w:t>
      </w:r>
    </w:p>
    <w:p>
      <w:pPr>
        <w:pStyle w:val="Normal"/>
        <w:spacing w:lineRule="exact" w:line="360" w:before="0" w:after="0"/>
        <w:jc w:val="both"/>
        <w:rPr/>
      </w:pPr>
      <w:r>
        <w:rPr>
          <w:rFonts w:eastAsia="Arial" w:cs="Arial"/>
          <w:b/>
          <w:bCs/>
          <w:sz w:val="22"/>
          <w:szCs w:val="22"/>
        </w:rPr>
        <w:t xml:space="preserve">Recorrente: EMPRESA BRASILEIRA DE CORREIOS E TELÉGRAFOS – ECT (2ª Reclamada).</w:t>
      </w:r>
    </w:p>
    <w:p>
      <w:pPr>
        <w:pStyle w:val="Normal"/>
        <w:spacing w:lineRule="exact" w:line="360" w:before="0" w:after="0"/>
        <w:jc w:val="both"/>
        <w:rPr/>
      </w:pPr>
      <w:r>
        <w:rPr>
          <w:rFonts w:eastAsia="Arial" w:cs="Arial"/>
          <w:b/>
          <w:bCs/>
          <w:sz w:val="22"/>
          <w:szCs w:val="22"/>
        </w:rPr>
        <w:t xml:space="preserve">Recorrido: [NOME DO RECLAMANTE].</w:t>
      </w:r>
    </w:p>
    <w:p>
      <w:pPr>
        <w:pStyle w:val="Normal"/>
        <w:spacing w:lineRule="exact" w:line="360" w:before="0" w:after="0"/>
        <w:jc w:val="both"/>
        <w:rPr/>
      </w:pPr>
      <w:r>
        <w:rPr>
          <w:rFonts w:eastAsia="Arial" w:cs="Arial"/>
          <w:b/>
          <w:bCs/>
          <w:sz w:val="22"/>
          <w:szCs w:val="22"/>
        </w:rPr>
        <w:t xml:space="preserve">Autos n.º [Nº DO PROCESSO].</w:t>
      </w:r>
    </w:p>
    <w:p>
      <w:pPr>
        <w:pStyle w:val="Normal"/>
        <w:spacing w:lineRule="exact" w:line="360" w:before="0" w:after="0"/>
        <w:jc w:val="both"/>
        <w:rPr/>
      </w:pPr>
      <w:r>
        <w:rPr>
          <w:rFonts w:eastAsia="Arial" w:cs="Arial"/>
          <w:b/>
          <w:bCs/>
          <w:sz w:val="22"/>
          <w:szCs w:val="22"/>
        </w:rPr>
        <w:t xml:space="preserve">Origem: [Nº]ª Vara do Trabalho de Campo Grande/MS.</w:t>
      </w:r>
    </w:p>
    <w:p>
      <w:pPr>
        <w:pStyle w:val="Normal"/>
        <w:spacing w:before="0" w:after="200"/>
        <w:rPr/>
      </w:pPr>
    </w:p>
    <w:p>
      <w:pPr>
        <w:pStyle w:val="Normal"/>
        <w:pBdr>
          <w:top w:val="single" w:sz="6" w:space="4" w:color="000000"/>
          <w:left w:val="single" w:sz="6" w:space="4" w:color="000000"/>
          <w:bottom w:val="single" w:sz="6" w:space="4" w:color="000000"/>
          <w:right w:val="single" w:sz="6" w:space="4" w:color="000000"/>
        </w:pBdr>
        <w:spacing w:lineRule="exact" w:line="240" w:before="320" w:after="260"/>
        <w:ind w:left="0" w:right="0" w:hanging="0"/>
        <w:jc w:val="center"/>
        <w:rPr/>
      </w:pPr>
      <w:r>
        <w:rPr>
          <w:rFonts w:eastAsia="Arial" w:cs="Arial"/>
          <w:b/>
          <w:bCs/>
          <w:sz w:val="22"/>
          <w:szCs w:val="22"/>
        </w:rPr>
        <w:t xml:space="preserve">RAZÕES DO RECURSO ORDINÁRIO</w:t>
      </w:r>
    </w:p>
    <w:p>
      <w:pPr>
        <w:pStyle w:val="Normal"/>
        <w:spacing w:before="0" w:after="200"/>
        <w:rPr/>
      </w:pPr>
    </w:p>
    <w:p>
      <w:pPr>
        <w:pStyle w:val="Normal"/>
        <w:spacing w:lineRule="exact" w:line="360" w:before="0" w:after="120"/>
        <w:ind w:firstLine="1701"/>
        <w:jc w:val="both"/>
        <w:rPr/>
      </w:pPr>
      <w:r>
        <w:rPr>
          <w:rFonts w:eastAsia="Arial" w:cs="Arial"/>
          <w:sz w:val="22"/>
          <w:szCs w:val="22"/>
        </w:rPr>
        <w:t xml:space="preserve">Eméritos Julgadores,</w:t>
      </w:r>
    </w:p>
    <w:p>
      <w:pPr>
        <w:pStyle w:val="Normal"/>
        <w:pBdr>
          <w:top w:val="single" w:sz="6" w:space="4" w:color="000000"/>
          <w:left w:val="single" w:sz="6" w:space="4" w:color="000000"/>
          <w:bottom w:val="single" w:sz="6" w:space="4" w:color="000000"/>
          <w:right w:val="single" w:sz="6" w:space="4" w:color="000000"/>
        </w:pBdr>
        <w:spacing w:lineRule="exact" w:line="240" w:before="320" w:after="260"/>
        <w:ind w:left="0" w:right="0" w:hanging="0"/>
        <w:jc w:val="center"/>
        <w:rPr/>
      </w:pPr>
      <w:r>
        <w:rPr>
          <w:rFonts w:eastAsia="Arial" w:cs="Arial"/>
          <w:b/>
          <w:bCs/>
          <w:sz w:val="22"/>
          <w:szCs w:val="22"/>
        </w:rPr>
        <w:t xml:space="preserve">RESUMO DO DECIDIDO E DELIMITAÇÃO DO RECURSO</w:t>
      </w:r>
    </w:p>
    <w:p>
      <w:pPr>
        <w:pStyle w:val="Normal"/>
        <w:spacing w:lineRule="exact" w:line="360" w:before="0" w:after="120"/>
        <w:ind w:firstLine="1701"/>
        <w:jc w:val="both"/>
        <w:rPr/>
      </w:pPr>
      <w:r>
        <w:rPr>
          <w:rFonts w:eastAsia="Arial" w:cs="Arial"/>
          <w:sz w:val="22"/>
          <w:szCs w:val="22"/>
        </w:rPr>
        <w:t xml:space="preserve">A r. sentença condenou a 1ª Reclamada, </w:t>
      </w:r>
      <w:r>
        <w:rPr>
          <w:rFonts w:eastAsia="Arial" w:cs="Arial"/>
          <w:b/>
          <w:bCs/>
          <w:sz w:val="22"/>
          <w:szCs w:val="22"/>
        </w:rPr>
        <w:t xml:space="preserve">[NOME DA 1ª RECLAMADA]</w:t>
      </w:r>
      <w:r>
        <w:rPr>
          <w:rFonts w:eastAsia="Arial" w:cs="Arial"/>
          <w:sz w:val="22"/>
          <w:szCs w:val="22"/>
        </w:rPr>
        <w:t xml:space="preserve"> — real e única empregadora do Recorrido —, ao pagamento de [RELACIONAR AS PARCELAS DEFERIDAS NA SENTENÇA, NA ORDEM DO DISPOSITIVO].</w:t>
      </w:r>
    </w:p>
    <w:p>
      <w:pPr>
        <w:pStyle w:val="Normal"/>
        <w:spacing w:lineRule="exact" w:line="360" w:before="0" w:after="120"/>
        <w:ind w:firstLine="1701"/>
        <w:jc w:val="both"/>
        <w:rPr/>
      </w:pPr>
      <w:r>
        <w:rPr>
          <w:rFonts w:eastAsia="Arial" w:cs="Arial"/>
          <w:sz w:val="22"/>
          <w:szCs w:val="22"/>
        </w:rPr>
        <w:t xml:space="preserve">Em relação à Recorrente, a r. sentença reconheceu a </w:t>
      </w:r>
      <w:r>
        <w:rPr>
          <w:rFonts w:eastAsia="Arial" w:cs="Arial"/>
          <w:b/>
          <w:bCs/>
          <w:sz w:val="22"/>
          <w:szCs w:val="22"/>
        </w:rPr>
        <w:t xml:space="preserve">responsabilidade subsidiária</w:t>
      </w:r>
      <w:r>
        <w:rPr>
          <w:rFonts w:eastAsia="Arial" w:cs="Arial"/>
          <w:sz w:val="22"/>
          <w:szCs w:val="22"/>
        </w:rPr>
        <w:t xml:space="preserve">, ao fundamento — em síntese — de que “[TRANSCREVER O TRECHO DA SENTENÇA QUE AFIRMA A INSUFICIÊNCIA DA FISCALIZAÇÃO]” e de que a ECT “[TRANSCREVER O TRECHO QUE ATRIBUI À ECT O ÔNUS DE DEMONSTRAR A FISCALIZAÇÃO]”.</w:t>
      </w:r>
    </w:p>
    <w:p>
      <w:pPr>
        <w:pStyle w:val="Normal"/>
        <w:spacing w:lineRule="exact" w:line="360" w:before="0" w:after="120"/>
        <w:ind w:firstLine="1701"/>
        <w:jc w:val="both"/>
        <w:rPr/>
      </w:pPr>
      <w:r>
        <w:rPr>
          <w:rFonts w:eastAsia="Arial" w:cs="Arial"/>
          <w:sz w:val="22"/>
          <w:szCs w:val="22"/>
        </w:rPr>
        <w:t xml:space="preserve">O presente recurso é </w:t>
      </w:r>
      <w:r>
        <w:rPr>
          <w:rFonts w:eastAsia="Arial" w:cs="Arial"/>
          <w:b/>
          <w:bCs/>
          <w:sz w:val="22"/>
          <w:szCs w:val="22"/>
        </w:rPr>
        <w:t xml:space="preserve">exclusivamente dirigido ao capítulo da responsabilidade subsidiária</w:t>
      </w:r>
      <w:r>
        <w:rPr>
          <w:rFonts w:eastAsia="Arial" w:cs="Arial"/>
          <w:sz w:val="22"/>
          <w:szCs w:val="22"/>
        </w:rPr>
        <w:t xml:space="preserve">, não se devolvendo ao E. Tribunal a matéria relativa às parcelas em si, própria da empregadora. Requer-se, desde já, a aplicação do efeito devolutivo em profundidade (art. 1.013, §§ 1º e 2º, do CPC), de modo que sejam apreciados </w:t>
      </w:r>
      <w:r>
        <w:rPr>
          <w:rFonts w:eastAsia="Arial" w:cs="Arial"/>
          <w:b/>
          <w:bCs/>
          <w:sz w:val="22"/>
          <w:szCs w:val="22"/>
        </w:rPr>
        <w:t xml:space="preserve">todos os fundamentos de defesa oportunamente deduzidos</w:t>
      </w:r>
      <w:r>
        <w:rPr>
          <w:rFonts w:eastAsia="Arial" w:cs="Arial"/>
          <w:sz w:val="22"/>
          <w:szCs w:val="22"/>
        </w:rPr>
        <w:t xml:space="preserve"> pela Recorrente na contestação de [fls./Id DA CONTESTAÇÃO] e que a r. sentença deixou de enfrentar — em especial a natureza comercial do contrato de transporte rodoviário de carga postal (Lei nº 11.442/2007) e a incidência do art. 77, § 1º, da Lei nº 13.303/2016 —, ainda que a origem não os tenha examinado.</w:t>
      </w:r>
    </w:p>
    <w:p>
      <w:pPr>
        <w:pStyle w:val="Normal"/>
        <w:spacing w:lineRule="exact" w:line="360" w:before="0" w:after="120"/>
        <w:ind w:firstLine="1701"/>
        <w:jc w:val="both"/>
        <w:rPr/>
      </w:pPr>
      <w:r>
        <w:rPr>
          <w:rFonts w:eastAsia="Arial" w:cs="Arial"/>
          <w:sz w:val="22"/>
          <w:szCs w:val="22"/>
        </w:rPr>
        <w:t xml:space="preserve">E isso porque, </w:t>
      </w:r>
      <w:r>
        <w:rPr>
          <w:rFonts w:eastAsia="Arial" w:cs="Arial"/>
          <w:i/>
          <w:iCs/>
          <w:sz w:val="22"/>
          <w:szCs w:val="22"/>
        </w:rPr>
        <w:t xml:space="preserve">data maxima venia</w:t>
      </w:r>
      <w:r>
        <w:rPr>
          <w:rFonts w:eastAsia="Arial" w:cs="Arial"/>
          <w:sz w:val="22"/>
          <w:szCs w:val="22"/>
        </w:rPr>
        <w:t xml:space="preserve">, a r. sentença incorreu em duplo </w:t>
      </w:r>
      <w:r>
        <w:rPr>
          <w:rFonts w:eastAsia="Arial" w:cs="Arial"/>
          <w:i/>
          <w:iCs/>
          <w:sz w:val="22"/>
          <w:szCs w:val="22"/>
        </w:rPr>
        <w:t xml:space="preserve">error in judicando</w:t>
      </w:r>
      <w:r>
        <w:rPr>
          <w:rFonts w:eastAsia="Arial" w:cs="Arial"/>
          <w:sz w:val="22"/>
          <w:szCs w:val="22"/>
        </w:rPr>
        <w:t xml:space="preserve">: </w:t>
      </w:r>
      <w:r>
        <w:rPr>
          <w:rFonts w:eastAsia="Arial" w:cs="Arial"/>
          <w:b/>
          <w:bCs/>
          <w:sz w:val="22"/>
          <w:szCs w:val="22"/>
        </w:rPr>
        <w:t xml:space="preserve">(i)</w:t>
      </w:r>
      <w:r>
        <w:rPr>
          <w:rFonts w:eastAsia="Arial" w:cs="Arial"/>
          <w:sz w:val="22"/>
          <w:szCs w:val="22"/>
        </w:rPr>
        <w:t xml:space="preserve"> aplicou ao caso o regime jurídico da terceirização de serviços, quando o ajuste entre as Reclamadas é contrato comercial de transporte de cargas, ao qual a Súmula nº 331 do C. TST é estranha; e </w:t>
      </w:r>
      <w:r>
        <w:rPr>
          <w:rFonts w:eastAsia="Arial" w:cs="Arial"/>
          <w:b/>
          <w:bCs/>
          <w:sz w:val="22"/>
          <w:szCs w:val="22"/>
        </w:rPr>
        <w:t xml:space="preserve">(ii)</w:t>
      </w:r>
      <w:r>
        <w:rPr>
          <w:rFonts w:eastAsia="Arial" w:cs="Arial"/>
          <w:sz w:val="22"/>
          <w:szCs w:val="22"/>
        </w:rPr>
        <w:t xml:space="preserve"> ainda que se cogitasse de terceirização, extraiu a culpa </w:t>
      </w:r>
      <w:r>
        <w:rPr>
          <w:rFonts w:eastAsia="Arial" w:cs="Arial"/>
          <w:i/>
          <w:iCs/>
          <w:sz w:val="22"/>
          <w:szCs w:val="22"/>
        </w:rPr>
        <w:t xml:space="preserve">in vigilando</w:t>
      </w:r>
      <w:r>
        <w:rPr>
          <w:rFonts w:eastAsia="Arial" w:cs="Arial"/>
          <w:sz w:val="22"/>
          <w:szCs w:val="22"/>
        </w:rPr>
        <w:t xml:space="preserve"> da Recorrente </w:t>
      </w:r>
      <w:r>
        <w:rPr>
          <w:rFonts w:eastAsia="Arial" w:cs="Arial"/>
          <w:b/>
          <w:bCs/>
          <w:sz w:val="22"/>
          <w:szCs w:val="22"/>
        </w:rPr>
        <w:t xml:space="preserve">do próprio inadimplemento da empregadora</w:t>
      </w:r>
      <w:r>
        <w:rPr>
          <w:rFonts w:eastAsia="Arial" w:cs="Arial"/>
          <w:sz w:val="22"/>
          <w:szCs w:val="22"/>
        </w:rPr>
        <w:t xml:space="preserve">, apurado nesta mesma sentença, em raciocínio circular que materializa a responsabilização objetiva vedada pelo E. STF na ADC 16 e no RE 760.931 (Tema 246 da repercussão geral).</w:t>
      </w:r>
    </w:p>
    <w:p>
      <w:pPr>
        <w:pStyle w:val="Normal"/>
        <w:pBdr>
          <w:top w:val="single" w:sz="6" w:space="4" w:color="000000"/>
          <w:left w:val="single" w:sz="6" w:space="4" w:color="000000"/>
          <w:bottom w:val="single" w:sz="6" w:space="4" w:color="000000"/>
          <w:right w:val="single" w:sz="6" w:space="4" w:color="000000"/>
        </w:pBdr>
        <w:spacing w:lineRule="exact" w:line="240" w:before="320" w:after="260"/>
        <w:ind w:left="0" w:right="0" w:hanging="0"/>
        <w:jc w:val="center"/>
        <w:rPr/>
      </w:pPr>
      <w:r>
        <w:rPr>
          <w:rFonts w:eastAsia="Arial" w:cs="Arial"/>
          <w:b/>
          <w:bCs/>
          <w:sz w:val="22"/>
          <w:szCs w:val="22"/>
        </w:rPr>
        <w:t xml:space="preserve">DO MÉRITO RECURSAL</w:t>
      </w:r>
    </w:p>
    <w:p>
      <w:pPr>
        <w:pStyle w:val="Normal"/>
        <w:spacing w:lineRule="exact" w:line="360" w:before="200" w:after="120"/>
        <w:ind w:left="1701" w:hanging="0"/>
        <w:jc w:val="both"/>
        <w:rPr>
          <w:u w:val="single"/>
        </w:rPr>
      </w:pPr>
      <w:r>
        <w:rPr>
          <w:rFonts w:eastAsia="Arial" w:cs="Arial"/>
          <w:b/>
          <w:bCs/>
          <w:sz w:val="22"/>
          <w:szCs w:val="22"/>
          <w:u w:val="single"/>
        </w:rPr>
        <w:t xml:space="preserve">1 – DO CONTRATO DE TRANSPORTE RODOVIÁRIO DE CARGA POSTAL. NATUREZA COMERCIAL. AUSÊNCIA DE TERCEIRIZAÇÃO. INAPLICABILIDADE DA SÚMULA Nº 331 DO C. TST. TEMA 59 DO C. TST</w:t>
      </w:r>
    </w:p>
    <w:p>
      <w:pPr>
        <w:pStyle w:val="Normal"/>
        <w:spacing w:lineRule="exact" w:line="360" w:before="0" w:after="120"/>
        <w:ind w:firstLine="1701"/>
        <w:jc w:val="both"/>
        <w:rPr/>
      </w:pPr>
      <w:r>
        <w:rPr>
          <w:rFonts w:eastAsia="Arial" w:cs="Arial"/>
          <w:sz w:val="22"/>
          <w:szCs w:val="22"/>
        </w:rPr>
        <w:t xml:space="preserve">A r. sentença examinou o pedido de responsabilização subsidiária sob a exclusiva ótica da </w:t>
      </w:r>
      <w:r>
        <w:rPr>
          <w:rFonts w:eastAsia="Arial" w:cs="Arial"/>
          <w:b/>
          <w:bCs/>
          <w:sz w:val="22"/>
          <w:szCs w:val="22"/>
        </w:rPr>
        <w:t xml:space="preserve">terceirização de serviços</w:t>
      </w:r>
      <w:r>
        <w:rPr>
          <w:rFonts w:eastAsia="Arial" w:cs="Arial"/>
          <w:sz w:val="22"/>
          <w:szCs w:val="22"/>
        </w:rPr>
        <w:t xml:space="preserve">, invocando a ADPF nº 324, o RE nº 958.252, o art. 5º-A, § 5º, da Lei nº 6.019/1974, o art. 71, § 1º, da Lei nº 8.666/93 e a Súmula nº 331 do C. TST. Ocorre que a premissa de todo esse arcabouço — a existência de terceirização, isto é, de inserção de mão de obra de empresa interposta no processo produtivo do tomador — </w:t>
      </w:r>
      <w:r>
        <w:rPr>
          <w:rFonts w:eastAsia="Arial" w:cs="Arial"/>
          <w:b/>
          <w:bCs/>
          <w:sz w:val="22"/>
          <w:szCs w:val="22"/>
        </w:rPr>
        <w:t xml:space="preserve">simplesmente não se verifica nos autos</w:t>
      </w:r>
      <w:r>
        <w:rPr>
          <w:rFonts w:eastAsia="Arial" w:cs="Arial"/>
          <w:sz w:val="22"/>
          <w:szCs w:val="22"/>
        </w:rPr>
        <w:t xml:space="preserve">, e a matéria, embora expressamente arguida na contestação, não foi objeto de qualquer análise na r. sentença.</w:t>
      </w:r>
    </w:p>
    <w:p>
      <w:pPr>
        <w:pStyle w:val="Normal"/>
        <w:spacing w:lineRule="exact" w:line="360" w:before="0" w:after="120"/>
        <w:ind w:firstLine="1701"/>
        <w:jc w:val="both"/>
        <w:rPr/>
      </w:pPr>
      <w:r>
        <w:rPr>
          <w:rFonts w:eastAsia="Arial" w:cs="Arial"/>
          <w:sz w:val="22"/>
          <w:szCs w:val="22"/>
        </w:rPr>
        <w:t xml:space="preserve">Com efeito, é </w:t>
      </w:r>
      <w:r>
        <w:rPr>
          <w:rFonts w:eastAsia="Arial" w:cs="Arial"/>
          <w:b/>
          <w:bCs/>
          <w:sz w:val="22"/>
          <w:szCs w:val="22"/>
        </w:rPr>
        <w:t xml:space="preserve">incontroverso</w:t>
      </w:r>
      <w:r>
        <w:rPr>
          <w:rFonts w:eastAsia="Arial" w:cs="Arial"/>
          <w:sz w:val="22"/>
          <w:szCs w:val="22"/>
        </w:rPr>
        <w:t xml:space="preserve"> que a 1ª Reclamada mantinha com a Recorrente o </w:t>
      </w:r>
      <w:r>
        <w:rPr>
          <w:rFonts w:eastAsia="Arial" w:cs="Arial"/>
          <w:b/>
          <w:bCs/>
          <w:sz w:val="22"/>
          <w:szCs w:val="22"/>
        </w:rPr>
        <w:t xml:space="preserve">Contrato de Prestação de Serviços de Transporte Rodoviário de Carga Postal – Modalidade LTN – Linhas de Transporte Nacionais, nº [Nº/ANO DO CONTRATO]</w:t>
      </w:r>
      <w:r>
        <w:rPr>
          <w:rFonts w:eastAsia="Arial" w:cs="Arial"/>
          <w:sz w:val="22"/>
          <w:szCs w:val="22"/>
        </w:rPr>
        <w:t xml:space="preserve">, firmado após regular procedimento licitatório nos termos da [Lei nº 13.303/2016 ou Lei nº 8.666/93 — conferir o regime sob o qual o contrato foi licitado], cujo objeto é única e exclusivamente a prestação de serviços de transporte, </w:t>
      </w:r>
      <w:r>
        <w:rPr>
          <w:rFonts w:eastAsia="Arial" w:cs="Arial"/>
          <w:i/>
          <w:iCs/>
          <w:sz w:val="22"/>
          <w:szCs w:val="22"/>
        </w:rPr>
        <w:t xml:space="preserve">verbis</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“1.1 A presente contratação tem como </w:t>
      </w:r>
      <w:r>
        <w:rPr>
          <w:rFonts w:eastAsia="Arial" w:cs="Arial"/>
          <w:b/>
          <w:bCs/>
          <w:sz w:val="20"/>
          <w:szCs w:val="20"/>
        </w:rPr>
        <w:t xml:space="preserve">objeto a prestação de serviços de transporte rodoviário de cargas postal</w:t>
      </w:r>
      <w:r>
        <w:rPr>
          <w:rFonts w:eastAsia="Arial" w:cs="Arial"/>
          <w:sz w:val="20"/>
          <w:szCs w:val="20"/>
        </w:rPr>
        <w:t xml:space="preserve">, modalidade [GRUPO DE LINHAS], discriminado no quadro abaixo, conforme Especificações Técnicas e demais condições deste Instrumento e seus Anexos.”</w:t>
      </w:r>
    </w:p>
    <w:p>
      <w:pPr>
        <w:pStyle w:val="Normal"/>
        <w:spacing w:lineRule="exact" w:line="360" w:before="0" w:after="120"/>
        <w:ind w:firstLine="1701"/>
        <w:jc w:val="both"/>
        <w:rPr/>
      </w:pPr>
      <w:r>
        <w:rPr>
          <w:rFonts w:eastAsia="Arial" w:cs="Arial"/>
          <w:sz w:val="22"/>
          <w:szCs w:val="22"/>
        </w:rPr>
        <w:t xml:space="preserve">A natureza do ajuste restou documentalmente comprovada pelos documentos juntados com a contestação [Id DO CONTRATO E DOS RESPECTIVOS TERMOS ADITIVOS].</w:t>
      </w:r>
    </w:p>
    <w:p>
      <w:pPr>
        <w:pStyle w:val="Normal"/>
        <w:spacing w:lineRule="exact" w:line="360" w:before="0" w:after="120"/>
        <w:ind w:firstLine="1701"/>
        <w:jc w:val="both"/>
        <w:rPr/>
      </w:pPr>
      <w:r>
        <w:rPr>
          <w:rFonts w:eastAsia="Arial" w:cs="Arial"/>
          <w:sz w:val="22"/>
          <w:szCs w:val="22"/>
        </w:rPr>
        <w:t xml:space="preserve">Pois bem. A Lei nº 11.442/2007, que regulamenta o Transporte Rodoviário de Cargas por conta de terceiros e mediante remuneração, é peremptória quanto à natureza dessa relação:</w:t>
      </w:r>
    </w:p>
    <w:p>
      <w:pPr>
        <w:pStyle w:val="Normal"/>
        <w:spacing w:lineRule="exact" w:line="240" w:before="100" w:after="160"/>
        <w:ind w:left="2268" w:hanging="0"/>
        <w:jc w:val="both"/>
        <w:rPr/>
      </w:pPr>
      <w:r>
        <w:rPr>
          <w:rFonts w:eastAsia="Arial" w:cs="Arial"/>
          <w:sz w:val="20"/>
          <w:szCs w:val="20"/>
        </w:rPr>
        <w:t xml:space="preserve">“Art. 5º As relações decorrentes do contrato de transporte de cargas de que trata o art. 4º desta Lei são </w:t>
      </w:r>
      <w:r>
        <w:rPr>
          <w:rFonts w:eastAsia="Arial" w:cs="Arial"/>
          <w:b/>
          <w:bCs/>
          <w:sz w:val="20"/>
          <w:szCs w:val="20"/>
        </w:rPr>
        <w:t xml:space="preserve">sempre de natureza comercial, não ensejando, em nenhuma hipótese</w:t>
      </w:r>
      <w:r>
        <w:rPr>
          <w:rFonts w:eastAsia="Arial" w:cs="Arial"/>
          <w:sz w:val="20"/>
          <w:szCs w:val="20"/>
        </w:rPr>
        <w:t xml:space="preserve">, a caracterização de vínculo de emprego.”</w:t>
      </w:r>
    </w:p>
    <w:p>
      <w:pPr>
        <w:pStyle w:val="Normal"/>
        <w:spacing w:lineRule="exact" w:line="240" w:before="100" w:after="160"/>
        <w:ind w:left="2268" w:hanging="0"/>
        <w:jc w:val="both"/>
        <w:rPr/>
      </w:pPr>
      <w:r>
        <w:rPr>
          <w:rFonts w:eastAsia="Arial" w:cs="Arial"/>
          <w:sz w:val="20"/>
          <w:szCs w:val="20"/>
        </w:rPr>
        <w:t xml:space="preserve">“Art. 8º </w:t>
      </w:r>
      <w:r>
        <w:rPr>
          <w:rFonts w:eastAsia="Arial" w:cs="Arial"/>
          <w:b/>
          <w:bCs/>
          <w:sz w:val="20"/>
          <w:szCs w:val="20"/>
        </w:rPr>
        <w:t xml:space="preserve">O transportador é responsável pelas ações ou omissões de seus empregados</w:t>
      </w:r>
      <w:r>
        <w:rPr>
          <w:rFonts w:eastAsia="Arial" w:cs="Arial"/>
          <w:sz w:val="20"/>
          <w:szCs w:val="20"/>
        </w:rPr>
        <w:t xml:space="preserve">, agentes, prepostos ou terceiros contratados ou subcontratados para a execução dos serviços de transporte, </w:t>
      </w:r>
      <w:r>
        <w:rPr>
          <w:rFonts w:eastAsia="Arial" w:cs="Arial"/>
          <w:b/>
          <w:bCs/>
          <w:sz w:val="20"/>
          <w:szCs w:val="20"/>
        </w:rPr>
        <w:t xml:space="preserve">como se essas ações ou omissões fossem próprias</w:t>
      </w:r>
      <w:r>
        <w:rPr>
          <w:rFonts w:eastAsia="Arial" w:cs="Arial"/>
          <w:sz w:val="20"/>
          <w:szCs w:val="20"/>
        </w:rPr>
        <w:t xml:space="preserve">.</w:t>
      </w:r>
    </w:p>
    <w:p>
      <w:pPr>
        <w:pStyle w:val="Normal"/>
        <w:spacing w:lineRule="exact" w:line="240" w:before="100" w:after="160"/>
        <w:ind w:left="2268" w:hanging="0"/>
        <w:jc w:val="both"/>
        <w:rPr/>
      </w:pPr>
      <w:r>
        <w:rPr>
          <w:rFonts w:eastAsia="Arial" w:cs="Arial"/>
          <w:sz w:val="20"/>
          <w:szCs w:val="20"/>
        </w:rPr>
        <w:t xml:space="preserve">Parágrafo único. O transportador tem direito a ação regressiva contra os terceiros contratados ou subcontratados, para se ressarcir do valor da indenização que houver pago.”</w:t>
      </w:r>
    </w:p>
    <w:p>
      <w:pPr>
        <w:pStyle w:val="Normal"/>
        <w:spacing w:lineRule="exact" w:line="360" w:before="0" w:after="120"/>
        <w:ind w:firstLine="1701"/>
        <w:jc w:val="both"/>
        <w:rPr/>
      </w:pPr>
      <w:r>
        <w:rPr>
          <w:rFonts w:eastAsia="Arial" w:cs="Arial"/>
          <w:sz w:val="22"/>
          <w:szCs w:val="22"/>
        </w:rPr>
        <w:t xml:space="preserve">Vale dizer: </w:t>
      </w:r>
      <w:r>
        <w:rPr>
          <w:rFonts w:eastAsia="Arial" w:cs="Arial"/>
          <w:b/>
          <w:bCs/>
          <w:sz w:val="22"/>
          <w:szCs w:val="22"/>
        </w:rPr>
        <w:t xml:space="preserve">a própria lei especial imputa ao transportador — e só a ele — a responsabilidade pelas obrigações relativas aos seus empregados</w:t>
      </w:r>
      <w:r>
        <w:rPr>
          <w:rFonts w:eastAsia="Arial" w:cs="Arial"/>
          <w:sz w:val="22"/>
          <w:szCs w:val="22"/>
        </w:rPr>
        <w:t xml:space="preserve">. Não se trata, aqui, de exceção construída pela jurisprudência, mas de comando legal expresso, que a r. sentença não enfrentou.</w:t>
      </w:r>
    </w:p>
    <w:p>
      <w:pPr>
        <w:pStyle w:val="Normal"/>
        <w:spacing w:lineRule="exact" w:line="360" w:before="0" w:after="120"/>
        <w:ind w:firstLine="1701"/>
        <w:jc w:val="both"/>
        <w:rPr/>
      </w:pPr>
      <w:r>
        <w:rPr>
          <w:rFonts w:eastAsia="Arial" w:cs="Arial"/>
          <w:sz w:val="22"/>
          <w:szCs w:val="22"/>
        </w:rPr>
        <w:t xml:space="preserve">No mesmo sentido, o contrato de transporte é típico contrato civil, definido no art. 730 do Código Civil (“Pelo contrato de transporte alguém se obriga, mediante retribuição, a transportar, de um lugar para outro, pessoas ou coisas”), e, por definição, </w:t>
      </w:r>
      <w:r>
        <w:rPr>
          <w:rFonts w:eastAsia="Arial" w:cs="Arial"/>
          <w:b/>
          <w:bCs/>
          <w:sz w:val="22"/>
          <w:szCs w:val="22"/>
        </w:rPr>
        <w:t xml:space="preserve">não transfere ao contratado etapa alguma do processo produtivo do contratante</w:t>
      </w:r>
      <w:r>
        <w:rPr>
          <w:rFonts w:eastAsia="Arial" w:cs="Arial"/>
          <w:sz w:val="22"/>
          <w:szCs w:val="22"/>
        </w:rPr>
        <w:t xml:space="preserve"> — pressuposto conceitual da terceirização.</w:t>
      </w:r>
    </w:p>
    <w:p>
      <w:pPr>
        <w:pStyle w:val="Normal"/>
        <w:spacing w:lineRule="exact" w:line="360" w:before="0" w:after="120"/>
        <w:ind w:firstLine="1701"/>
        <w:jc w:val="both"/>
        <w:rPr/>
      </w:pPr>
      <w:r>
        <w:rPr>
          <w:rFonts w:eastAsia="Arial" w:cs="Arial"/>
          <w:sz w:val="22"/>
          <w:szCs w:val="22"/>
        </w:rPr>
        <w:t xml:space="preserve">Exatamente nessa linha, o C. Tribunal Superior do Trabalho fixou o </w:t>
      </w:r>
      <w:r>
        <w:rPr>
          <w:rFonts w:eastAsia="Arial" w:cs="Arial"/>
          <w:b/>
          <w:bCs/>
          <w:sz w:val="22"/>
          <w:szCs w:val="22"/>
        </w:rPr>
        <w:t xml:space="preserve">Tema 59</w:t>
      </w:r>
      <w:r>
        <w:rPr>
          <w:rFonts w:eastAsia="Arial" w:cs="Arial"/>
          <w:sz w:val="22"/>
          <w:szCs w:val="22"/>
        </w:rPr>
        <w:t xml:space="preserve">, segundo o qual “a contratação dos serviços de transporte de mercadorias, por ostentar natureza comercial, não se enquadra na configuração jurídica de terceirização prevista na Súmula nº 331, IV, do TST e, por conseguinte, </w:t>
      </w:r>
      <w:r>
        <w:rPr>
          <w:rFonts w:eastAsia="Arial" w:cs="Arial"/>
          <w:b/>
          <w:bCs/>
          <w:sz w:val="22"/>
          <w:szCs w:val="22"/>
        </w:rPr>
        <w:t xml:space="preserve">não enseja a responsabilização subsidiária das empresas tomadoras de serviços</w:t>
      </w:r>
      <w:r>
        <w:rPr>
          <w:rFonts w:eastAsia="Arial" w:cs="Arial"/>
          <w:sz w:val="22"/>
          <w:szCs w:val="22"/>
        </w:rPr>
        <w:t xml:space="preserve">”. Trata-se de tese de observância obrigatória, na forma do art. 896-C da CLT, cuja aplicação, no caso, é bastante para o provimento do apelo.</w:t>
      </w:r>
    </w:p>
    <w:p>
      <w:pPr>
        <w:pStyle w:val="Normal"/>
        <w:spacing w:lineRule="exact" w:line="360" w:before="0" w:after="120"/>
        <w:ind w:firstLine="1701"/>
        <w:jc w:val="both"/>
        <w:rPr/>
      </w:pPr>
      <w:r>
        <w:rPr>
          <w:rFonts w:eastAsia="Arial" w:cs="Arial"/>
          <w:sz w:val="22"/>
          <w:szCs w:val="22"/>
        </w:rPr>
        <w:t xml:space="preserve">Este E. Tribunal Regional, aliás, já apreciou </w:t>
      </w:r>
      <w:r>
        <w:rPr>
          <w:rFonts w:eastAsia="Arial" w:cs="Arial"/>
          <w:b/>
          <w:bCs/>
          <w:sz w:val="22"/>
          <w:szCs w:val="22"/>
        </w:rPr>
        <w:t xml:space="preserve">caso rigorosamente idêntico ao dos presentes autos</w:t>
      </w:r>
      <w:r>
        <w:rPr>
          <w:rFonts w:eastAsia="Arial" w:cs="Arial"/>
          <w:sz w:val="22"/>
          <w:szCs w:val="22"/>
        </w:rPr>
        <w:t xml:space="preserve"> — mesma tomadora, mesma modalidade contratual de transporte de carga postal —, decidindo:</w:t>
      </w: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2.3.1 - RESPONSABILIDADE SUBSIDIÁRIA</w:t>
      </w:r>
    </w:p>
    <w:p>
      <w:pPr>
        <w:pStyle w:val="Normal"/>
        <w:spacing w:lineRule="exact" w:line="240" w:before="100" w:after="160"/>
        <w:ind w:left="2268" w:hanging="0"/>
        <w:jc w:val="both"/>
        <w:rPr/>
      </w:pPr>
      <w:r>
        <w:rPr>
          <w:rFonts w:eastAsia="Arial" w:cs="Arial"/>
          <w:sz w:val="20"/>
          <w:szCs w:val="20"/>
        </w:rPr>
        <w:t xml:space="preserve">(...) Contra essa decisão, a segunda ré alegou que: a) manteve contrato de prestação de serviços de transporte rodoviário de carga postal, firmado após regular procedimento licitatório; b) a Lei nº 11.442/2007 explicita a natureza comercial do transporte de cargas e afasta, em qualquer hipótese, a caracterização de vínculo de emprego; c) é firme o entendimento no sentido de que não se aplicam as disposições da Súmula 331 do TST ao contrato de transporte rodoviário de cargas por conta de terceiros, por não se tratar de típica terceirização de serviços; d) inexiste prova de conduta culposa da recorrente.</w:t>
      </w:r>
    </w:p>
    <w:p>
      <w:pPr>
        <w:pStyle w:val="Normal"/>
        <w:spacing w:lineRule="exact" w:line="240" w:before="100" w:after="160"/>
        <w:ind w:left="2268" w:hanging="0"/>
        <w:jc w:val="both"/>
        <w:rPr/>
      </w:pPr>
      <w:r>
        <w:rPr>
          <w:rFonts w:eastAsia="Arial" w:cs="Arial"/>
          <w:b/>
          <w:bCs/>
          <w:sz w:val="20"/>
          <w:szCs w:val="20"/>
        </w:rPr>
        <w:t xml:space="preserve">Assiste-lhe razão.</w:t>
      </w:r>
    </w:p>
    <w:p>
      <w:pPr>
        <w:pStyle w:val="Normal"/>
        <w:spacing w:lineRule="exact" w:line="240" w:before="100" w:after="160"/>
        <w:ind w:left="2268" w:hanging="0"/>
        <w:jc w:val="both"/>
        <w:rPr/>
      </w:pPr>
      <w:r>
        <w:rPr>
          <w:rFonts w:eastAsia="Arial" w:cs="Arial"/>
          <w:sz w:val="20"/>
          <w:szCs w:val="20"/>
        </w:rPr>
        <w:t xml:space="preserve">A jurisprudência predominante no âmbito do Tribunal Superior do Trabalho “é no sentido de que, </w:t>
      </w:r>
      <w:r>
        <w:rPr>
          <w:rFonts w:eastAsia="Arial" w:cs="Arial"/>
          <w:b/>
          <w:bCs/>
          <w:sz w:val="20"/>
          <w:szCs w:val="20"/>
        </w:rPr>
        <w:t xml:space="preserve">em razão da natureza comercial dos contratos de transporte de cargas, não se aplica o entendimento constante da Súmula nº 331, IV, do TST</w:t>
      </w:r>
      <w:r>
        <w:rPr>
          <w:rFonts w:eastAsia="Arial" w:cs="Arial"/>
          <w:sz w:val="20"/>
          <w:szCs w:val="20"/>
        </w:rPr>
        <w:t xml:space="preserve">” (TST; Ag-AIRR 0000430-64.2019.5.06.0172; Primeira Turma; Rel. Min. Amaury Rodrigues Pinto Junior; DEJT 29/09/2023; Pág. 318).</w:t>
      </w:r>
    </w:p>
    <w:p>
      <w:pPr>
        <w:pStyle w:val="Normal"/>
        <w:spacing w:lineRule="exact" w:line="240" w:before="100" w:after="160"/>
        <w:ind w:left="2268" w:hanging="0"/>
        <w:jc w:val="both"/>
        <w:rPr/>
      </w:pPr>
      <w:r>
        <w:rPr>
          <w:rFonts w:eastAsia="Arial" w:cs="Arial"/>
          <w:sz w:val="20"/>
          <w:szCs w:val="20"/>
        </w:rPr>
        <w:t xml:space="preserve">A empresa contratante, portanto, não pode ser responsabilizada subsidiariamente pelo inadimplemento das obrigações trabalhistas da transportadora.</w:t>
      </w:r>
    </w:p>
    <w:p>
      <w:pPr>
        <w:pStyle w:val="Normal"/>
        <w:spacing w:lineRule="exact" w:line="240" w:before="100" w:after="160"/>
        <w:ind w:left="2268" w:hanging="0"/>
        <w:jc w:val="both"/>
        <w:rPr/>
      </w:pPr>
      <w:r>
        <w:rPr>
          <w:rFonts w:eastAsia="Arial" w:cs="Arial"/>
          <w:sz w:val="20"/>
          <w:szCs w:val="20"/>
        </w:rPr>
        <w:t xml:space="preserve">No caso, é incontroverso que as rés firmaram contrato de transporte rodoviário de cargas. </w:t>
      </w:r>
      <w:r>
        <w:rPr>
          <w:rFonts w:eastAsia="Arial" w:cs="Arial"/>
          <w:b/>
          <w:bCs/>
          <w:sz w:val="20"/>
          <w:szCs w:val="20"/>
        </w:rPr>
        <w:t xml:space="preserve">A natureza civil e comercial do contrato firmado obsta, então, a responsabilização subsidiária da segunda ré, nos termos da Lei nº 11.442/2007, por não se tratar de hipótese de terceirização de serviços.</w:t>
      </w:r>
    </w:p>
    <w:p>
      <w:pPr>
        <w:pStyle w:val="Normal"/>
        <w:spacing w:lineRule="exact" w:line="240" w:before="100" w:after="160"/>
        <w:ind w:left="2268" w:hanging="0"/>
        <w:jc w:val="both"/>
        <w:rPr/>
      </w:pPr>
      <w:r>
        <w:rPr>
          <w:rFonts w:eastAsia="Arial" w:cs="Arial"/>
          <w:sz w:val="20"/>
          <w:szCs w:val="20"/>
        </w:rPr>
        <w:t xml:space="preserve">Precedentes do TST: TST; RR 0011576-65.2017.5.03.0040; Oitava Turma; Rel. Des. Conv. Eduardo Pugliesi; DEJT 25/03/2024; TST; RR 0010740-52.2018.5.03.0042; Sexta Turma; Relª Min. Kátia Magalhães Arruda; DEJT 08/03/2024; TST; RRAg 0000917-47.2015.5.05.0222; Terceira Turma; Rel. Min. José Roberto Freire Pimenta; DEJT 16/02/2024.</w:t>
      </w:r>
    </w:p>
    <w:p>
      <w:pPr>
        <w:pStyle w:val="Normal"/>
        <w:spacing w:lineRule="exact" w:line="240" w:before="100" w:after="160"/>
        <w:ind w:left="2268" w:hanging="0"/>
        <w:jc w:val="both"/>
        <w:rPr/>
      </w:pPr>
      <w:r>
        <w:rPr>
          <w:rFonts w:eastAsia="Arial" w:cs="Arial"/>
          <w:b/>
          <w:bCs/>
          <w:sz w:val="20"/>
          <w:szCs w:val="20"/>
        </w:rPr>
        <w:t xml:space="preserve">Dou provimento ao recurso, portanto, para excluir a responsabilidade subsidiária da segunda ré.</w:t>
      </w:r>
      <w:r>
        <w:rPr>
          <w:rFonts w:eastAsia="Arial" w:cs="Arial"/>
          <w:sz w:val="20"/>
          <w:szCs w:val="20"/>
        </w:rPr>
        <w:t xml:space="preserve">” (TRT24 – ROT 0024551-47.2023.5.24.0001; 2ª Turma; Relator: Desembargador CÉSAR PALUMBO FERNANDES; julgado em 26/06/2024) – d.n.</w:t>
      </w:r>
    </w:p>
    <w:p>
      <w:pPr>
        <w:pStyle w:val="Normal"/>
        <w:spacing w:lineRule="exact" w:line="360" w:before="0" w:after="120"/>
        <w:ind w:firstLine="1701"/>
        <w:jc w:val="both"/>
        <w:rPr/>
      </w:pPr>
      <w:r>
        <w:rPr>
          <w:rFonts w:eastAsia="Arial" w:cs="Arial"/>
          <w:sz w:val="22"/>
          <w:szCs w:val="22"/>
        </w:rPr>
        <w:t xml:space="preserve">No mesmo sentido, ainda deste E. Regional, o julgado proferido nos autos do processo </w:t>
      </w:r>
      <w:r>
        <w:rPr>
          <w:rFonts w:eastAsia="Arial" w:cs="Arial"/>
          <w:b/>
          <w:bCs/>
          <w:sz w:val="22"/>
          <w:szCs w:val="22"/>
        </w:rPr>
        <w:t xml:space="preserve">0024790-08.2018.5.24.0072</w:t>
      </w:r>
      <w:r>
        <w:rPr>
          <w:rFonts w:eastAsia="Arial" w:cs="Arial"/>
          <w:sz w:val="22"/>
          <w:szCs w:val="22"/>
        </w:rPr>
        <w:t xml:space="preserve"> (2ª Turma; Relator Des. FRANCISCO DAS CHAGAS LIMA FILHO; julgado em 13/08/2021), no qual se assentou que “para que se possa cogitar de terceirização, indispensável que a empresa contratante transfira total ou parcialmente seu processo produtivo, </w:t>
      </w:r>
      <w:r>
        <w:rPr>
          <w:rFonts w:eastAsia="Arial" w:cs="Arial"/>
          <w:b/>
          <w:bCs/>
          <w:sz w:val="22"/>
          <w:szCs w:val="22"/>
        </w:rPr>
        <w:t xml:space="preserve">o que não ocorre no contrato de transporte</w:t>
      </w:r>
      <w:r>
        <w:rPr>
          <w:rFonts w:eastAsia="Arial" w:cs="Arial"/>
          <w:sz w:val="22"/>
          <w:szCs w:val="22"/>
        </w:rPr>
        <w:t xml:space="preserve">”, e que a prestação de serviços de transporte “</w:t>
      </w:r>
      <w:r>
        <w:rPr>
          <w:rFonts w:eastAsia="Arial" w:cs="Arial"/>
          <w:b/>
          <w:bCs/>
          <w:sz w:val="22"/>
          <w:szCs w:val="22"/>
        </w:rPr>
        <w:t xml:space="preserve">descaracteriza a pretendida terceirização a ensejar a responsabilidade subsidiária da contratante</w:t>
      </w:r>
      <w:r>
        <w:rPr>
          <w:rFonts w:eastAsia="Arial" w:cs="Arial"/>
          <w:sz w:val="22"/>
          <w:szCs w:val="22"/>
        </w:rPr>
        <w:t xml:space="preserve">, pois não era transferido para a contratada nem mesmo parcialmente o processo produtivo da contratante, vale repetir, </w:t>
      </w:r>
      <w:r>
        <w:rPr>
          <w:rFonts w:eastAsia="Arial" w:cs="Arial"/>
          <w:b/>
          <w:bCs/>
          <w:sz w:val="22"/>
          <w:szCs w:val="22"/>
        </w:rPr>
        <w:t xml:space="preserve">o que afasta o dever de fiscalizar o cumprimento das obrigações trabalhistas pela empresa transportadora</w:t>
      </w:r>
      <w:r>
        <w:rPr>
          <w:rFonts w:eastAsia="Arial" w:cs="Arial"/>
          <w:sz w:val="22"/>
          <w:szCs w:val="22"/>
        </w:rPr>
        <w:t xml:space="preserve"> para quem o autor laborava”.</w:t>
      </w:r>
    </w:p>
    <w:p>
      <w:pPr>
        <w:pStyle w:val="Normal"/>
        <w:spacing w:lineRule="exact" w:line="360" w:before="0" w:after="120"/>
        <w:ind w:firstLine="1701"/>
        <w:jc w:val="both"/>
        <w:rPr/>
      </w:pPr>
      <w:r>
        <w:rPr>
          <w:rFonts w:eastAsia="Arial" w:cs="Arial"/>
          <w:sz w:val="22"/>
          <w:szCs w:val="22"/>
        </w:rPr>
        <w:t xml:space="preserve">A orientação é a mesma nos demais Regionais, em processos movidos </w:t>
      </w:r>
      <w:r>
        <w:rPr>
          <w:rFonts w:eastAsia="Arial" w:cs="Arial"/>
          <w:b/>
          <w:bCs/>
          <w:sz w:val="22"/>
          <w:szCs w:val="22"/>
        </w:rPr>
        <w:t xml:space="preserve">contra esta própria Recorrente e envolvendo a mesma modalidade contratual (LTN)</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EMENTA: RECURSO ORDINÁRIO. CONTRATO DE TRANSPORTE. TERCEIRIZAÇÃO NÃO CARACTERIZADA.</w:t>
      </w:r>
      <w:r>
        <w:rPr>
          <w:rFonts w:eastAsia="Arial" w:cs="Arial"/>
          <w:sz w:val="20"/>
          <w:szCs w:val="20"/>
        </w:rPr>
        <w:t xml:space="preserve"> Esta Egrégia Turma firmou entendimento no sentido de que não se aplicam as disposições contidas na Súmula 331 do C. TST no tocante ao contrato de transporte rodoviário de cargas por conta de terceiros, na forma da Lei 11.442/2007, de natureza eminentemente comercial, por não se tratar de típica terceirização de serviços, com a contratação de mão de obra por empresa interposta. (...) O documento de ID 678f1a3 demonstra que a 2ª ré contratou a 1ª reclamada (...) para prestar serviços de transporte rodoviário de cargas, </w:t>
      </w:r>
      <w:r>
        <w:rPr>
          <w:rFonts w:eastAsia="Arial" w:cs="Arial"/>
          <w:b/>
          <w:bCs/>
          <w:sz w:val="20"/>
          <w:szCs w:val="20"/>
        </w:rPr>
        <w:t xml:space="preserve">modalidade LTN - linha de Transporte Nacional</w:t>
      </w:r>
      <w:r>
        <w:rPr>
          <w:rFonts w:eastAsia="Arial" w:cs="Arial"/>
          <w:sz w:val="20"/>
          <w:szCs w:val="20"/>
        </w:rPr>
        <w:t xml:space="preserve"> (cláusula 1.1). Tal avença tem natureza meramente mercantil, não havendo que se falar em terceirização de serviços e aplicação da Súmula 331 do TST. Assim, dou provimento ao recurso para absolver a 2ª reclamada da condenação que lhe foi imposta.” (TRT da 3ª Região; Processo nº 0010270-86.2018.5.03.0182 (RO); Relator: Desembargador ANEMAR PEREIRA AMARAL) – d.n.</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EMENTA – MOTORISTA DE CAMINHÃO DE TRANSPORTADORA DE CARGAS - ATIVIDADE ESPECIALIZADA – RELAÇÃO COMERCIAL - AUSÊNCIA DE RESPONSABILIDADE SUBSIDIÁRIA DA TOMADORA POR DÍVIDA TRABALHISTA.</w:t>
      </w:r>
      <w:r>
        <w:rPr>
          <w:rFonts w:eastAsia="Arial" w:cs="Arial"/>
          <w:sz w:val="20"/>
          <w:szCs w:val="20"/>
        </w:rPr>
        <w:t xml:space="preserve"> As reclamadas firmaram contrato de transporte de objetos de terceiros, sob a guarda e responsabilidade de entrega ao destinatário final, pela tomadora, sendo a relação jurídica com a empresa transportadora de natureza eminentemente comercial, nos termos do art. 5º da Lei nº 11.442/2007, </w:t>
      </w:r>
      <w:r>
        <w:rPr>
          <w:rFonts w:eastAsia="Arial" w:cs="Arial"/>
          <w:b/>
          <w:bCs/>
          <w:sz w:val="20"/>
          <w:szCs w:val="20"/>
        </w:rPr>
        <w:t xml:space="preserve">pouco importando quem seja o empregado que conduz o veículo</w:t>
      </w:r>
      <w:r>
        <w:rPr>
          <w:rFonts w:eastAsia="Arial" w:cs="Arial"/>
          <w:sz w:val="20"/>
          <w:szCs w:val="20"/>
        </w:rPr>
        <w:t xml:space="preserve">. Desse modo, a relação empregatícia entre o reclamante e a transportadora não transfere qualquer responsabilidade trabalhista à tomadora, sendo a contratação comercial válida, sem se falar em responsabilização subsidiária da ECT.” (TRT da 20ª Região; Processo nº 0001741-21.2016.5.20.0006 (ROT); Relator: Des. JORGE ANTONIO ANDRADE CARDOSO) – d.n.</w:t>
      </w:r>
    </w:p>
    <w:p>
      <w:pPr>
        <w:pStyle w:val="Normal"/>
        <w:spacing w:lineRule="exact" w:line="360" w:before="0" w:after="120"/>
        <w:ind w:firstLine="1701"/>
        <w:jc w:val="both"/>
        <w:rPr/>
      </w:pPr>
      <w:r>
        <w:rPr>
          <w:rFonts w:eastAsia="Arial" w:cs="Arial"/>
          <w:sz w:val="22"/>
          <w:szCs w:val="22"/>
        </w:rPr>
        <w:t xml:space="preserve">Neste último precedente — em que, tal como aqui, o reclamante era </w:t>
      </w:r>
      <w:r>
        <w:rPr>
          <w:rFonts w:eastAsia="Arial" w:cs="Arial"/>
          <w:b/>
          <w:bCs/>
          <w:sz w:val="22"/>
          <w:szCs w:val="22"/>
        </w:rPr>
        <w:t xml:space="preserve">motorista de carreta</w:t>
      </w:r>
      <w:r>
        <w:rPr>
          <w:rFonts w:eastAsia="Arial" w:cs="Arial"/>
          <w:sz w:val="22"/>
          <w:szCs w:val="22"/>
        </w:rPr>
        <w:t xml:space="preserve"> de empresa transportadora contratada pela ECT —, consignou-se expressamente que “</w:t>
      </w:r>
      <w:r>
        <w:rPr>
          <w:rFonts w:eastAsia="Arial" w:cs="Arial"/>
          <w:b/>
          <w:bCs/>
          <w:sz w:val="22"/>
          <w:szCs w:val="22"/>
        </w:rPr>
        <w:t xml:space="preserve">o fato de a ECT não fiscalizar o horário de trabalho do reclamante</w:t>
      </w:r>
      <w:r>
        <w:rPr>
          <w:rFonts w:eastAsia="Arial" w:cs="Arial"/>
          <w:sz w:val="22"/>
          <w:szCs w:val="22"/>
        </w:rPr>
        <w:t xml:space="preserve"> (...), na função de motorista de carreta interestadual, enquanto empregado de empresa de transporte rodoviário de cargas, prestadora de serviços à ECT, </w:t>
      </w:r>
      <w:r>
        <w:rPr>
          <w:rFonts w:eastAsia="Arial" w:cs="Arial"/>
          <w:b/>
          <w:bCs/>
          <w:sz w:val="22"/>
          <w:szCs w:val="22"/>
        </w:rPr>
        <w:t xml:space="preserve">não se constitui em elemento de culpa da contratante</w:t>
      </w:r>
      <w:r>
        <w:rPr>
          <w:rFonts w:eastAsia="Arial" w:cs="Arial"/>
          <w:sz w:val="22"/>
          <w:szCs w:val="22"/>
        </w:rPr>
        <w:t xml:space="preserve"> para se condená-la a responder, subsidiariamente, por alguma dívida trabalhista da transportadora para com o obreiro”.</w:t>
      </w:r>
    </w:p>
    <w:p>
      <w:pPr>
        <w:pStyle w:val="Normal"/>
        <w:spacing w:lineRule="exact" w:line="360" w:before="0" w:after="120"/>
        <w:ind w:firstLine="1701"/>
        <w:jc w:val="both"/>
        <w:rPr/>
      </w:pPr>
      <w:r>
        <w:rPr>
          <w:rFonts w:eastAsia="Arial" w:cs="Arial"/>
          <w:sz w:val="22"/>
          <w:szCs w:val="22"/>
        </w:rPr>
        <w:t xml:space="preserve">A jurisprudência do C. TST é firme no mesmo sentido, como se colhe, entre outros, dos seguintes julgados:</w:t>
      </w: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AGRAVO DE INSTRUMENTO EM RECURSO DE REVISTA DO RECLAMANTE. CONTRATO DE TRANSPORTE RODOVIÁRIO DE CARGAS. NATUREZA COMERCIAL. INAPLICABILIDADE DA SÚMULA Nº 331 DO TST.</w:t>
      </w:r>
      <w:r>
        <w:rPr>
          <w:rFonts w:eastAsia="Arial" w:cs="Arial"/>
          <w:sz w:val="20"/>
          <w:szCs w:val="20"/>
        </w:rPr>
        <w:t xml:space="preserve"> No caso vertente, é possível extrair do acórdão recorrido que, na verdade, a controvérsia não está afeta propriamente à terceirização, mas à existência de contrato comercial para transporte de cargas. Nesses casos, </w:t>
      </w:r>
      <w:r>
        <w:rPr>
          <w:rFonts w:eastAsia="Arial" w:cs="Arial"/>
          <w:b/>
          <w:bCs/>
          <w:sz w:val="20"/>
          <w:szCs w:val="20"/>
        </w:rPr>
        <w:t xml:space="preserve">esta Corte Superior tem se manifestado no sentido de inexistir responsabilidade subsidiária, tendo em vista que não há intermediação de mão de obra</w:t>
      </w:r>
      <w:r>
        <w:rPr>
          <w:rFonts w:eastAsia="Arial" w:cs="Arial"/>
          <w:sz w:val="20"/>
          <w:szCs w:val="20"/>
        </w:rPr>
        <w:t xml:space="preserve">, tampouco se discute o direcionamento da atividade contratada, mas os meros efeitos de contrato de natureza civil, in casu, prestação de serviço de transporte de cargas, sendo indevida a aplicação da diretriz da Súmula nº 331/TST. Agravo de instrumento conhecido e não provido.” (AIRR-10802-84.2018.5.03.0077, 8ª Turma, Relatora Ministra Dora Maria da Costa, DEJT 08/11/2019)</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RESPONSABILIDADE SUBSIDIÁRIA - TRANSPORTE RODOVIÁRIO DE CARGAS.</w:t>
      </w:r>
      <w:r>
        <w:rPr>
          <w:rFonts w:eastAsia="Arial" w:cs="Arial"/>
          <w:sz w:val="20"/>
          <w:szCs w:val="20"/>
        </w:rPr>
        <w:t xml:space="preserve"> Não há responsabilidade subsidiária da empresa contratante de transporte rodoviário de carga em relação ao empregado da empresa de transporte contratada. </w:t>
      </w:r>
      <w:r>
        <w:rPr>
          <w:rFonts w:eastAsia="Arial" w:cs="Arial"/>
          <w:b/>
          <w:bCs/>
          <w:sz w:val="20"/>
          <w:szCs w:val="20"/>
        </w:rPr>
        <w:t xml:space="preserve">Não se identifica, na espécie, hipótese de terceirização de serviços.</w:t>
      </w:r>
      <w:r>
        <w:rPr>
          <w:rFonts w:eastAsia="Arial" w:cs="Arial"/>
          <w:sz w:val="20"/>
          <w:szCs w:val="20"/>
        </w:rPr>
        <w:t xml:space="preserve"> Precedentes. Recurso de Revista conhecido e provido.” (ARR-21468-74.2017.5.04.0232, 8ª Turma, Relatora Ministra Maria Cristina Irigoyen Peduzzi, DEJT 25/10/2019)</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RESPONSABILIDADE SUBSIDIÁRIA. CONTRATO DE PRESTAÇÃO DE SERVIÇO DE TRANSPORTE DE CARGAS. SÚMULA 331 DO TST. APLICABILIDADE.</w:t>
      </w:r>
      <w:r>
        <w:rPr>
          <w:rFonts w:eastAsia="Arial" w:cs="Arial"/>
          <w:sz w:val="20"/>
          <w:szCs w:val="20"/>
        </w:rPr>
        <w:t xml:space="preserve"> Trata-se de hipótese de contrato de natureza comercial celebrado entre as reclamadas para a prestação de serviços de transporte e não terceirização da mão de obra. Nesses casos, </w:t>
      </w:r>
      <w:r>
        <w:rPr>
          <w:rFonts w:eastAsia="Arial" w:cs="Arial"/>
          <w:b/>
          <w:bCs/>
          <w:sz w:val="20"/>
          <w:szCs w:val="20"/>
        </w:rPr>
        <w:t xml:space="preserve">entende-se ser inaplicável o entendimento consagrado na Súmula 331, IV, do TST</w:t>
      </w:r>
      <w:r>
        <w:rPr>
          <w:rFonts w:eastAsia="Arial" w:cs="Arial"/>
          <w:sz w:val="20"/>
          <w:szCs w:val="20"/>
        </w:rPr>
        <w:t xml:space="preserve">. Nesse sentido, julgados da 5ª e 8ª Turmas. Recurso de revista conhecido e provido.” (ARR-190-87.2015.5.03.0111, 8ª Turma, Relator Ministro Márcio Eurico Vitral Amaro, DEJT 09/08/2019)</w:t>
      </w:r>
    </w:p>
    <w:p>
      <w:pPr>
        <w:pStyle w:val="Normal"/>
        <w:spacing w:lineRule="exact" w:line="360" w:before="0" w:after="120"/>
        <w:ind w:firstLine="1701"/>
        <w:jc w:val="both"/>
        <w:rPr/>
      </w:pPr>
      <w:r>
        <w:rPr>
          <w:rFonts w:eastAsia="Arial" w:cs="Arial"/>
          <w:sz w:val="22"/>
          <w:szCs w:val="22"/>
        </w:rPr>
        <w:t xml:space="preserve">No mesmo diapasão: RR-1001478-09.2015.5.02.0361 (6ª Turma, Rel. Min. Aloysio Corrêa da Veiga, DEJT 14/02/2020) e AIRR-2690-28.2013.5.02.0046 (5ª Turma, Rel. Min. Douglas Alencar Rodrigues, DEJT 06/09/2019).</w:t>
      </w:r>
    </w:p>
    <w:p>
      <w:pPr>
        <w:pStyle w:val="Normal"/>
        <w:spacing w:lineRule="exact" w:line="360" w:before="0" w:after="120"/>
        <w:ind w:firstLine="1701"/>
        <w:jc w:val="both"/>
        <w:rPr/>
      </w:pPr>
      <w:r>
        <w:rPr>
          <w:rFonts w:eastAsia="Arial" w:cs="Arial"/>
          <w:sz w:val="22"/>
          <w:szCs w:val="22"/>
        </w:rPr>
        <w:t xml:space="preserve">Registre-se, por fim, que a r. sentença </w:t>
      </w:r>
      <w:r>
        <w:rPr>
          <w:rFonts w:eastAsia="Arial" w:cs="Arial"/>
          <w:b/>
          <w:bCs/>
          <w:sz w:val="22"/>
          <w:szCs w:val="22"/>
        </w:rPr>
        <w:t xml:space="preserve">não afirmou — porque não havia prova disso — que a 1ª Reclamada prestasse serviços exclusivamente à Recorrente</w:t>
      </w:r>
      <w:r>
        <w:rPr>
          <w:rFonts w:eastAsia="Arial" w:cs="Arial"/>
          <w:sz w:val="22"/>
          <w:szCs w:val="22"/>
        </w:rPr>
        <w:t xml:space="preserve">. Ao contrário, no capítulo “4 – FUNÇÃO CONTRATADA”, a r. sentença consignou a alegação, não infirmada, de que o Recorrido foi contratado “para executar transporte rodoviário de cargas em rotas previamente definidas, </w:t>
      </w:r>
      <w:r>
        <w:rPr>
          <w:rFonts w:eastAsia="Arial" w:cs="Arial"/>
          <w:b/>
          <w:bCs/>
          <w:sz w:val="22"/>
          <w:szCs w:val="22"/>
        </w:rPr>
        <w:t xml:space="preserve">em atendimento aos seus clientes</w:t>
      </w:r>
      <w:r>
        <w:rPr>
          <w:rFonts w:eastAsia="Arial" w:cs="Arial"/>
          <w:sz w:val="22"/>
          <w:szCs w:val="22"/>
        </w:rPr>
        <w:t xml:space="preserve">, inclusive a segunda reclamada”, e expressamente deixou de decidir a questão da exclusividade naquele tópico. No capítulo da responsabilidade, contudo, a exclusividade foi simplesmente pressuposta, sem qualquer fundamentação de fato, quando o ônus de demonstrá-la era do Recorrido, por se tratar de fato constitutivo do direito postulado (art. 818, I, da CLT, e art. 373, I, do CPC).</w:t>
      </w:r>
    </w:p>
    <w:p>
      <w:pPr>
        <w:pStyle w:val="Normal"/>
        <w:spacing w:lineRule="exact" w:line="360" w:before="0" w:after="120"/>
        <w:ind w:firstLine="1701"/>
        <w:jc w:val="both"/>
        <w:rPr/>
      </w:pPr>
      <w:r>
        <w:rPr>
          <w:rFonts w:eastAsia="Arial" w:cs="Arial"/>
          <w:sz w:val="22"/>
          <w:szCs w:val="22"/>
        </w:rPr>
        <w:t xml:space="preserve">Ausente a terceirização, </w:t>
      </w:r>
      <w:r>
        <w:rPr>
          <w:rFonts w:eastAsia="Arial" w:cs="Arial"/>
          <w:b/>
          <w:bCs/>
          <w:sz w:val="22"/>
          <w:szCs w:val="22"/>
        </w:rPr>
        <w:t xml:space="preserve">falece o próprio fundamento normativo da condenação</w:t>
      </w:r>
      <w:r>
        <w:rPr>
          <w:rFonts w:eastAsia="Arial" w:cs="Arial"/>
          <w:sz w:val="22"/>
          <w:szCs w:val="22"/>
        </w:rPr>
        <w:t xml:space="preserve">: não incide a Súmula nº 331 do C. TST, nem o art. 5º-A, § 5º, da Lei nº 6.019/1974, sendo indevida qualquer responsabilização, ainda que subsidiária, da Recorrente. Só isso basta ao provimento do recurso.</w:t>
      </w:r>
    </w:p>
    <w:p>
      <w:pPr>
        <w:pStyle w:val="Normal"/>
        <w:spacing w:lineRule="exact" w:line="360" w:before="200" w:after="120"/>
        <w:ind w:left="1701" w:hanging="0"/>
        <w:jc w:val="both"/>
        <w:rPr>
          <w:u w:val="single"/>
        </w:rPr>
      </w:pPr>
      <w:r>
        <w:rPr>
          <w:rFonts w:eastAsia="Arial" w:cs="Arial"/>
          <w:b/>
          <w:bCs/>
          <w:sz w:val="22"/>
          <w:szCs w:val="22"/>
          <w:u w:val="single"/>
        </w:rPr>
        <w:t xml:space="preserve">2 – AINDA QUE DE TERCEIRIZAÇÃO SE TRATASSE: DA VEDAÇÃO LEGAL DO ART. 77, § 1º, DA LEI Nº 13.303/2016 E DA ADC 16</w:t>
      </w:r>
    </w:p>
    <w:p>
      <w:pPr>
        <w:pStyle w:val="Normal"/>
        <w:spacing w:lineRule="exact" w:line="360" w:before="0" w:after="120"/>
        <w:ind w:firstLine="1701"/>
        <w:jc w:val="both"/>
        <w:rPr/>
      </w:pPr>
      <w:r>
        <w:rPr>
          <w:rFonts w:eastAsia="Arial" w:cs="Arial"/>
          <w:sz w:val="22"/>
          <w:szCs w:val="22"/>
        </w:rPr>
        <w:t xml:space="preserve">Superada, apenas por hipótese, a questão anterior, a condenação tampouco subsiste.</w:t>
      </w:r>
    </w:p>
    <w:p>
      <w:pPr>
        <w:pStyle w:val="Normal"/>
        <w:spacing w:lineRule="exact" w:line="360" w:before="0" w:after="120"/>
        <w:ind w:firstLine="1701"/>
        <w:jc w:val="both"/>
        <w:rPr/>
      </w:pPr>
      <w:r>
        <w:rPr>
          <w:rFonts w:eastAsia="Arial" w:cs="Arial"/>
          <w:sz w:val="22"/>
          <w:szCs w:val="22"/>
        </w:rPr>
        <w:t xml:space="preserve">A Recorrente é </w:t>
      </w:r>
      <w:r>
        <w:rPr>
          <w:rFonts w:eastAsia="Arial" w:cs="Arial"/>
          <w:b/>
          <w:bCs/>
          <w:sz w:val="22"/>
          <w:szCs w:val="22"/>
        </w:rPr>
        <w:t xml:space="preserve">empresa pública federal</w:t>
      </w:r>
      <w:r>
        <w:rPr>
          <w:rFonts w:eastAsia="Arial" w:cs="Arial"/>
          <w:sz w:val="22"/>
          <w:szCs w:val="22"/>
        </w:rPr>
        <w:t xml:space="preserve"> e contratou a 1ª Reclamada sob o regime da </w:t>
      </w:r>
      <w:r>
        <w:rPr>
          <w:rFonts w:eastAsia="Arial" w:cs="Arial"/>
          <w:b/>
          <w:bCs/>
          <w:sz w:val="22"/>
          <w:szCs w:val="22"/>
        </w:rPr>
        <w:t xml:space="preserve">Lei nº 13.303/2016</w:t>
      </w:r>
      <w:r>
        <w:rPr>
          <w:rFonts w:eastAsia="Arial" w:cs="Arial"/>
          <w:sz w:val="22"/>
          <w:szCs w:val="22"/>
        </w:rPr>
        <w:t xml:space="preserve">, cujo art. 77, § 1º, dispõe:</w:t>
      </w:r>
    </w:p>
    <w:p>
      <w:pPr>
        <w:pStyle w:val="Normal"/>
        <w:spacing w:lineRule="exact" w:line="240" w:before="100" w:after="160"/>
        <w:ind w:left="2268" w:hanging="0"/>
        <w:jc w:val="both"/>
        <w:rPr/>
      </w:pPr>
      <w:r>
        <w:rPr>
          <w:rFonts w:eastAsia="Arial" w:cs="Arial"/>
          <w:sz w:val="20"/>
          <w:szCs w:val="20"/>
        </w:rPr>
        <w:t xml:space="preserve">“Art. 77. O contratado é responsável pelos encargos trabalhistas, fiscais e comerciais resultantes da execução do contrato.</w:t>
      </w:r>
    </w:p>
    <w:p>
      <w:pPr>
        <w:pStyle w:val="Normal"/>
        <w:spacing w:lineRule="exact" w:line="240" w:before="100" w:after="160"/>
        <w:ind w:left="2268" w:hanging="0"/>
        <w:jc w:val="both"/>
        <w:rPr/>
      </w:pPr>
      <w:r>
        <w:rPr>
          <w:rFonts w:eastAsia="Arial" w:cs="Arial"/>
          <w:sz w:val="20"/>
          <w:szCs w:val="20"/>
        </w:rPr>
        <w:t xml:space="preserve">§ 1º </w:t>
      </w:r>
      <w:r>
        <w:rPr>
          <w:rFonts w:eastAsia="Arial" w:cs="Arial"/>
          <w:b/>
          <w:bCs/>
          <w:sz w:val="20"/>
          <w:szCs w:val="20"/>
        </w:rPr>
        <w:t xml:space="preserve">A inadimplência do contratado quanto aos encargos trabalhistas, fiscais e comerciais não transfere à empresa pública ou à sociedade de economia mista a responsabilidade por seu pagamento</w:t>
      </w:r>
      <w:r>
        <w:rPr>
          <w:rFonts w:eastAsia="Arial" w:cs="Arial"/>
          <w:sz w:val="20"/>
          <w:szCs w:val="20"/>
        </w:rPr>
        <w:t xml:space="preserve">, nem poderá onerar o objeto do contrato ou restringir a regularização e o uso das obras e edificações, inclusive perante o Registro de Imóveis.”</w:t>
      </w:r>
    </w:p>
    <w:p>
      <w:pPr>
        <w:pStyle w:val="Normal"/>
        <w:spacing w:lineRule="exact" w:line="360" w:before="0" w:after="120"/>
        <w:ind w:firstLine="1701"/>
        <w:jc w:val="both"/>
        <w:rPr/>
      </w:pPr>
      <w:r>
        <w:rPr>
          <w:rFonts w:eastAsia="Arial" w:cs="Arial"/>
          <w:sz w:val="22"/>
          <w:szCs w:val="22"/>
        </w:rPr>
        <w:t xml:space="preserve">Esse dispositivo — </w:t>
      </w:r>
      <w:r>
        <w:rPr>
          <w:rFonts w:eastAsia="Arial" w:cs="Arial"/>
          <w:b/>
          <w:bCs/>
          <w:sz w:val="22"/>
          <w:szCs w:val="22"/>
        </w:rPr>
        <w:t xml:space="preserve">norma específica aplicável à Recorrente, e sequer mencionado na fundamentação da r. sentença</w:t>
      </w:r>
      <w:r>
        <w:rPr>
          <w:rFonts w:eastAsia="Arial" w:cs="Arial"/>
          <w:sz w:val="22"/>
          <w:szCs w:val="22"/>
        </w:rPr>
        <w:t xml:space="preserve">, que se limitou a examinar o art. 71, § 1º, da Lei nº 8.666/93 — reproduz integralmente o preceito cuja constitucionalidade o E. STF declarou, sem qualquer ressalva quanto à aplicabilidade, no julgamento da </w:t>
      </w:r>
      <w:r>
        <w:rPr>
          <w:rFonts w:eastAsia="Arial" w:cs="Arial"/>
          <w:b/>
          <w:bCs/>
          <w:sz w:val="22"/>
          <w:szCs w:val="22"/>
        </w:rPr>
        <w:t xml:space="preserve">ADC 16</w:t>
      </w:r>
      <w:r>
        <w:rPr>
          <w:rFonts w:eastAsia="Arial" w:cs="Arial"/>
          <w:sz w:val="22"/>
          <w:szCs w:val="22"/>
        </w:rPr>
        <w:t xml:space="preserve"> (Plenário, Rel. Min. Cezar Peluso, 24/11/2010).</w:t>
      </w:r>
    </w:p>
    <w:p>
      <w:pPr>
        <w:pStyle w:val="Normal"/>
        <w:spacing w:lineRule="exact" w:line="360" w:before="0" w:after="120"/>
        <w:ind w:firstLine="1701"/>
        <w:jc w:val="both"/>
        <w:rPr/>
      </w:pPr>
      <w:r>
        <w:rPr>
          <w:rFonts w:eastAsia="Arial" w:cs="Arial"/>
          <w:sz w:val="22"/>
          <w:szCs w:val="22"/>
        </w:rPr>
        <w:t xml:space="preserve">Não se pode negar vigência a comando legal expresso com apoio em verbete de súmula, tanto mais quando o próprio E. STF, em decisão proferida em </w:t>
      </w:r>
      <w:r>
        <w:rPr>
          <w:rFonts w:eastAsia="Arial" w:cs="Arial"/>
          <w:b/>
          <w:bCs/>
          <w:sz w:val="22"/>
          <w:szCs w:val="22"/>
        </w:rPr>
        <w:t xml:space="preserve">reclamação movida por esta mesma Recorrente</w:t>
      </w:r>
      <w:r>
        <w:rPr>
          <w:rFonts w:eastAsia="Arial" w:cs="Arial"/>
          <w:sz w:val="22"/>
          <w:szCs w:val="22"/>
        </w:rPr>
        <w:t xml:space="preserve">, assentou a impossibilidade de responsabilização da Administração ainda quando fundada em suposta culpa </w:t>
      </w:r>
      <w:r>
        <w:rPr>
          <w:rFonts w:eastAsia="Arial" w:cs="Arial"/>
          <w:i/>
          <w:iCs/>
          <w:sz w:val="22"/>
          <w:szCs w:val="22"/>
        </w:rPr>
        <w:t xml:space="preserve">in vigilando</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“A decisão reclamada reconheceu a responsabilidade da Empresa Brasileira de Correios e Telégrafos - ECT na presente relação trabalhista, ao fundamento de que ficou demonstrada sua culpa </w:t>
      </w:r>
      <w:r>
        <w:rPr>
          <w:rFonts w:eastAsia="Arial" w:cs="Arial"/>
          <w:i/>
          <w:iCs/>
          <w:sz w:val="20"/>
          <w:szCs w:val="20"/>
        </w:rPr>
        <w:t xml:space="preserve">in vigilando</w:t>
      </w:r>
      <w:r>
        <w:rPr>
          <w:rFonts w:eastAsia="Arial" w:cs="Arial"/>
          <w:sz w:val="20"/>
          <w:szCs w:val="20"/>
        </w:rPr>
        <w:t xml:space="preserve">, nos termos do item V da Súmula 331 do TST. (...)</w:t>
      </w:r>
    </w:p>
    <w:p>
      <w:pPr>
        <w:pStyle w:val="Normal"/>
        <w:spacing w:lineRule="exact" w:line="240" w:before="100" w:after="160"/>
        <w:ind w:left="2268" w:hanging="0"/>
        <w:jc w:val="both"/>
        <w:rPr/>
      </w:pPr>
      <w:r>
        <w:rPr>
          <w:rFonts w:eastAsia="Arial" w:cs="Arial"/>
          <w:b/>
          <w:bCs/>
          <w:sz w:val="20"/>
          <w:szCs w:val="20"/>
        </w:rPr>
        <w:t xml:space="preserve">Não há dúvidas, portanto, de que a referida decisão encerra contrariedade ao quanto disposto no julgamento da ADC 16</w:t>
      </w:r>
      <w:r>
        <w:rPr>
          <w:rFonts w:eastAsia="Arial" w:cs="Arial"/>
          <w:sz w:val="20"/>
          <w:szCs w:val="20"/>
        </w:rPr>
        <w:t xml:space="preserve">, que julgou constitucional o art. 71, § 1º, da Lei 8.666/93, sem tecer qualquer ressalva acerca de sua aplicabilidade.</w:t>
      </w:r>
    </w:p>
    <w:p>
      <w:pPr>
        <w:pStyle w:val="Normal"/>
        <w:spacing w:lineRule="exact" w:line="240" w:before="100" w:after="160"/>
        <w:ind w:left="2268" w:hanging="0"/>
        <w:jc w:val="both"/>
        <w:rPr/>
      </w:pPr>
      <w:r>
        <w:rPr>
          <w:rFonts w:eastAsia="Arial" w:cs="Arial"/>
          <w:sz w:val="20"/>
          <w:szCs w:val="20"/>
        </w:rPr>
        <w:t xml:space="preserve">O referido preceito dispõe sobre a </w:t>
      </w:r>
      <w:r>
        <w:rPr>
          <w:rFonts w:eastAsia="Arial" w:cs="Arial"/>
          <w:b/>
          <w:bCs/>
          <w:sz w:val="20"/>
          <w:szCs w:val="20"/>
        </w:rPr>
        <w:t xml:space="preserve">impossibilidade jurídica de transferência de responsabilidade à Administração Pública de encargos decorrentes do não cumprimento, pelo contratado, de obrigações trabalhistas</w:t>
      </w:r>
      <w:r>
        <w:rPr>
          <w:rFonts w:eastAsia="Arial" w:cs="Arial"/>
          <w:sz w:val="20"/>
          <w:szCs w:val="20"/>
        </w:rPr>
        <w:t xml:space="preserve">, fiscais ou comerciais.</w:t>
      </w:r>
    </w:p>
    <w:p>
      <w:pPr>
        <w:pStyle w:val="Normal"/>
        <w:spacing w:lineRule="exact" w:line="240" w:before="100" w:after="160"/>
        <w:ind w:left="2268" w:hanging="0"/>
        <w:jc w:val="both"/>
        <w:rPr/>
      </w:pPr>
      <w:r>
        <w:rPr>
          <w:rFonts w:eastAsia="Arial" w:cs="Arial"/>
          <w:sz w:val="20"/>
          <w:szCs w:val="20"/>
        </w:rPr>
        <w:t xml:space="preserve">Ante o exposto, julgo procedente a reclamação (...) </w:t>
      </w:r>
      <w:r>
        <w:rPr>
          <w:rFonts w:eastAsia="Arial" w:cs="Arial"/>
          <w:b/>
          <w:bCs/>
          <w:sz w:val="20"/>
          <w:szCs w:val="20"/>
        </w:rPr>
        <w:t xml:space="preserve">para cassar a sentença reclamada</w:t>
      </w:r>
      <w:r>
        <w:rPr>
          <w:rFonts w:eastAsia="Arial" w:cs="Arial"/>
          <w:sz w:val="20"/>
          <w:szCs w:val="20"/>
        </w:rPr>
        <w:t xml:space="preserve"> (...) no ponto em que reconheceu a responsabilidade subsidiária da Empresa Brasileira de Correios e Telégrafo – ECT em face do inadimplemento de obrigações trabalhistas por empresa contratada para a prestação de serviços.” (STF – Reclamação 17.402/SP; Relator Ministro Gilmar Mendes; Julgamento: 18/03/2014) – d.n.</w:t>
      </w:r>
    </w:p>
    <w:p>
      <w:pPr>
        <w:pStyle w:val="Normal"/>
        <w:spacing w:lineRule="exact" w:line="360" w:before="0" w:after="120"/>
        <w:ind w:firstLine="1701"/>
        <w:jc w:val="both"/>
        <w:rPr/>
      </w:pPr>
      <w:r>
        <w:rPr>
          <w:rFonts w:eastAsia="Arial" w:cs="Arial"/>
          <w:sz w:val="22"/>
          <w:szCs w:val="22"/>
        </w:rPr>
        <w:t xml:space="preserve">No mesmo sentido, e de forma reiterada, a Reclamação 16.842/RJ (Rel. Min. Ricardo Lewandowski, j. 11/03/2014), a Rcl 9.894-AgR/RO (Rel. Min. Gilmar Mendes) e a Rcl 19871/RJ (Rel. Min. Dias Toffoli, j. 23/03/2015), nesta última se advertindo que “</w:t>
      </w:r>
      <w:r>
        <w:rPr>
          <w:rFonts w:eastAsia="Arial" w:cs="Arial"/>
          <w:b/>
          <w:bCs/>
          <w:sz w:val="22"/>
          <w:szCs w:val="22"/>
        </w:rPr>
        <w:t xml:space="preserve">a adoção, em sentença ou acórdão, de fundamentos dotados de caráter de generalidade evidencia a postura da Justiça do Trabalho em persistir em entendimento cujo resultado essa Suprema Corte pretendeu afastar com o julgamento da ação paradigma</w:t>
      </w:r>
      <w:r>
        <w:rPr>
          <w:rFonts w:eastAsia="Arial" w:cs="Arial"/>
          <w:sz w:val="22"/>
          <w:szCs w:val="22"/>
        </w:rPr>
        <w:t xml:space="preserve">”, e que “somente nos casos em que se lograr </w:t>
      </w:r>
      <w:r>
        <w:rPr>
          <w:rFonts w:eastAsia="Arial" w:cs="Arial"/>
          <w:b/>
          <w:bCs/>
          <w:sz w:val="22"/>
          <w:szCs w:val="22"/>
        </w:rPr>
        <w:t xml:space="preserve">comprovar</w:t>
      </w:r>
      <w:r>
        <w:rPr>
          <w:rFonts w:eastAsia="Arial" w:cs="Arial"/>
          <w:sz w:val="22"/>
          <w:szCs w:val="22"/>
        </w:rPr>
        <w:t xml:space="preserve"> terem sido os atos administrativos praticados em desconformidade com a lei e </w:t>
      </w:r>
      <w:r>
        <w:rPr>
          <w:rFonts w:eastAsia="Arial" w:cs="Arial"/>
          <w:b/>
          <w:bCs/>
          <w:sz w:val="22"/>
          <w:szCs w:val="22"/>
        </w:rPr>
        <w:t xml:space="preserve">aptos a interferir no direito pleiteado pelo trabalhador</w:t>
      </w:r>
      <w:r>
        <w:rPr>
          <w:rFonts w:eastAsia="Arial" w:cs="Arial"/>
          <w:sz w:val="22"/>
          <w:szCs w:val="22"/>
        </w:rPr>
        <w:t xml:space="preserve"> poderá o Poder Público ser responsabilizado, no limite de sua culpa”.</w:t>
      </w:r>
    </w:p>
    <w:p>
      <w:pPr>
        <w:pStyle w:val="Normal"/>
        <w:spacing w:lineRule="exact" w:line="360" w:before="200" w:after="120"/>
        <w:ind w:left="1701" w:hanging="0"/>
        <w:jc w:val="both"/>
        <w:rPr>
          <w:u w:val="single"/>
        </w:rPr>
      </w:pPr>
      <w:r>
        <w:rPr>
          <w:rFonts w:eastAsia="Arial" w:cs="Arial"/>
          <w:b/>
          <w:bCs/>
          <w:sz w:val="22"/>
          <w:szCs w:val="22"/>
          <w:u w:val="single"/>
        </w:rPr>
        <w:t xml:space="preserve">3 – DA FUNDAMENTAÇÃO CIRCULAR DA R. SENTENÇA. CULPA </w:t>
      </w:r>
      <w:r>
        <w:rPr>
          <w:rFonts w:eastAsia="Arial" w:cs="Arial"/>
          <w:b/>
          <w:bCs/>
          <w:i/>
          <w:iCs/>
          <w:sz w:val="22"/>
          <w:szCs w:val="22"/>
          <w:u w:val="single"/>
        </w:rPr>
        <w:t xml:space="preserve">IN VIGILANDO</w:t>
      </w:r>
      <w:r>
        <w:rPr>
          <w:rFonts w:eastAsia="Arial" w:cs="Arial"/>
          <w:b/>
          <w:bCs/>
          <w:sz w:val="22"/>
          <w:szCs w:val="22"/>
          <w:u w:val="single"/>
        </w:rPr>
        <w:t xml:space="preserve"> PRESUMIDA A PARTIR DO PRÓPRIO INADIMPLEMENTO. INVERSÃO INDEVIDA DO ÔNUS DA PROVA. RE 760.931 (TEMA 246) E TEMA 1.118 DO E. STF</w:t>
      </w:r>
    </w:p>
    <w:p>
      <w:pPr>
        <w:pStyle w:val="Normal"/>
        <w:spacing w:lineRule="exact" w:line="360" w:before="0" w:after="120"/>
        <w:ind w:firstLine="1701"/>
        <w:jc w:val="both"/>
        <w:rPr/>
      </w:pPr>
      <w:r>
        <w:rPr>
          <w:rFonts w:eastAsia="Arial" w:cs="Arial"/>
          <w:sz w:val="22"/>
          <w:szCs w:val="22"/>
        </w:rPr>
        <w:t xml:space="preserve">Este é o vício central do capítulo recorrido, e é de tal ordem que se revela na simples leitura da r. sentença.</w:t>
      </w:r>
    </w:p>
    <w:p>
      <w:pPr>
        <w:pStyle w:val="Normal"/>
        <w:spacing w:lineRule="exact" w:line="360" w:before="0" w:after="120"/>
        <w:ind w:firstLine="1701"/>
        <w:jc w:val="both"/>
        <w:rPr/>
      </w:pPr>
      <w:r>
        <w:rPr>
          <w:rFonts w:eastAsia="Arial" w:cs="Arial"/>
          <w:sz w:val="22"/>
          <w:szCs w:val="22"/>
        </w:rPr>
        <w:t xml:space="preserve">O d. Juízo </w:t>
      </w:r>
      <w:r>
        <w:rPr>
          <w:rFonts w:eastAsia="Arial" w:cs="Arial"/>
          <w:i/>
          <w:iCs/>
          <w:sz w:val="22"/>
          <w:szCs w:val="22"/>
        </w:rPr>
        <w:t xml:space="preserve">a quo</w:t>
      </w:r>
      <w:r>
        <w:rPr>
          <w:rFonts w:eastAsia="Arial" w:cs="Arial"/>
          <w:sz w:val="22"/>
          <w:szCs w:val="22"/>
        </w:rPr>
        <w:t xml:space="preserve"> </w:t>
      </w:r>
      <w:r>
        <w:rPr>
          <w:rFonts w:eastAsia="Arial" w:cs="Arial"/>
          <w:b/>
          <w:bCs/>
          <w:sz w:val="22"/>
          <w:szCs w:val="22"/>
        </w:rPr>
        <w:t xml:space="preserve">enunciou corretamente a premissa</w:t>
      </w:r>
      <w:r>
        <w:rPr>
          <w:rFonts w:eastAsia="Arial" w:cs="Arial"/>
          <w:sz w:val="22"/>
          <w:szCs w:val="22"/>
        </w:rPr>
        <w:t xml:space="preserve"> aplicável:</w:t>
      </w:r>
    </w:p>
    <w:p>
      <w:pPr>
        <w:pStyle w:val="Normal"/>
        <w:spacing w:lineRule="exact" w:line="240" w:before="100" w:after="160"/>
        <w:ind w:left="2268" w:hanging="0"/>
        <w:jc w:val="both"/>
        <w:rPr/>
      </w:pPr>
      <w:r>
        <w:rPr>
          <w:rFonts w:eastAsia="Arial" w:cs="Arial"/>
          <w:sz w:val="20"/>
          <w:szCs w:val="20"/>
        </w:rPr>
        <w:t xml:space="preserve">“[TRANSCREVER O TRECHO EM QUE A SENTENÇA ENUNCIA A PREMISSA CORRETA — que a responsabilidade subsidiária não decorre do mero inadimplemento e pressupõe a comprovação de conduta culposa]”</w:t>
      </w:r>
    </w:p>
    <w:p>
      <w:pPr>
        <w:pStyle w:val="Normal"/>
        <w:spacing w:lineRule="exact" w:line="360" w:before="0" w:after="120"/>
        <w:ind w:firstLine="1701"/>
        <w:jc w:val="both"/>
        <w:rPr/>
      </w:pPr>
      <w:r>
        <w:rPr>
          <w:rFonts w:eastAsia="Arial" w:cs="Arial"/>
          <w:sz w:val="22"/>
          <w:szCs w:val="22"/>
        </w:rPr>
        <w:t xml:space="preserve">E, no parágrafo imediatamente seguinte, </w:t>
      </w:r>
      <w:r>
        <w:rPr>
          <w:rFonts w:eastAsia="Arial" w:cs="Arial"/>
          <w:b/>
          <w:bCs/>
          <w:sz w:val="22"/>
          <w:szCs w:val="22"/>
        </w:rPr>
        <w:t xml:space="preserve">decidiu exatamente contra a premissa que acabara de fixar</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“[TRANSCREVER, NA SEQUÊNCIA, O TRECHO EM QUE A SENTENÇA DEDUZ A CULPA DAS PRÓPRIAS IRREGULARIDADES QUE RECONHECEU — é a justaposição dos dois trechos que demonstra a circularidade]”</w:t>
      </w:r>
    </w:p>
    <w:p>
      <w:pPr>
        <w:pStyle w:val="Normal"/>
        <w:spacing w:lineRule="exact" w:line="360" w:before="0" w:after="120"/>
        <w:ind w:firstLine="1701"/>
        <w:jc w:val="both"/>
        <w:rPr/>
      </w:pPr>
      <w:r>
        <w:rPr>
          <w:rFonts w:eastAsia="Arial" w:cs="Arial"/>
          <w:sz w:val="22"/>
          <w:szCs w:val="22"/>
        </w:rPr>
        <w:t xml:space="preserve">A estrutura do raciocínio é, portanto, </w:t>
      </w:r>
      <w:r>
        <w:rPr>
          <w:rFonts w:eastAsia="Arial" w:cs="Arial"/>
          <w:b/>
          <w:bCs/>
          <w:sz w:val="22"/>
          <w:szCs w:val="22"/>
        </w:rPr>
        <w:t xml:space="preserve">inteiramente circular</w:t>
      </w:r>
      <w:r>
        <w:rPr>
          <w:rFonts w:eastAsia="Arial" w:cs="Arial"/>
          <w:sz w:val="22"/>
          <w:szCs w:val="22"/>
        </w:rPr>
        <w:t xml:space="preserve">: a culpa da Recorrente foi deduzida das próprias parcelas deferidas na condenação. Se as verbas foram deferidas, a fiscalização foi insuficiente; se a fiscalização foi insuficiente, a Recorrente responde pelas verbas deferidas. </w:t>
      </w:r>
      <w:r>
        <w:rPr>
          <w:rFonts w:eastAsia="Arial" w:cs="Arial"/>
          <w:b/>
          <w:bCs/>
          <w:sz w:val="22"/>
          <w:szCs w:val="22"/>
        </w:rPr>
        <w:t xml:space="preserve">Nada, absolutamente nada, foi apontado como conduta concreta, omissiva ou comissiva, imputável à Recorrente</w:t>
      </w:r>
      <w:r>
        <w:rPr>
          <w:rFonts w:eastAsia="Arial" w:cs="Arial"/>
          <w:sz w:val="22"/>
          <w:szCs w:val="22"/>
        </w:rPr>
        <w:t xml:space="preserve">, nem se demonstrou qualquer nexo de causalidade entre uma tal conduta e o inadimplemento.</w:t>
      </w:r>
    </w:p>
    <w:p>
      <w:pPr>
        <w:pStyle w:val="Normal"/>
        <w:spacing w:lineRule="exact" w:line="360" w:before="0" w:after="120"/>
        <w:ind w:firstLine="1701"/>
        <w:jc w:val="both"/>
        <w:rPr/>
      </w:pPr>
      <w:r>
        <w:rPr>
          <w:rFonts w:eastAsia="Arial" w:cs="Arial"/>
          <w:sz w:val="22"/>
          <w:szCs w:val="22"/>
        </w:rPr>
        <w:t xml:space="preserve">É precisamente esse silogismo que o E. STF proscreveu ao julgar o </w:t>
      </w:r>
      <w:r>
        <w:rPr>
          <w:rFonts w:eastAsia="Arial" w:cs="Arial"/>
          <w:b/>
          <w:bCs/>
          <w:sz w:val="22"/>
          <w:szCs w:val="22"/>
        </w:rPr>
        <w:t xml:space="preserve">RE 760.931 (Tema 246 da repercussão geral)</w:t>
      </w:r>
      <w:r>
        <w:rPr>
          <w:rFonts w:eastAsia="Arial" w:cs="Arial"/>
          <w:sz w:val="22"/>
          <w:szCs w:val="22"/>
        </w:rPr>
        <w:t xml:space="preserve">, fixando a tese de que:</w:t>
      </w: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O inadimplemento dos encargos trabalhistas dos empregados do contratado não transfere automaticamente ao Poder Público contratante a responsabilidade pelo seu pagamento, seja em caráter solidário ou subsidiário, nos termos do art. 71, § 1º, da Lei nº 8.666/93.</w:t>
      </w:r>
      <w:r>
        <w:rPr>
          <w:rFonts w:eastAsia="Arial" w:cs="Arial"/>
          <w:sz w:val="20"/>
          <w:szCs w:val="20"/>
        </w:rPr>
        <w:t xml:space="preserve">”</w:t>
      </w:r>
    </w:p>
    <w:p>
      <w:pPr>
        <w:pStyle w:val="Normal"/>
        <w:spacing w:lineRule="exact" w:line="360" w:before="0" w:after="120"/>
        <w:ind w:firstLine="1701"/>
        <w:jc w:val="both"/>
        <w:rPr/>
      </w:pPr>
      <w:r>
        <w:rPr>
          <w:rFonts w:eastAsia="Arial" w:cs="Arial"/>
          <w:sz w:val="22"/>
          <w:szCs w:val="22"/>
        </w:rPr>
        <w:t xml:space="preserve">E, ao aplicar reiteradamente essa tese, a Suprema Corte tem sido explícita quanto à </w:t>
      </w:r>
      <w:r>
        <w:rPr>
          <w:rFonts w:eastAsia="Arial" w:cs="Arial"/>
          <w:b/>
          <w:bCs/>
          <w:sz w:val="22"/>
          <w:szCs w:val="22"/>
        </w:rPr>
        <w:t xml:space="preserve">inadmissibilidade da culpa presumida</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“Agravo regimental em reclamação. 2. Responsabilidade subsidiária da Administração Pública. Afastamento da aplicação da norma do art. 71, § 1º, da Lei 8.666/1993. Ofensa ao decidido na ADC 16/DF. 3. Violação à autoridade da Súmula Vinculante 10. 4. </w:t>
      </w:r>
      <w:r>
        <w:rPr>
          <w:rFonts w:eastAsia="Arial" w:cs="Arial"/>
          <w:b/>
          <w:bCs/>
          <w:sz w:val="20"/>
          <w:szCs w:val="20"/>
        </w:rPr>
        <w:t xml:space="preserve">Atribuição de culpa à Administração Pública por presunção. Inadmissibilidade. Necessidade de prova inequívoca da conduta omissiva ou comissiva na fiscalização dos contratos.</w:t>
      </w:r>
      <w:r>
        <w:rPr>
          <w:rFonts w:eastAsia="Arial" w:cs="Arial"/>
          <w:sz w:val="20"/>
          <w:szCs w:val="20"/>
        </w:rPr>
        <w:t xml:space="preserve"> 5. Agravo regimental provido.” (Rcl 34.168-AgR, Redator para o acórdão Min. Gilmar Mendes, Segunda Turma, DJe de 17/11/2020)</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 2. Por ocasião do julgamento do RE 760.931, sob a sistemática da Repercussão Geral, o Plenário desta SUPREMA CORTE afirmou que </w:t>
      </w:r>
      <w:r>
        <w:rPr>
          <w:rFonts w:eastAsia="Arial" w:cs="Arial"/>
          <w:b/>
          <w:bCs/>
          <w:sz w:val="20"/>
          <w:szCs w:val="20"/>
        </w:rPr>
        <w:t xml:space="preserve">inexiste responsabilidade do Estado por débitos trabalhistas de terceiros, alavancada pela premissa da inversão do ônus da prova em favor do trabalhador</w:t>
      </w:r>
      <w:r>
        <w:rPr>
          <w:rFonts w:eastAsia="Arial" w:cs="Arial"/>
          <w:sz w:val="20"/>
          <w:szCs w:val="20"/>
        </w:rPr>
        <w:t xml:space="preserve">. 3. No caso sob exame, </w:t>
      </w:r>
      <w:r>
        <w:rPr>
          <w:rFonts w:eastAsia="Arial" w:cs="Arial"/>
          <w:b/>
          <w:bCs/>
          <w:sz w:val="20"/>
          <w:szCs w:val="20"/>
        </w:rPr>
        <w:t xml:space="preserve">não houve a comprovação real de um comportamento sistematicamente negligente</w:t>
      </w:r>
      <w:r>
        <w:rPr>
          <w:rFonts w:eastAsia="Arial" w:cs="Arial"/>
          <w:sz w:val="20"/>
          <w:szCs w:val="20"/>
        </w:rPr>
        <w:t xml:space="preserve"> da agravante, tampouco há prova do nexo de causalidade entre a conduta comissiva ou omissiva do Poder Público e o dano sofrido pelo trabalhador, </w:t>
      </w:r>
      <w:r>
        <w:rPr>
          <w:rFonts w:eastAsia="Arial" w:cs="Arial"/>
          <w:b/>
          <w:bCs/>
          <w:sz w:val="20"/>
          <w:szCs w:val="20"/>
        </w:rPr>
        <w:t xml:space="preserve">a revelar presunção de responsabilidade</w:t>
      </w:r>
      <w:r>
        <w:rPr>
          <w:rFonts w:eastAsia="Arial" w:cs="Arial"/>
          <w:sz w:val="20"/>
          <w:szCs w:val="20"/>
        </w:rPr>
        <w:t xml:space="preserve"> (...), conclusão não admitida por esta CORTE quando do julgamento da ADC 16. 4. Recurso de agravo ao qual se dá provimento, afastando, desde já, a responsabilidade da parte recorrente.” (Rcl 40.652-AgR, Redator para o Acórdão Min. Alexandre de Moraes, Primeira Turma, DJe de 5/11/2020)</w:t>
      </w:r>
    </w:p>
    <w:p>
      <w:pPr>
        <w:pStyle w:val="Normal"/>
        <w:spacing w:lineRule="exact" w:line="240" w:before="100" w:after="160"/>
        <w:ind w:left="2268" w:hanging="0"/>
        <w:jc w:val="both"/>
        <w:rPr/>
      </w:pPr>
    </w:p>
    <w:p>
      <w:pPr>
        <w:pStyle w:val="Normal"/>
        <w:spacing w:lineRule="exact" w:line="240" w:before="100" w:after="160"/>
        <w:ind w:left="2268" w:hanging="0"/>
        <w:jc w:val="both"/>
        <w:rPr/>
      </w:pPr>
      <w:r>
        <w:rPr>
          <w:rFonts w:eastAsia="Arial" w:cs="Arial"/>
          <w:sz w:val="20"/>
          <w:szCs w:val="20"/>
        </w:rPr>
        <w:t xml:space="preserve">“(...) 2. Nesse contexto, </w:t>
      </w:r>
      <w:r>
        <w:rPr>
          <w:rFonts w:eastAsia="Arial" w:cs="Arial"/>
          <w:b/>
          <w:bCs/>
          <w:sz w:val="20"/>
          <w:szCs w:val="20"/>
        </w:rPr>
        <w:t xml:space="preserve">a responsabilização do ente público depende da demonstração de que ele possuía conhecimento da situação de ilegalidade e que, apesar disso, deixou de adotar as medidas necessárias para combatê-la</w:t>
      </w:r>
      <w:r>
        <w:rPr>
          <w:rFonts w:eastAsia="Arial" w:cs="Arial"/>
          <w:sz w:val="20"/>
          <w:szCs w:val="20"/>
        </w:rPr>
        <w:t xml:space="preserve">. 3. No caso dos autos, </w:t>
      </w:r>
      <w:r>
        <w:rPr>
          <w:rFonts w:eastAsia="Arial" w:cs="Arial"/>
          <w:b/>
          <w:bCs/>
          <w:sz w:val="20"/>
          <w:szCs w:val="20"/>
        </w:rPr>
        <w:t xml:space="preserve">a responsabilidade subsidiária do ente público encontra-se embasada exclusivamente na ausência de prova da fiscalização do contrato de terceirização</w:t>
      </w:r>
      <w:r>
        <w:rPr>
          <w:rFonts w:eastAsia="Arial" w:cs="Arial"/>
          <w:sz w:val="20"/>
          <w:szCs w:val="20"/>
        </w:rPr>
        <w:t xml:space="preserve"> (...). 5. Agravo interno desprovido.” (Rcl 26.674-AgR, Rel. Min. Roberto Barroso, Primeira Turma, DJe de 17/9/2019)</w:t>
      </w:r>
    </w:p>
    <w:p>
      <w:pPr>
        <w:pStyle w:val="Normal"/>
        <w:spacing w:lineRule="exact" w:line="360" w:before="0" w:after="120"/>
        <w:ind w:firstLine="1701"/>
        <w:jc w:val="both"/>
        <w:rPr/>
      </w:pPr>
      <w:r>
        <w:rPr>
          <w:rFonts w:eastAsia="Arial" w:cs="Arial"/>
          <w:sz w:val="22"/>
          <w:szCs w:val="22"/>
        </w:rPr>
        <w:t xml:space="preserve">Ora, a r. sentença fez precisamente o que esses precedentes vedam. Não apenas presumiu a culpa: </w:t>
      </w:r>
      <w:r>
        <w:rPr>
          <w:rFonts w:eastAsia="Arial" w:cs="Arial"/>
          <w:b/>
          <w:bCs/>
          <w:sz w:val="22"/>
          <w:szCs w:val="22"/>
        </w:rPr>
        <w:t xml:space="preserve">inverteu expressamente o ônus da prova</w:t>
      </w:r>
      <w:r>
        <w:rPr>
          <w:rFonts w:eastAsia="Arial" w:cs="Arial"/>
          <w:sz w:val="22"/>
          <w:szCs w:val="22"/>
        </w:rPr>
        <w:t xml:space="preserve">, ao concluir que “a segunda reclamada </w:t>
      </w:r>
      <w:r>
        <w:rPr>
          <w:rFonts w:eastAsia="Arial" w:cs="Arial"/>
          <w:b/>
          <w:bCs/>
          <w:sz w:val="22"/>
          <w:szCs w:val="22"/>
        </w:rPr>
        <w:t xml:space="preserve">não demonstrou</w:t>
      </w:r>
      <w:r>
        <w:rPr>
          <w:rFonts w:eastAsia="Arial" w:cs="Arial"/>
          <w:sz w:val="22"/>
          <w:szCs w:val="22"/>
        </w:rPr>
        <w:t xml:space="preserve"> ter exercido fiscalização suficientemente eficaz sobre o cumprimento das obrigações trabalhistas pela primeira reclamada, restando caracterizada a culpa </w:t>
      </w:r>
      <w:r>
        <w:rPr>
          <w:rFonts w:eastAsia="Arial" w:cs="Arial"/>
          <w:i/>
          <w:iCs/>
          <w:sz w:val="22"/>
          <w:szCs w:val="22"/>
        </w:rPr>
        <w:t xml:space="preserve">in vigilando</w:t>
      </w:r>
      <w:r>
        <w:rPr>
          <w:rFonts w:eastAsia="Arial" w:cs="Arial"/>
          <w:sz w:val="22"/>
          <w:szCs w:val="22"/>
        </w:rPr>
        <w:t xml:space="preserve">”.</w:t>
      </w:r>
    </w:p>
    <w:p>
      <w:pPr>
        <w:pStyle w:val="Normal"/>
        <w:spacing w:lineRule="exact" w:line="360" w:before="0" w:after="120"/>
        <w:ind w:firstLine="1701"/>
        <w:jc w:val="both"/>
        <w:rPr/>
      </w:pPr>
      <w:r>
        <w:rPr>
          <w:rFonts w:eastAsia="Arial" w:cs="Arial"/>
          <w:sz w:val="22"/>
          <w:szCs w:val="22"/>
        </w:rPr>
        <w:t xml:space="preserve">Com isso, negou-se vigência ao art. 818, I, da CLT, e ao art. 373, I, do CPC, que atribuem ao autor o ônus da prova do fato constitutivo do seu direito. E o fato constitutivo do direito à responsabilização subsidiária do ente público </w:t>
      </w:r>
      <w:r>
        <w:rPr>
          <w:rFonts w:eastAsia="Arial" w:cs="Arial"/>
          <w:b/>
          <w:bCs/>
          <w:sz w:val="22"/>
          <w:szCs w:val="22"/>
        </w:rPr>
        <w:t xml:space="preserve">é a conduta culposa deste</w:t>
      </w:r>
      <w:r>
        <w:rPr>
          <w:rFonts w:eastAsia="Arial" w:cs="Arial"/>
          <w:sz w:val="22"/>
          <w:szCs w:val="22"/>
        </w:rPr>
        <w:t xml:space="preserve">, não o inadimplemento da empregadora. Sintetizando o que decidido pelo E. STF no RE 760.931, assim já se pronunciou a 2ª Turma deste E. Regional (ROT 0024248-26.2020.5.24.0005; Relator: Juiz do Trabalho Convocado LUIZ DIVINO FERREIRA; julgado em 20/04/2021):</w:t>
      </w:r>
    </w:p>
    <w:p>
      <w:pPr>
        <w:pStyle w:val="Normal"/>
        <w:spacing w:lineRule="exact" w:line="240" w:before="100" w:after="160"/>
        <w:ind w:left="2268" w:hanging="0"/>
        <w:jc w:val="both"/>
        <w:rPr/>
      </w:pPr>
      <w:r>
        <w:rPr>
          <w:rFonts w:eastAsia="Arial" w:cs="Arial"/>
          <w:sz w:val="20"/>
          <w:szCs w:val="20"/>
        </w:rPr>
        <w:t xml:space="preserve">“a) Não é possível a transferência automática da responsabilidade do Poder Público pelo inadimplemento dos encargos trabalhistas não quitados pela empresa prestadora dos serviços, </w:t>
      </w:r>
      <w:r>
        <w:rPr>
          <w:rFonts w:eastAsia="Arial" w:cs="Arial"/>
          <w:b/>
          <w:bCs/>
          <w:sz w:val="20"/>
          <w:szCs w:val="20"/>
        </w:rPr>
        <w:t xml:space="preserve">sendo necessária a comprovação do nexo de causalidade</w:t>
      </w:r>
      <w:r>
        <w:rPr>
          <w:rFonts w:eastAsia="Arial" w:cs="Arial"/>
          <w:sz w:val="20"/>
          <w:szCs w:val="20"/>
        </w:rPr>
        <w:t xml:space="preserve"> entre o inadimplemento das obrigações trabalhistas e a conduta negligente dos integrantes da Administração Pública na fiscalização da prestadora de serviços;</w:t>
      </w:r>
    </w:p>
    <w:p>
      <w:pPr>
        <w:pStyle w:val="Normal"/>
        <w:spacing w:lineRule="exact" w:line="240" w:before="100" w:after="160"/>
        <w:ind w:left="2268" w:hanging="0"/>
        <w:jc w:val="both"/>
        <w:rPr/>
      </w:pPr>
      <w:r>
        <w:rPr>
          <w:rFonts w:eastAsia="Arial" w:cs="Arial"/>
          <w:sz w:val="20"/>
          <w:szCs w:val="20"/>
        </w:rPr>
        <w:t xml:space="preserve">b) </w:t>
      </w:r>
      <w:r>
        <w:rPr>
          <w:rFonts w:eastAsia="Arial" w:cs="Arial"/>
          <w:b/>
          <w:bCs/>
          <w:sz w:val="20"/>
          <w:szCs w:val="20"/>
        </w:rPr>
        <w:t xml:space="preserve">A eficiência da fiscalização não é fator relevante</w:t>
      </w:r>
      <w:r>
        <w:rPr>
          <w:rFonts w:eastAsia="Arial" w:cs="Arial"/>
          <w:sz w:val="20"/>
          <w:szCs w:val="20"/>
        </w:rPr>
        <w:t xml:space="preserve"> para a responsabilização da Administração Pública, que </w:t>
      </w:r>
      <w:r>
        <w:rPr>
          <w:rFonts w:eastAsia="Arial" w:cs="Arial"/>
          <w:b/>
          <w:bCs/>
          <w:sz w:val="20"/>
          <w:szCs w:val="20"/>
        </w:rPr>
        <w:t xml:space="preserve">se isenta de culpa com a fiscalização ainda que por amostragem</w:t>
      </w:r>
      <w:r>
        <w:rPr>
          <w:rFonts w:eastAsia="Arial" w:cs="Arial"/>
          <w:sz w:val="20"/>
          <w:szCs w:val="20"/>
        </w:rPr>
        <w:t xml:space="preserve">; e</w:t>
      </w:r>
    </w:p>
    <w:p>
      <w:pPr>
        <w:pStyle w:val="Normal"/>
        <w:spacing w:lineRule="exact" w:line="240" w:before="100" w:after="160"/>
        <w:ind w:left="2268" w:hanging="0"/>
        <w:jc w:val="both"/>
        <w:rPr/>
      </w:pPr>
      <w:r>
        <w:rPr>
          <w:rFonts w:eastAsia="Arial" w:cs="Arial"/>
          <w:sz w:val="20"/>
          <w:szCs w:val="20"/>
        </w:rPr>
        <w:t xml:space="preserve">c) </w:t>
      </w:r>
      <w:r>
        <w:rPr>
          <w:rFonts w:eastAsia="Arial" w:cs="Arial"/>
          <w:b/>
          <w:bCs/>
          <w:sz w:val="20"/>
          <w:szCs w:val="20"/>
        </w:rPr>
        <w:t xml:space="preserve">É do empregado o ônus de provar a conduta culposa da Administração Pública</w:t>
      </w:r>
      <w:r>
        <w:rPr>
          <w:rFonts w:eastAsia="Arial" w:cs="Arial"/>
          <w:sz w:val="20"/>
          <w:szCs w:val="20"/>
        </w:rPr>
        <w:t xml:space="preserve"> na fiscalização das empresas contratadas na forma da Lei nº 8.666/93.”</w:t>
      </w:r>
    </w:p>
    <w:p>
      <w:pPr>
        <w:pStyle w:val="Normal"/>
        <w:spacing w:lineRule="exact" w:line="360" w:before="0" w:after="120"/>
        <w:ind w:firstLine="1701"/>
        <w:jc w:val="both"/>
        <w:rPr/>
      </w:pPr>
      <w:r>
        <w:rPr>
          <w:rFonts w:eastAsia="Arial" w:cs="Arial"/>
          <w:sz w:val="22"/>
          <w:szCs w:val="22"/>
        </w:rPr>
        <w:t xml:space="preserve">Note-se a gravidade: a r. sentença não só inverteu o ônus da prova, como adotou </w:t>
      </w:r>
      <w:r>
        <w:rPr>
          <w:rFonts w:eastAsia="Arial" w:cs="Arial"/>
          <w:b/>
          <w:bCs/>
          <w:sz w:val="22"/>
          <w:szCs w:val="22"/>
        </w:rPr>
        <w:t xml:space="preserve">justamente o critério de eficiência que o E. STF declarou irrelevante</w:t>
      </w:r>
      <w:r>
        <w:rPr>
          <w:rFonts w:eastAsia="Arial" w:cs="Arial"/>
          <w:sz w:val="22"/>
          <w:szCs w:val="22"/>
        </w:rPr>
        <w:t xml:space="preserve">, exigindo fiscalização “suficientemente eficaz” e “apta a identificar irregularidades relevantes no cumprimento das obrigações trabalhistas”. A fiscalização, contudo, </w:t>
      </w:r>
      <w:r>
        <w:rPr>
          <w:rFonts w:eastAsia="Arial" w:cs="Arial"/>
          <w:b/>
          <w:bCs/>
          <w:sz w:val="22"/>
          <w:szCs w:val="22"/>
        </w:rPr>
        <w:t xml:space="preserve">isenta de culpa ainda que exercida por amostragem</w:t>
      </w:r>
      <w:r>
        <w:rPr>
          <w:rFonts w:eastAsia="Arial" w:cs="Arial"/>
          <w:sz w:val="22"/>
          <w:szCs w:val="22"/>
        </w:rPr>
        <w:t xml:space="preserve"> — de outro modo, todo inadimplemento da contratada implicaria, por definição, fiscalização ineficaz, e a responsabilidade do ente público seria sempre objetiva.</w:t>
      </w:r>
    </w:p>
    <w:p>
      <w:pPr>
        <w:pStyle w:val="Normal"/>
        <w:spacing w:lineRule="exact" w:line="360" w:before="0" w:after="120"/>
        <w:ind w:firstLine="1701"/>
        <w:jc w:val="both"/>
        <w:rPr/>
      </w:pPr>
      <w:r>
        <w:rPr>
          <w:rFonts w:eastAsia="Arial" w:cs="Arial"/>
          <w:sz w:val="22"/>
          <w:szCs w:val="22"/>
        </w:rPr>
        <w:t xml:space="preserve">Acresça-se que, conforme a tese proposta no </w:t>
      </w:r>
      <w:r>
        <w:rPr>
          <w:rFonts w:eastAsia="Arial" w:cs="Arial"/>
          <w:b/>
          <w:bCs/>
          <w:sz w:val="22"/>
          <w:szCs w:val="22"/>
        </w:rPr>
        <w:t xml:space="preserve">Tema 1.118</w:t>
      </w:r>
      <w:r>
        <w:rPr>
          <w:rFonts w:eastAsia="Arial" w:cs="Arial"/>
          <w:sz w:val="22"/>
          <w:szCs w:val="22"/>
        </w:rPr>
        <w:t xml:space="preserve"> da repercussão geral, “haverá comportamento negligente quando a Administração Pública </w:t>
      </w:r>
      <w:r>
        <w:rPr>
          <w:rFonts w:eastAsia="Arial" w:cs="Arial"/>
          <w:b/>
          <w:bCs/>
          <w:sz w:val="22"/>
          <w:szCs w:val="22"/>
        </w:rPr>
        <w:t xml:space="preserve">permanecer inerte após o recebimento de notificação formal</w:t>
      </w:r>
      <w:r>
        <w:rPr>
          <w:rFonts w:eastAsia="Arial" w:cs="Arial"/>
          <w:sz w:val="22"/>
          <w:szCs w:val="22"/>
        </w:rPr>
        <w:t xml:space="preserve"> de que a empresa contratada está descumprindo suas obrigações trabalhistas, enviada pelo trabalhador, sindicato, Ministério do Trabalho, Ministério Público, Defensoria Pública ou outro meio idôneo”. Nos presentes autos </w:t>
      </w:r>
      <w:r>
        <w:rPr>
          <w:rFonts w:eastAsia="Arial" w:cs="Arial"/>
          <w:b/>
          <w:bCs/>
          <w:sz w:val="22"/>
          <w:szCs w:val="22"/>
        </w:rPr>
        <w:t xml:space="preserve">não há notícia, alegação ou prova de qualquer notificação dessa natureza dirigida à Recorrente</w:t>
      </w:r>
      <w:r>
        <w:rPr>
          <w:rFonts w:eastAsia="Arial" w:cs="Arial"/>
          <w:sz w:val="22"/>
          <w:szCs w:val="22"/>
        </w:rPr>
        <w:t xml:space="preserve"> — o Recorrido jamais afirmou ter comunicado à ECT qualquer irregularidade, e a r. sentença nada consignou nesse sentido. Não houve, portanto, inércia diante de irregularidade conhecida: houve </w:t>
      </w:r>
      <w:r>
        <w:rPr>
          <w:rFonts w:eastAsia="Arial" w:cs="Arial"/>
          <w:b/>
          <w:bCs/>
          <w:sz w:val="22"/>
          <w:szCs w:val="22"/>
        </w:rPr>
        <w:t xml:space="preserve">ausência absoluta de conhecimento</w:t>
      </w:r>
      <w:r>
        <w:rPr>
          <w:rFonts w:eastAsia="Arial" w:cs="Arial"/>
          <w:sz w:val="22"/>
          <w:szCs w:val="22"/>
        </w:rPr>
        <w:t xml:space="preserve">, o que exclui a negligência.</w:t>
      </w:r>
    </w:p>
    <w:p>
      <w:pPr>
        <w:pStyle w:val="Normal"/>
        <w:spacing w:lineRule="exact" w:line="360" w:before="0" w:after="120"/>
        <w:ind w:firstLine="1701"/>
        <w:jc w:val="both"/>
        <w:rPr/>
      </w:pPr>
      <w:r>
        <w:rPr>
          <w:rFonts w:eastAsia="Arial" w:cs="Arial"/>
          <w:sz w:val="22"/>
          <w:szCs w:val="22"/>
        </w:rPr>
        <w:t xml:space="preserve">Por fim, mesmo o verbete em que se apoiou a r. sentença </w:t>
      </w:r>
      <w:r>
        <w:rPr>
          <w:rFonts w:eastAsia="Arial" w:cs="Arial"/>
          <w:b/>
          <w:bCs/>
          <w:sz w:val="22"/>
          <w:szCs w:val="22"/>
        </w:rPr>
        <w:t xml:space="preserve">infirma</w:t>
      </w:r>
      <w:r>
        <w:rPr>
          <w:rFonts w:eastAsia="Arial" w:cs="Arial"/>
          <w:sz w:val="22"/>
          <w:szCs w:val="22"/>
        </w:rPr>
        <w:t xml:space="preserve"> a conclusão a que chegou:</w:t>
      </w:r>
    </w:p>
    <w:p>
      <w:pPr>
        <w:pStyle w:val="Normal"/>
        <w:spacing w:lineRule="exact" w:line="240" w:before="100" w:after="160"/>
        <w:ind w:left="2268" w:hanging="0"/>
        <w:jc w:val="both"/>
        <w:rPr/>
      </w:pPr>
      <w:r>
        <w:rPr>
          <w:rFonts w:eastAsia="Arial" w:cs="Arial"/>
          <w:sz w:val="20"/>
          <w:szCs w:val="20"/>
        </w:rPr>
        <w:t xml:space="preserve">“</w:t>
      </w:r>
      <w:r>
        <w:rPr>
          <w:rFonts w:eastAsia="Arial" w:cs="Arial"/>
          <w:b/>
          <w:bCs/>
          <w:sz w:val="20"/>
          <w:szCs w:val="20"/>
        </w:rPr>
        <w:t xml:space="preserve">V</w:t>
      </w:r>
      <w:r>
        <w:rPr>
          <w:rFonts w:eastAsia="Arial" w:cs="Arial"/>
          <w:sz w:val="20"/>
          <w:szCs w:val="20"/>
        </w:rPr>
        <w:t xml:space="preserve"> - Os entes integrantes da Administração Pública direta e indireta respondem subsidiariamente, nas mesmas condições do item IV, </w:t>
      </w:r>
      <w:r>
        <w:rPr>
          <w:rFonts w:eastAsia="Arial" w:cs="Arial"/>
          <w:b/>
          <w:bCs/>
          <w:sz w:val="20"/>
          <w:szCs w:val="20"/>
        </w:rPr>
        <w:t xml:space="preserve">caso evidenciada a sua conduta culposa</w:t>
      </w:r>
      <w:r>
        <w:rPr>
          <w:rFonts w:eastAsia="Arial" w:cs="Arial"/>
          <w:sz w:val="20"/>
          <w:szCs w:val="20"/>
        </w:rPr>
        <w:t xml:space="preserve"> no cumprimento das obrigações da Lei n.º 8.666, de 21.06.1993, especialmente na fiscalização do cumprimento das obrigações contratuais e legais da prestadora de serviço como empregadora. </w:t>
      </w:r>
      <w:r>
        <w:rPr>
          <w:rFonts w:eastAsia="Arial" w:cs="Arial"/>
          <w:b/>
          <w:bCs/>
          <w:sz w:val="20"/>
          <w:szCs w:val="20"/>
        </w:rPr>
        <w:t xml:space="preserve">A aludida responsabilidade não decorre de mero inadimplemento das obrigações trabalhistas assumidas pela empresa regularmente contratada.</w:t>
      </w:r>
      <w:r>
        <w:rPr>
          <w:rFonts w:eastAsia="Arial" w:cs="Arial"/>
          <w:sz w:val="20"/>
          <w:szCs w:val="20"/>
        </w:rPr>
        <w:t xml:space="preserve">” (Súmula nº 331 do C. TST)</w:t>
      </w:r>
    </w:p>
    <w:p>
      <w:pPr>
        <w:pStyle w:val="Normal"/>
        <w:spacing w:lineRule="exact" w:line="360" w:before="0" w:after="120"/>
        <w:ind w:firstLine="1701"/>
        <w:jc w:val="both"/>
        <w:rPr/>
      </w:pPr>
      <w:r>
        <w:rPr>
          <w:rFonts w:eastAsia="Arial" w:cs="Arial"/>
          <w:sz w:val="22"/>
          <w:szCs w:val="22"/>
        </w:rPr>
        <w:t xml:space="preserve">Ao presumir a culpa a partir do inadimplemento, a r. sentença contrariou, a um só tempo, o art. 77, § 1º, da Lei nº 13.303/2016, o art. 71, § 1º, da Lei nº 8.666/93, a autoridade das decisões do E. STF na ADC 16 e no RE 760.931, a Súmula Vinculante nº 10 e os arts. 5º, II, 37, </w:t>
      </w:r>
      <w:r>
        <w:rPr>
          <w:rFonts w:eastAsia="Arial" w:cs="Arial"/>
          <w:i/>
          <w:iCs/>
          <w:sz w:val="22"/>
          <w:szCs w:val="22"/>
        </w:rPr>
        <w:t xml:space="preserve">caput</w:t>
      </w:r>
      <w:r>
        <w:rPr>
          <w:rFonts w:eastAsia="Arial" w:cs="Arial"/>
          <w:sz w:val="22"/>
          <w:szCs w:val="22"/>
        </w:rPr>
        <w:t xml:space="preserve"> e § 6º, e 97 da Constituição Federal, além do próprio item V da Súmula nº 331 do C. TST.</w:t>
      </w:r>
    </w:p>
    <w:p>
      <w:pPr>
        <w:pStyle w:val="Normal"/>
        <w:spacing w:lineRule="exact" w:line="360" w:before="200" w:after="120"/>
        <w:ind w:left="1701" w:hanging="0"/>
        <w:jc w:val="both"/>
        <w:rPr>
          <w:u w:val="single"/>
        </w:rPr>
      </w:pPr>
      <w:r>
        <w:rPr>
          <w:rFonts w:eastAsia="Arial" w:cs="Arial"/>
          <w:b/>
          <w:bCs/>
          <w:sz w:val="22"/>
          <w:szCs w:val="22"/>
          <w:u w:val="single"/>
        </w:rPr>
        <w:t xml:space="preserve">4 – DO OBJETO CONCRETO DA CONDENAÇÃO: PARCELAS ESTRANHAS AO DEVER DE FISCALIZAÇÃO DO TOMADOR. AUSÊNCIA DE NEXO DE CAUSALIDADE</w:t>
      </w:r>
    </w:p>
    <w:p>
      <w:pPr>
        <w:pStyle w:val="Normal"/>
        <w:spacing w:lineRule="exact" w:line="360" w:before="0" w:after="120"/>
        <w:ind w:firstLine="1701"/>
        <w:jc w:val="both"/>
        <w:rPr/>
      </w:pPr>
      <w:r>
        <w:rPr>
          <w:rFonts w:eastAsia="Arial" w:cs="Arial"/>
          <w:sz w:val="22"/>
          <w:szCs w:val="22"/>
        </w:rPr>
        <w:t xml:space="preserve">Ainda que se admitisse — o que se faz apenas por exercício argumentativo — que a Recorrente tivesse algum dever de vigilância sobre a execução do contrato de trabalho alheio, </w:t>
      </w:r>
      <w:r>
        <w:rPr>
          <w:rFonts w:eastAsia="Arial" w:cs="Arial"/>
          <w:b/>
          <w:bCs/>
          <w:sz w:val="22"/>
          <w:szCs w:val="22"/>
        </w:rPr>
        <w:t xml:space="preserve">as parcelas efetivamente deferidas nesta sentença jamais poderiam ter sido detectadas por fiscalização alguma</w:t>
      </w:r>
      <w:r>
        <w:rPr>
          <w:rFonts w:eastAsia="Arial" w:cs="Arial"/>
          <w:sz w:val="22"/>
          <w:szCs w:val="22"/>
        </w:rPr>
        <w:t xml:space="preserve">, por três razões cumulativas que decorrem da própria fundamentação recorrida.</w:t>
      </w:r>
    </w:p>
    <w:p>
      <w:pPr>
        <w:pStyle w:val="Normal"/>
        <w:spacing w:lineRule="exact" w:line="360" w:before="0" w:after="120"/>
        <w:ind w:firstLine="1701"/>
        <w:jc w:val="both"/>
        <w:rPr/>
      </w:pPr>
      <w:r>
        <w:rPr>
          <w:rFonts w:eastAsia="Arial" w:cs="Arial"/>
          <w:b/>
          <w:bCs/>
          <w:sz w:val="22"/>
          <w:szCs w:val="22"/>
        </w:rPr>
        <w:t xml:space="preserve">Primeira: a r. sentença declarou válidos os controles de jornada e rejeitou expressamente a alegação de adulteração.</w:t>
      </w:r>
      <w:r>
        <w:rPr>
          <w:rFonts w:eastAsia="Arial" w:cs="Arial"/>
          <w:sz w:val="22"/>
          <w:szCs w:val="22"/>
        </w:rPr>
        <w:t xml:space="preserve"> Consta do capítulo “[Nº E TÍTULO DO CAPÍTULO DA SENTENÇA SOBRE A JORNADA]”: “[TRANSCREVER O TRECHO EM QUE A SENTENÇA AFASTA A ALEGAÇÃO DE ADULTERAÇÃO E RECONHECE A VALIDADE FORMAL DOS CONTROLES DE JORNADA]”. Se os registros eram formalmente regulares e não adulterados, </w:t>
      </w:r>
      <w:r>
        <w:rPr>
          <w:rFonts w:eastAsia="Arial" w:cs="Arial"/>
          <w:b/>
          <w:bCs/>
          <w:sz w:val="22"/>
          <w:szCs w:val="22"/>
        </w:rPr>
        <w:t xml:space="preserve">o que exatamente deveria a Recorrente ter detectado, e como?</w:t>
      </w:r>
    </w:p>
    <w:p>
      <w:pPr>
        <w:pStyle w:val="Normal"/>
        <w:spacing w:lineRule="exact" w:line="360" w:before="0" w:after="120"/>
        <w:ind w:firstLine="1701"/>
        <w:jc w:val="both"/>
        <w:rPr/>
      </w:pPr>
      <w:r>
        <w:rPr>
          <w:rFonts w:eastAsia="Arial" w:cs="Arial"/>
          <w:sz w:val="22"/>
          <w:szCs w:val="22"/>
        </w:rPr>
        <w:t xml:space="preserve">No mesmo sentido, a r. sentença registrou que </w:t>
      </w:r>
      <w:r>
        <w:rPr>
          <w:rFonts w:eastAsia="Arial" w:cs="Arial"/>
          <w:b/>
          <w:bCs/>
          <w:sz w:val="22"/>
          <w:szCs w:val="22"/>
        </w:rPr>
        <w:t xml:space="preserve">os recibos salariais comprovam o pagamento</w:t>
      </w:r>
      <w:r>
        <w:rPr>
          <w:rFonts w:eastAsia="Arial" w:cs="Arial"/>
          <w:sz w:val="22"/>
          <w:szCs w:val="22"/>
        </w:rPr>
        <w:t xml:space="preserve"> do adicional noturno e da rubrica “[RUBRICA DE TEMPO DE ESPERA CONSTANTE DOS RECIBOS]”, e que a empregadora efetuava lançamentos sob as rubricas “[RUBRICA DE DIÁRIA CONSTANTE DOS RECIBOS]” e de auxílio-alimentação. Vale dizer: </w:t>
      </w:r>
      <w:r>
        <w:rPr>
          <w:rFonts w:eastAsia="Arial" w:cs="Arial"/>
          <w:b/>
          <w:bCs/>
          <w:sz w:val="22"/>
          <w:szCs w:val="22"/>
        </w:rPr>
        <w:t xml:space="preserve">do ponto de vista de quem examinasse a documentação da contratada, tudo se apresentava regular</w:t>
      </w:r>
      <w:r>
        <w:rPr>
          <w:rFonts w:eastAsia="Arial" w:cs="Arial"/>
          <w:sz w:val="22"/>
          <w:szCs w:val="22"/>
        </w:rPr>
        <w:t xml:space="preserve"> — folhas de pagamento com as rubricas normativas, controles eletrônicos válidos, adicional noturno quitado, tempo de espera indenizado. Não é possível censurar a Recorrente por não ter descoberto, durante a execução do contrato, aquilo que o d. Juízo só concluiu ao final de instrução judicial completa, com depoimentos e confronto documental, em </w:t>
      </w:r>
      <w:r>
        <w:rPr>
          <w:rFonts w:eastAsia="Arial" w:cs="Arial"/>
          <w:b/>
          <w:bCs/>
          <w:sz w:val="22"/>
          <w:szCs w:val="22"/>
        </w:rPr>
        <w:t xml:space="preserve">agosto de 2026</w:t>
      </w:r>
      <w:r>
        <w:rPr>
          <w:rFonts w:eastAsia="Arial" w:cs="Arial"/>
          <w:sz w:val="22"/>
          <w:szCs w:val="22"/>
        </w:rPr>
        <w:t xml:space="preserve">.</w:t>
      </w:r>
    </w:p>
    <w:p>
      <w:pPr>
        <w:pStyle w:val="Normal"/>
        <w:spacing w:lineRule="exact" w:line="360" w:before="0" w:after="120"/>
        <w:ind w:firstLine="1701"/>
        <w:jc w:val="both"/>
        <w:rPr/>
      </w:pPr>
      <w:r>
        <w:rPr>
          <w:rFonts w:eastAsia="Arial" w:cs="Arial"/>
          <w:b/>
          <w:bCs/>
          <w:sz w:val="22"/>
          <w:szCs w:val="22"/>
        </w:rPr>
        <w:t xml:space="preserve">Segunda: as parcelas deferidas resultam, em larga medida, de requalificação jurídica superveniente e de juízo probatório formado nesta ação, e não de descumprimento ostensivo verificável à época.</w:t>
      </w:r>
      <w:r>
        <w:rPr>
          <w:rFonts w:eastAsia="Arial" w:cs="Arial"/>
          <w:sz w:val="22"/>
          <w:szCs w:val="22"/>
        </w:rPr>
        <w:t xml:space="preserve"> As horas extras deferidas no item “[Nº]” do dispositivo não decorrem de jornada não registrada, mas da decisão de </w:t>
      </w:r>
      <w:r>
        <w:rPr>
          <w:rFonts w:eastAsia="Arial" w:cs="Arial"/>
          <w:b/>
          <w:bCs/>
          <w:sz w:val="22"/>
          <w:szCs w:val="22"/>
        </w:rPr>
        <w:t xml:space="preserve">computar na jornada o período de aproximadamente [DURAÇÃO DO PERÍODO DE RESERVA] em que o motorista permanecia na cabine em revezamento</w:t>
      </w:r>
      <w:r>
        <w:rPr>
          <w:rFonts w:eastAsia="Arial" w:cs="Arial"/>
          <w:sz w:val="22"/>
          <w:szCs w:val="22"/>
        </w:rPr>
        <w:t xml:space="preserve"> — tese assentada pelo d. Juízo com base na ADI 5322, cujos embargos de declaração, com a modulação de efeitos, somente foram publicados em </w:t>
      </w:r>
      <w:r>
        <w:rPr>
          <w:rFonts w:eastAsia="Arial" w:cs="Arial"/>
          <w:b/>
          <w:bCs/>
          <w:sz w:val="22"/>
          <w:szCs w:val="22"/>
        </w:rPr>
        <w:t xml:space="preserve">16/10/2024</w:t>
      </w:r>
      <w:r>
        <w:rPr>
          <w:rFonts w:eastAsia="Arial" w:cs="Arial"/>
          <w:sz w:val="22"/>
          <w:szCs w:val="22"/>
        </w:rPr>
        <w:t xml:space="preserve"> — data a ser confrontada com o período contratual do Recorrido ([DATA DE ADMISSÃO] a [DATA DA DISPENSA]) —, e cuja aplicação a este caso concreto se deu apenas nesta sentença. [ATENÇÃO: a modulação é </w:t>
      </w:r>
      <w:r>
        <w:rPr>
          <w:rFonts w:eastAsia="Arial" w:cs="Arial"/>
          <w:i/>
          <w:iCs/>
          <w:sz w:val="22"/>
          <w:szCs w:val="22"/>
        </w:rPr>
        <w:t xml:space="preserve">ex nunc</w:t>
      </w:r>
      <w:r>
        <w:rPr>
          <w:rFonts w:eastAsia="Arial" w:cs="Arial"/>
          <w:sz w:val="22"/>
          <w:szCs w:val="22"/>
        </w:rPr>
        <w:t xml:space="preserve"> a partir de 12/07/2023 e só aproveita à defesa em contrato encerrado antes dessa data; em contrato posterior, sustentar apenas que o regime jurídico ainda se assentava no curso do contrato — nunca que a inconstitucionalidade não incide.] Já as parcelas de norma coletiva foram deferidas por </w:t>
      </w:r>
      <w:r>
        <w:rPr>
          <w:rFonts w:eastAsia="Arial" w:cs="Arial"/>
          <w:b/>
          <w:bCs/>
          <w:sz w:val="22"/>
          <w:szCs w:val="22"/>
        </w:rPr>
        <w:t xml:space="preserve">insuficiência da prova documental produzida pela empregadora nestes autos</w:t>
      </w:r>
      <w:r>
        <w:rPr>
          <w:rFonts w:eastAsia="Arial" w:cs="Arial"/>
          <w:sz w:val="22"/>
          <w:szCs w:val="22"/>
        </w:rPr>
        <w:t xml:space="preserve"> — e não por inadimplemento constatável durante a vigência do contrato: [INDICAR A PARCELA E TRANSCREVER O TRECHO EM QUE A SENTENÇA REGISTRA A AUSÊNCIA DE PROVA DO PAGAMENTO]. O mesmo se dá com as diferenças de diárias, deferidas porque a empregadora não demonstrou que os valores lançados como adiantamento haviam sido efetivamente disponibilizados ao trabalhador — questão de </w:t>
      </w:r>
      <w:r>
        <w:rPr>
          <w:rFonts w:eastAsia="Arial" w:cs="Arial"/>
          <w:b/>
          <w:bCs/>
          <w:sz w:val="22"/>
          <w:szCs w:val="22"/>
        </w:rPr>
        <w:t xml:space="preserve">escrituração interna da contratada</w:t>
      </w:r>
      <w:r>
        <w:rPr>
          <w:rFonts w:eastAsia="Arial" w:cs="Arial"/>
          <w:sz w:val="22"/>
          <w:szCs w:val="22"/>
        </w:rPr>
        <w:t xml:space="preserve">, absolutamente invisível a terceiros.</w:t>
      </w:r>
    </w:p>
    <w:p>
      <w:pPr>
        <w:pStyle w:val="Normal"/>
        <w:spacing w:lineRule="exact" w:line="360" w:before="0" w:after="120"/>
        <w:ind w:firstLine="1701"/>
        <w:jc w:val="both"/>
        <w:rPr/>
      </w:pPr>
      <w:r>
        <w:rPr>
          <w:rFonts w:eastAsia="Arial" w:cs="Arial"/>
          <w:b/>
          <w:bCs/>
          <w:sz w:val="22"/>
          <w:szCs w:val="22"/>
        </w:rPr>
        <w:t xml:space="preserve">Terceira: todas as parcelas dizem respeito à gestão interna do contrato de trabalho — jornada, intervalos, folha de pagamento e cumprimento de norma coletiva —, matéria que a jurisprudência deste E. Tribunal reiteradamente exclui do dever de fiscalização do tomador.</w:t>
      </w:r>
    </w:p>
    <w:p>
      <w:pPr>
        <w:pStyle w:val="Normal"/>
        <w:spacing w:lineRule="exact" w:line="360" w:before="0" w:after="120"/>
        <w:ind w:firstLine="1701"/>
        <w:jc w:val="both"/>
        <w:rPr/>
      </w:pPr>
      <w:r>
        <w:rPr>
          <w:rFonts w:eastAsia="Arial" w:cs="Arial"/>
          <w:sz w:val="22"/>
          <w:szCs w:val="22"/>
        </w:rPr>
        <w:t xml:space="preserve">Este E. Regional já decidiu a questão, em caso envolvendo </w:t>
      </w:r>
      <w:r>
        <w:rPr>
          <w:rFonts w:eastAsia="Arial" w:cs="Arial"/>
          <w:b/>
          <w:bCs/>
          <w:sz w:val="22"/>
          <w:szCs w:val="22"/>
        </w:rPr>
        <w:t xml:space="preserve">esta mesma Recorrente e um motorista carreteiro de empresa transportadora</w:t>
      </w:r>
      <w:r>
        <w:rPr>
          <w:rFonts w:eastAsia="Arial" w:cs="Arial"/>
          <w:sz w:val="22"/>
          <w:szCs w:val="22"/>
        </w:rPr>
        <w:t xml:space="preserve">, nos exatos termos que aqui se pretende:</w:t>
      </w:r>
    </w:p>
    <w:p>
      <w:pPr>
        <w:pStyle w:val="Normal"/>
        <w:spacing w:lineRule="exact" w:line="240" w:before="100" w:after="160"/>
        <w:ind w:left="2268" w:hanging="0"/>
        <w:jc w:val="both"/>
        <w:rPr/>
      </w:pPr>
      <w:r>
        <w:rPr>
          <w:rFonts w:eastAsia="Arial" w:cs="Arial"/>
          <w:sz w:val="20"/>
          <w:szCs w:val="20"/>
        </w:rPr>
        <w:t xml:space="preserve">“O reclamante atuou como motorista carreteiro e, no caso, a condenação diz respeito a diferenças salariais, em razão de redução do salário, devolução de descontos, </w:t>
      </w:r>
      <w:r>
        <w:rPr>
          <w:rFonts w:eastAsia="Arial" w:cs="Arial"/>
          <w:b/>
          <w:bCs/>
          <w:sz w:val="20"/>
          <w:szCs w:val="20"/>
        </w:rPr>
        <w:t xml:space="preserve">horas extras e adicional noturno</w:t>
      </w:r>
      <w:r>
        <w:rPr>
          <w:rFonts w:eastAsia="Arial" w:cs="Arial"/>
          <w:sz w:val="20"/>
          <w:szCs w:val="20"/>
        </w:rPr>
        <w:t xml:space="preserve">. (...)</w:t>
      </w:r>
    </w:p>
    <w:p>
      <w:pPr>
        <w:pStyle w:val="Normal"/>
        <w:spacing w:lineRule="exact" w:line="240" w:before="100" w:after="160"/>
        <w:ind w:left="2268" w:hanging="0"/>
        <w:jc w:val="both"/>
        <w:rPr/>
      </w:pPr>
      <w:r>
        <w:rPr>
          <w:rFonts w:eastAsia="Arial" w:cs="Arial"/>
          <w:sz w:val="20"/>
          <w:szCs w:val="20"/>
        </w:rPr>
        <w:t xml:space="preserve">Nessa circunstância, </w:t>
      </w:r>
      <w:r>
        <w:rPr>
          <w:rFonts w:eastAsia="Arial" w:cs="Arial"/>
          <w:b/>
          <w:bCs/>
          <w:sz w:val="20"/>
          <w:szCs w:val="20"/>
        </w:rPr>
        <w:t xml:space="preserve">não há falar em omissão do tomador na fiscalização do contrato, não se afigurando razoável que o ente público tenha de acompanhar </w:t>
      </w:r>
      <w:r>
        <w:rPr>
          <w:rFonts w:eastAsia="Arial" w:cs="Arial"/>
          <w:b/>
          <w:bCs/>
          <w:i/>
          <w:iCs/>
          <w:sz w:val="20"/>
          <w:szCs w:val="20"/>
        </w:rPr>
        <w:t xml:space="preserve">pari passu</w:t>
      </w:r>
      <w:r>
        <w:rPr>
          <w:rFonts w:eastAsia="Arial" w:cs="Arial"/>
          <w:b/>
          <w:bCs/>
          <w:sz w:val="20"/>
          <w:szCs w:val="20"/>
        </w:rPr>
        <w:t xml:space="preserve"> toda a atividade das empresas que lhe prestam serviços, na condição de empregadoras, como verificação da jornada e de regularidade no valor do salário e em descontos realizados.</w:t>
      </w:r>
    </w:p>
    <w:p>
      <w:pPr>
        <w:pStyle w:val="Normal"/>
        <w:spacing w:lineRule="exact" w:line="240" w:before="100" w:after="160"/>
        <w:ind w:left="2268" w:hanging="0"/>
        <w:jc w:val="both"/>
        <w:rPr/>
      </w:pPr>
      <w:r>
        <w:rPr>
          <w:rFonts w:eastAsia="Arial" w:cs="Arial"/>
          <w:sz w:val="20"/>
          <w:szCs w:val="20"/>
        </w:rPr>
        <w:t xml:space="preserve">Destarte, não há demonstração de conduta culposa da recorrente na fiscalização do contrato, não ocorrendo a culpa </w:t>
      </w:r>
      <w:r>
        <w:rPr>
          <w:rFonts w:eastAsia="Arial" w:cs="Arial"/>
          <w:i/>
          <w:iCs/>
          <w:sz w:val="20"/>
          <w:szCs w:val="20"/>
        </w:rPr>
        <w:t xml:space="preserve">in vigilando</w:t>
      </w:r>
      <w:r>
        <w:rPr>
          <w:rFonts w:eastAsia="Arial" w:cs="Arial"/>
          <w:sz w:val="20"/>
          <w:szCs w:val="20"/>
        </w:rPr>
        <w:t xml:space="preserve">, pressuposto para impor a responsabilidade subsidiária ao ente público (Súmula 331, V, do C. TST).</w:t>
      </w:r>
    </w:p>
    <w:p>
      <w:pPr>
        <w:pStyle w:val="Normal"/>
        <w:spacing w:lineRule="exact" w:line="240" w:before="100" w:after="160"/>
        <w:ind w:left="2268" w:hanging="0"/>
        <w:jc w:val="both"/>
        <w:rPr/>
      </w:pPr>
      <w:r>
        <w:rPr>
          <w:rFonts w:eastAsia="Arial" w:cs="Arial"/>
          <w:sz w:val="20"/>
          <w:szCs w:val="20"/>
        </w:rPr>
        <w:t xml:space="preserve">Pelo exposto, dou provimento ao recurso para excluir a responsabilidade atribuída à recorrente (...).” (TRT24 – RO 0024034-76.2013.5.24.0006; 2ª Turma; Relator: Juiz Convocado TOMÁS BAWDEN DE CASTRO SILVA; Data da Decisão: 04/02/2015) – d.n.</w:t>
      </w:r>
    </w:p>
    <w:p>
      <w:pPr>
        <w:pStyle w:val="Normal"/>
        <w:spacing w:lineRule="exact" w:line="360" w:before="0" w:after="120"/>
        <w:ind w:firstLine="1701"/>
        <w:jc w:val="both"/>
        <w:rPr/>
      </w:pPr>
      <w:r>
        <w:rPr>
          <w:rFonts w:eastAsia="Arial" w:cs="Arial"/>
          <w:sz w:val="22"/>
          <w:szCs w:val="22"/>
        </w:rPr>
        <w:t xml:space="preserve">E, de forma ainda mais direta quanto às parcelas aqui em causa:</w:t>
      </w:r>
    </w:p>
    <w:p>
      <w:pPr>
        <w:pStyle w:val="Normal"/>
        <w:spacing w:lineRule="exact" w:line="240" w:before="100" w:after="160"/>
        <w:ind w:left="2268" w:hanging="0"/>
        <w:jc w:val="both"/>
        <w:rPr/>
      </w:pPr>
      <w:r>
        <w:rPr>
          <w:rFonts w:eastAsia="Arial" w:cs="Arial"/>
          <w:sz w:val="20"/>
          <w:szCs w:val="20"/>
        </w:rPr>
        <w:t xml:space="preserve">“Incide o mesmo raciocínio - </w:t>
      </w:r>
      <w:r>
        <w:rPr>
          <w:rFonts w:eastAsia="Arial" w:cs="Arial"/>
          <w:b/>
          <w:bCs/>
          <w:sz w:val="20"/>
          <w:szCs w:val="20"/>
        </w:rPr>
        <w:t xml:space="preserve">não cabe ao tomador de serviços o controle da jornada</w:t>
      </w:r>
      <w:r>
        <w:rPr>
          <w:rFonts w:eastAsia="Arial" w:cs="Arial"/>
          <w:sz w:val="20"/>
          <w:szCs w:val="20"/>
        </w:rPr>
        <w:t xml:space="preserve"> - em relação ao deferimento de </w:t>
      </w:r>
      <w:r>
        <w:rPr>
          <w:rFonts w:eastAsia="Arial" w:cs="Arial"/>
          <w:b/>
          <w:bCs/>
          <w:sz w:val="20"/>
          <w:szCs w:val="20"/>
        </w:rPr>
        <w:t xml:space="preserve">horas extras e intervalo intrajornada</w:t>
      </w:r>
      <w:r>
        <w:rPr>
          <w:rFonts w:eastAsia="Arial" w:cs="Arial"/>
          <w:sz w:val="20"/>
          <w:szCs w:val="20"/>
        </w:rPr>
        <w:t xml:space="preserve">.</w:t>
      </w:r>
    </w:p>
    <w:p>
      <w:pPr>
        <w:pStyle w:val="Normal"/>
        <w:spacing w:lineRule="exact" w:line="240" w:before="100" w:after="160"/>
        <w:ind w:left="2268" w:hanging="0"/>
        <w:jc w:val="both"/>
        <w:rPr/>
      </w:pPr>
      <w:r>
        <w:rPr>
          <w:rFonts w:eastAsia="Arial" w:cs="Arial"/>
          <w:sz w:val="20"/>
          <w:szCs w:val="20"/>
        </w:rPr>
        <w:t xml:space="preserve">Nessa circunstância, não há falar em omissão do tomador na fiscalização do contrato, não se afigurando razoável que o ente público tenha de acompanhar </w:t>
      </w:r>
      <w:r>
        <w:rPr>
          <w:rFonts w:eastAsia="Arial" w:cs="Arial"/>
          <w:i/>
          <w:iCs/>
          <w:sz w:val="20"/>
          <w:szCs w:val="20"/>
        </w:rPr>
        <w:t xml:space="preserve">pari passu</w:t>
      </w:r>
      <w:r>
        <w:rPr>
          <w:rFonts w:eastAsia="Arial" w:cs="Arial"/>
          <w:sz w:val="20"/>
          <w:szCs w:val="20"/>
        </w:rPr>
        <w:t xml:space="preserve"> toda a atividade das empresas que lhe prestam serviços, na condição de empregadoras, </w:t>
      </w:r>
      <w:r>
        <w:rPr>
          <w:rFonts w:eastAsia="Arial" w:cs="Arial"/>
          <w:b/>
          <w:bCs/>
          <w:sz w:val="20"/>
          <w:szCs w:val="20"/>
        </w:rPr>
        <w:t xml:space="preserve">como verificação da jornada</w:t>
      </w:r>
      <w:r>
        <w:rPr>
          <w:rFonts w:eastAsia="Arial" w:cs="Arial"/>
          <w:sz w:val="20"/>
          <w:szCs w:val="20"/>
        </w:rPr>
        <w:t xml:space="preserve"> (...).</w:t>
      </w:r>
    </w:p>
    <w:p>
      <w:pPr>
        <w:pStyle w:val="Normal"/>
        <w:spacing w:lineRule="exact" w:line="240" w:before="100" w:after="160"/>
        <w:ind w:left="2268" w:hanging="0"/>
        <w:jc w:val="both"/>
        <w:rPr/>
      </w:pPr>
      <w:r>
        <w:rPr>
          <w:rFonts w:eastAsia="Arial" w:cs="Arial"/>
          <w:sz w:val="20"/>
          <w:szCs w:val="20"/>
        </w:rPr>
        <w:t xml:space="preserve">Destarte, não há demonstração de conduta culposa da recorrente na fiscalização do contrato, não ocorrendo a culpa </w:t>
      </w:r>
      <w:r>
        <w:rPr>
          <w:rFonts w:eastAsia="Arial" w:cs="Arial"/>
          <w:i/>
          <w:iCs/>
          <w:sz w:val="20"/>
          <w:szCs w:val="20"/>
        </w:rPr>
        <w:t xml:space="preserve">in vigilando</w:t>
      </w:r>
      <w:r>
        <w:rPr>
          <w:rFonts w:eastAsia="Arial" w:cs="Arial"/>
          <w:sz w:val="20"/>
          <w:szCs w:val="20"/>
        </w:rPr>
        <w:t xml:space="preserve"> (...). Pelo exposto, dou provimento ao recurso da segunda reclamada para excluir a responsabilidade que lhe foi atribuída (...).” (TRT24 – RO-0025102-24.2014.5.24.0007; 1ª Turma; Relator: Juiz Conv. TOMÁS BAWDEN DE CASTRO SILVA; Publicação DEJ: 27/04/2015) – d.n.</w:t>
      </w:r>
    </w:p>
    <w:p>
      <w:pPr>
        <w:pStyle w:val="Normal"/>
        <w:spacing w:lineRule="exact" w:line="360" w:before="0" w:after="120"/>
        <w:ind w:firstLine="1701"/>
        <w:jc w:val="both"/>
        <w:rPr/>
      </w:pPr>
      <w:r>
        <w:rPr>
          <w:rFonts w:eastAsia="Arial" w:cs="Arial"/>
          <w:sz w:val="22"/>
          <w:szCs w:val="22"/>
        </w:rPr>
        <w:t xml:space="preserve">No mesmo sentido, a 1ª Turma deste E. Tribunal, nos autos do processo 0024954-26.2017.5.24.0001 (Redator Designado Des. ANDRÉ LUÍS MORAES DE OLIVEIRA, j. 19/09/2018), assentou que “</w:t>
      </w:r>
      <w:r>
        <w:rPr>
          <w:rFonts w:eastAsia="Arial" w:cs="Arial"/>
          <w:b/>
          <w:bCs/>
          <w:sz w:val="22"/>
          <w:szCs w:val="22"/>
        </w:rPr>
        <w:t xml:space="preserve">não se exige que o tomador de serviços verifique e acompanhe, de forma detalhada e individualizada, em relação a cada empregado do prestador</w:t>
      </w:r>
      <w:r>
        <w:rPr>
          <w:rFonts w:eastAsia="Arial" w:cs="Arial"/>
          <w:sz w:val="22"/>
          <w:szCs w:val="22"/>
        </w:rPr>
        <w:t xml:space="preserve">” o cumprimento de obrigações “</w:t>
      </w:r>
      <w:r>
        <w:rPr>
          <w:rFonts w:eastAsia="Arial" w:cs="Arial"/>
          <w:b/>
          <w:bCs/>
          <w:sz w:val="22"/>
          <w:szCs w:val="22"/>
        </w:rPr>
        <w:t xml:space="preserve">que são afetas ao empregador, diretamente relacionadas à condução do contrato do trabalho, a serem geridas por este, não cabendo a interferência do tomador</w:t>
      </w:r>
      <w:r>
        <w:rPr>
          <w:rFonts w:eastAsia="Arial" w:cs="Arial"/>
          <w:sz w:val="22"/>
          <w:szCs w:val="22"/>
        </w:rPr>
        <w:t xml:space="preserve">”.</w:t>
      </w:r>
    </w:p>
    <w:p>
      <w:pPr>
        <w:pStyle w:val="Normal"/>
        <w:spacing w:lineRule="exact" w:line="360" w:before="0" w:after="120"/>
        <w:ind w:firstLine="1701"/>
        <w:jc w:val="both"/>
        <w:rPr/>
      </w:pPr>
      <w:r>
        <w:rPr>
          <w:rFonts w:eastAsia="Arial" w:cs="Arial"/>
          <w:sz w:val="22"/>
          <w:szCs w:val="22"/>
        </w:rPr>
        <w:t xml:space="preserve">O C. TST, por sua vez, em caso envolvendo esta mesma Recorrente, foi além, decidindo que </w:t>
      </w:r>
      <w:r>
        <w:rPr>
          <w:rFonts w:eastAsia="Arial" w:cs="Arial"/>
          <w:b/>
          <w:bCs/>
          <w:sz w:val="22"/>
          <w:szCs w:val="22"/>
        </w:rPr>
        <w:t xml:space="preserve">nem mesmo a participação da ECT no controle de horário caracterizaria culpa</w:t>
      </w:r>
      <w:r>
        <w:rPr>
          <w:rFonts w:eastAsia="Arial" w:cs="Arial"/>
          <w:sz w:val="22"/>
          <w:szCs w:val="22"/>
        </w:rPr>
        <w:t xml:space="preserve">:</w:t>
      </w:r>
    </w:p>
    <w:p>
      <w:pPr>
        <w:pStyle w:val="Normal"/>
        <w:spacing w:lineRule="exact" w:line="240" w:before="100" w:after="160"/>
        <w:ind w:left="2268" w:hanging="0"/>
        <w:jc w:val="both"/>
        <w:rPr/>
      </w:pPr>
      <w:r>
        <w:rPr>
          <w:rFonts w:eastAsia="Arial" w:cs="Arial"/>
          <w:sz w:val="20"/>
          <w:szCs w:val="20"/>
        </w:rPr>
        <w:t xml:space="preserve">“(...) embora a egrégia Corte Regional tenha registrado que </w:t>
      </w:r>
      <w:r>
        <w:rPr>
          <w:rFonts w:eastAsia="Arial" w:cs="Arial"/>
          <w:b/>
          <w:bCs/>
          <w:sz w:val="20"/>
          <w:szCs w:val="20"/>
        </w:rPr>
        <w:t xml:space="preserve">a segunda reclamada – ECT – participou do controle do horário de trabalho do reclamante, tal fato não caracteriza a conduta culposa</w:t>
      </w:r>
      <w:r>
        <w:rPr>
          <w:rFonts w:eastAsia="Arial" w:cs="Arial"/>
          <w:sz w:val="20"/>
          <w:szCs w:val="20"/>
        </w:rPr>
        <w:t xml:space="preserve"> quanto ao inadimplemento das obrigações trabalhistas. (...) impõe-se (...) o seu provimento para </w:t>
      </w:r>
      <w:r>
        <w:rPr>
          <w:rFonts w:eastAsia="Arial" w:cs="Arial"/>
          <w:b/>
          <w:bCs/>
          <w:sz w:val="20"/>
          <w:szCs w:val="20"/>
        </w:rPr>
        <w:t xml:space="preserve">afastar a responsabilidade subsidiária da segunda reclamada, Empresa Brasileira de Correios e Telégrafos - ECT</w:t>
      </w:r>
      <w:r>
        <w:rPr>
          <w:rFonts w:eastAsia="Arial" w:cs="Arial"/>
          <w:sz w:val="20"/>
          <w:szCs w:val="20"/>
        </w:rPr>
        <w:t xml:space="preserve">, pelas verbas deferidas na presente ação.” (TST – RR 0024758-95.2014.5.24.0022; 5ª Turma; Relator: Min. Caputo Bastos; Data da Decisão: 17/08/2016) – d.n.</w:t>
      </w:r>
    </w:p>
    <w:p>
      <w:pPr>
        <w:pStyle w:val="Normal"/>
        <w:spacing w:lineRule="exact" w:line="360" w:before="0" w:after="120"/>
        <w:ind w:firstLine="1701"/>
        <w:jc w:val="both"/>
        <w:rPr/>
      </w:pPr>
      <w:r>
        <w:rPr>
          <w:rFonts w:eastAsia="Arial" w:cs="Arial"/>
          <w:sz w:val="22"/>
          <w:szCs w:val="22"/>
        </w:rPr>
        <w:t xml:space="preserve">Não há, pois, </w:t>
      </w:r>
      <w:r>
        <w:rPr>
          <w:rFonts w:eastAsia="Arial" w:cs="Arial"/>
          <w:b/>
          <w:bCs/>
          <w:sz w:val="22"/>
          <w:szCs w:val="22"/>
        </w:rPr>
        <w:t xml:space="preserve">nexo de causalidade</w:t>
      </w:r>
      <w:r>
        <w:rPr>
          <w:rFonts w:eastAsia="Arial" w:cs="Arial"/>
          <w:sz w:val="22"/>
          <w:szCs w:val="22"/>
        </w:rPr>
        <w:t xml:space="preserve"> algum entre qualquer conduta atribuível à Recorrente e o dano invocado. O que houve — se houve — foi descumprimento, pela empregadora, de obrigações que só a ela cabia executar e documentar, no âmbito de um contrato de trabalho a que a Recorrente é estranha.</w:t>
      </w:r>
    </w:p>
    <w:p>
      <w:pPr>
        <w:pStyle w:val="Normal"/>
        <w:spacing w:lineRule="exact" w:line="360" w:before="200" w:after="120"/>
        <w:ind w:left="1701" w:hanging="0"/>
        <w:jc w:val="both"/>
        <w:rPr>
          <w:u w:val="single"/>
        </w:rPr>
      </w:pPr>
      <w:r>
        <w:rPr>
          <w:rFonts w:eastAsia="Arial" w:cs="Arial"/>
          <w:b/>
          <w:bCs/>
          <w:sz w:val="22"/>
          <w:szCs w:val="22"/>
          <w:u w:val="single"/>
        </w:rPr>
        <w:t xml:space="preserve">5 – DA FISCALIZAÇÃO EFETIVAMENTE EXERCIDA E DOS LIMITES MATERIAIS E JURÍDICOS DA ATUAÇÃO DA RECORRENTE</w:t>
      </w:r>
    </w:p>
    <w:p>
      <w:pPr>
        <w:pStyle w:val="Normal"/>
        <w:spacing w:lineRule="exact" w:line="360" w:before="0" w:after="120"/>
        <w:ind w:firstLine="1701"/>
        <w:jc w:val="both"/>
        <w:rPr/>
      </w:pPr>
      <w:r>
        <w:rPr>
          <w:rFonts w:eastAsia="Arial" w:cs="Arial"/>
          <w:sz w:val="22"/>
          <w:szCs w:val="22"/>
        </w:rPr>
        <w:t xml:space="preserve">Não obstante o ônus da prova ser do Recorrido, a Recorrente </w:t>
      </w:r>
      <w:r>
        <w:rPr>
          <w:rFonts w:eastAsia="Arial" w:cs="Arial"/>
          <w:b/>
          <w:bCs/>
          <w:sz w:val="22"/>
          <w:szCs w:val="22"/>
        </w:rPr>
        <w:t xml:space="preserve">produziu prova documental da fiscalização</w:t>
      </w:r>
      <w:r>
        <w:rPr>
          <w:rFonts w:eastAsia="Arial" w:cs="Arial"/>
          <w:sz w:val="22"/>
          <w:szCs w:val="22"/>
        </w:rPr>
        <w:t xml:space="preserve"> que exerceu, juntando com a contestação os documentos que demonstram a exigência regular, da contratada, de comprovantes de quitação de suas obrigações trabalhistas, previdenciárias e fundiárias [Ids DOS DOCUMENTOS DE FISCALIZAÇÃO JUNTADOS COM A CONTESTAÇÃO]. </w:t>
      </w:r>
      <w:r>
        <w:rPr>
          <w:rFonts w:eastAsia="Arial" w:cs="Arial"/>
          <w:b/>
          <w:bCs/>
          <w:sz w:val="22"/>
          <w:szCs w:val="22"/>
        </w:rPr>
        <w:t xml:space="preserve">A r. sentença não fez qualquer referência a essa documentação</w:t>
      </w:r>
      <w:r>
        <w:rPr>
          <w:rFonts w:eastAsia="Arial" w:cs="Arial"/>
          <w:sz w:val="22"/>
          <w:szCs w:val="22"/>
        </w:rPr>
        <w:t xml:space="preserve"> — não a valorou, não a afastou, não a mencionou —, limitando-se a afirmar que a Recorrente “não demonstrou” a fiscalização. Trata-se, a rigor, de decisão que ignora prova produzida, o que, por si, compromete a conclusão a que chegou.</w:t>
      </w:r>
    </w:p>
    <w:p>
      <w:pPr>
        <w:pStyle w:val="Normal"/>
        <w:spacing w:lineRule="exact" w:line="360" w:before="0" w:after="120"/>
        <w:ind w:firstLine="1701"/>
        <w:jc w:val="both"/>
        <w:rPr/>
      </w:pPr>
      <w:r>
        <w:rPr>
          <w:rFonts w:eastAsia="Arial" w:cs="Arial"/>
          <w:sz w:val="22"/>
          <w:szCs w:val="22"/>
        </w:rPr>
        <w:t xml:space="preserve">Sobre a suficiência dessa forma de fiscalização, a jurisprudência deste E. Regional é expressa: “a Administração Pública, no dever de acompanhar o fiel cumprimento das obrigações trabalhistas da contratada, desempenhou satisfatoriamente o seu papel, porquanto </w:t>
      </w:r>
      <w:r>
        <w:rPr>
          <w:rFonts w:eastAsia="Arial" w:cs="Arial"/>
          <w:b/>
          <w:bCs/>
          <w:sz w:val="22"/>
          <w:szCs w:val="22"/>
        </w:rPr>
        <w:t xml:space="preserve">a documentação encartada pela recorrente demonstra a efetiva fiscalização exercida pela EBCT</w:t>
      </w:r>
      <w:r>
        <w:rPr>
          <w:rFonts w:eastAsia="Arial" w:cs="Arial"/>
          <w:sz w:val="22"/>
          <w:szCs w:val="22"/>
        </w:rPr>
        <w:t xml:space="preserve">” (TRT24 – processo 0025584-71.2014.5.24.0071; 2ª Turma; Relator: Des. AMAURY RODRIGUES PINTO JUNIOR; j. 27/07/2016), sendo que, como visto, “</w:t>
      </w:r>
      <w:r>
        <w:rPr>
          <w:rFonts w:eastAsia="Arial" w:cs="Arial"/>
          <w:b/>
          <w:bCs/>
          <w:sz w:val="22"/>
          <w:szCs w:val="22"/>
        </w:rPr>
        <w:t xml:space="preserve">a eficiência da fiscalização não é fator relevante</w:t>
      </w:r>
      <w:r>
        <w:rPr>
          <w:rFonts w:eastAsia="Arial" w:cs="Arial"/>
          <w:sz w:val="22"/>
          <w:szCs w:val="22"/>
        </w:rPr>
        <w:t xml:space="preserve">”, bastando a fiscalização “</w:t>
      </w:r>
      <w:r>
        <w:rPr>
          <w:rFonts w:eastAsia="Arial" w:cs="Arial"/>
          <w:b/>
          <w:bCs/>
          <w:sz w:val="22"/>
          <w:szCs w:val="22"/>
        </w:rPr>
        <w:t xml:space="preserve">ainda que por amostragem</w:t>
      </w:r>
      <w:r>
        <w:rPr>
          <w:rFonts w:eastAsia="Arial" w:cs="Arial"/>
          <w:sz w:val="22"/>
          <w:szCs w:val="22"/>
        </w:rPr>
        <w:t xml:space="preserve">”.</w:t>
      </w:r>
    </w:p>
    <w:p>
      <w:pPr>
        <w:pStyle w:val="Normal"/>
        <w:spacing w:lineRule="exact" w:line="360" w:before="0" w:after="120"/>
        <w:ind w:firstLine="1701"/>
        <w:jc w:val="both"/>
        <w:rPr/>
      </w:pPr>
      <w:r>
        <w:rPr>
          <w:rFonts w:eastAsia="Arial" w:cs="Arial"/>
          <w:sz w:val="22"/>
          <w:szCs w:val="22"/>
        </w:rPr>
        <w:t xml:space="preserve">A esses fundamentos soma-se a </w:t>
      </w:r>
      <w:r>
        <w:rPr>
          <w:rFonts w:eastAsia="Arial" w:cs="Arial"/>
          <w:b/>
          <w:bCs/>
          <w:sz w:val="22"/>
          <w:szCs w:val="22"/>
        </w:rPr>
        <w:t xml:space="preserve">impossibilidade material</w:t>
      </w:r>
      <w:r>
        <w:rPr>
          <w:rFonts w:eastAsia="Arial" w:cs="Arial"/>
          <w:sz w:val="22"/>
          <w:szCs w:val="22"/>
        </w:rPr>
        <w:t xml:space="preserve"> de fiscalização mais intensa. A execução do contrato de transporte se dava </w:t>
      </w:r>
      <w:r>
        <w:rPr>
          <w:rFonts w:eastAsia="Arial" w:cs="Arial"/>
          <w:b/>
          <w:bCs/>
          <w:sz w:val="22"/>
          <w:szCs w:val="22"/>
        </w:rPr>
        <w:t xml:space="preserve">integralmente fora das dependências da Recorrente</w:t>
      </w:r>
      <w:r>
        <w:rPr>
          <w:rFonts w:eastAsia="Arial" w:cs="Arial"/>
          <w:sz w:val="22"/>
          <w:szCs w:val="22"/>
        </w:rPr>
        <w:t xml:space="preserve"> — nas estradas, ao longo do trajeto [ITINERÁRIO DA LINHA], em veículos de propriedade da contratada, com sistema de rastreamento e controle de jornada contratado e operado pela própria contratada ([SISTEMA DE CONTROLE ELETRÔNICO DE JORNADA UTILIZADO], com matrícula e senha fornecidas pela empregadora), com alojamento e oficina da contratada. Todos esses fatos constam da fundamentação da r. sentença. </w:t>
      </w:r>
      <w:r>
        <w:rPr>
          <w:rFonts w:eastAsia="Arial" w:cs="Arial"/>
          <w:b/>
          <w:bCs/>
          <w:sz w:val="22"/>
          <w:szCs w:val="22"/>
        </w:rPr>
        <w:t xml:space="preserve">Nenhum desses meios estava sob o domínio ou o acesso da Recorrente.</w:t>
      </w:r>
    </w:p>
    <w:p>
      <w:pPr>
        <w:pStyle w:val="Normal"/>
        <w:spacing w:lineRule="exact" w:line="360" w:before="0" w:after="120"/>
        <w:ind w:firstLine="1701"/>
        <w:jc w:val="both"/>
        <w:rPr/>
      </w:pPr>
      <w:r>
        <w:rPr>
          <w:rFonts w:eastAsia="Arial" w:cs="Arial"/>
          <w:sz w:val="22"/>
          <w:szCs w:val="22"/>
        </w:rPr>
        <w:t xml:space="preserve">Some-se que falta à Recorrente </w:t>
      </w:r>
      <w:r>
        <w:rPr>
          <w:rFonts w:eastAsia="Arial" w:cs="Arial"/>
          <w:b/>
          <w:bCs/>
          <w:sz w:val="22"/>
          <w:szCs w:val="22"/>
        </w:rPr>
        <w:t xml:space="preserve">legítimo poder de polícia</w:t>
      </w:r>
      <w:r>
        <w:rPr>
          <w:rFonts w:eastAsia="Arial" w:cs="Arial"/>
          <w:sz w:val="22"/>
          <w:szCs w:val="22"/>
        </w:rPr>
        <w:t xml:space="preserve"> para fiscalizar o cumprimento das normas trabalhistas por sua contratada, atribuição privativa dos órgãos de fiscalização do trabalho e do Ministério Público do Trabalho, dotados de prerrogativas legais de requisição, de pessoal especializado e de estrutura própria para tanto.</w:t>
      </w:r>
    </w:p>
    <w:p>
      <w:pPr>
        <w:pStyle w:val="Normal"/>
        <w:spacing w:lineRule="exact" w:line="360" w:before="0" w:after="120"/>
        <w:ind w:firstLine="1701"/>
        <w:jc w:val="both"/>
        <w:rPr/>
      </w:pPr>
      <w:r>
        <w:rPr>
          <w:rFonts w:eastAsia="Arial" w:cs="Arial"/>
          <w:sz w:val="22"/>
          <w:szCs w:val="22"/>
        </w:rPr>
        <w:t xml:space="preserve">Por fim, os instrumentos de que a Recorrente dispõe — aplicação de penalidades e, no limite, rescisão contratual — </w:t>
      </w:r>
      <w:r>
        <w:rPr>
          <w:rFonts w:eastAsia="Arial" w:cs="Arial"/>
          <w:b/>
          <w:bCs/>
          <w:sz w:val="22"/>
          <w:szCs w:val="22"/>
        </w:rPr>
        <w:t xml:space="preserve">não podem ser acionados de plano</w:t>
      </w:r>
      <w:r>
        <w:rPr>
          <w:rFonts w:eastAsia="Arial" w:cs="Arial"/>
          <w:sz w:val="22"/>
          <w:szCs w:val="22"/>
        </w:rPr>
        <w:t xml:space="preserve">: a ECT, integrante da Administração Pública, está juridicamente impedida de romper suas avenças sem prévio processo administrativo, com contraditório e ampla defesa da contratada (art. 5º, LIV e LV, da CF). Exigir da Recorrente conduta que a Constituição lhe veda, para depois responsabilizá-la por não a ter adotado, é imposição de dever impossível.</w:t>
      </w:r>
    </w:p>
    <w:p>
      <w:pPr>
        <w:pStyle w:val="Normal"/>
        <w:spacing w:lineRule="exact" w:line="360" w:before="200" w:after="120"/>
        <w:ind w:left="1701" w:hanging="0"/>
        <w:jc w:val="both"/>
        <w:rPr>
          <w:u w:val="single"/>
        </w:rPr>
      </w:pPr>
      <w:r>
        <w:rPr>
          <w:rFonts w:eastAsia="Arial" w:cs="Arial"/>
          <w:b/>
          <w:bCs/>
          <w:sz w:val="22"/>
          <w:szCs w:val="22"/>
          <w:u w:val="single"/>
        </w:rPr>
        <w:t xml:space="preserve">6 – </w:t>
      </w:r>
      <w:r>
        <w:rPr>
          <w:rFonts w:eastAsia="Arial" w:cs="Arial"/>
          <w:b/>
          <w:bCs/>
          <w:i/>
          <w:iCs/>
          <w:sz w:val="22"/>
          <w:szCs w:val="22"/>
          <w:u w:val="single"/>
        </w:rPr>
        <w:t xml:space="preserve">AD CAUTELAM</w:t>
      </w:r>
      <w:r>
        <w:rPr>
          <w:rFonts w:eastAsia="Arial" w:cs="Arial"/>
          <w:b/>
          <w:bCs/>
          <w:sz w:val="22"/>
          <w:szCs w:val="22"/>
          <w:u w:val="single"/>
        </w:rPr>
        <w:t xml:space="preserve">: DA EXTENSÃO DA RESPONSABILIDADE SUBSIDIÁRIA. MULTA CONVENCIONAL</w:t>
      </w:r>
    </w:p>
    <w:p>
      <w:pPr>
        <w:pStyle w:val="Normal"/>
        <w:spacing w:lineRule="exact" w:line="360" w:before="0" w:after="120"/>
        <w:ind w:firstLine="1701"/>
        <w:jc w:val="both"/>
        <w:rPr/>
      </w:pPr>
      <w:r>
        <w:rPr>
          <w:rFonts w:eastAsia="Arial" w:cs="Arial"/>
          <w:sz w:val="22"/>
          <w:szCs w:val="22"/>
        </w:rPr>
        <w:t xml:space="preserve">Na remota hipótese de manutenção da responsabilidade subsidiária, requer-se, </w:t>
      </w:r>
      <w:r>
        <w:rPr>
          <w:rFonts w:eastAsia="Arial" w:cs="Arial"/>
          <w:i/>
          <w:iCs/>
          <w:sz w:val="22"/>
          <w:szCs w:val="22"/>
        </w:rPr>
        <w:t xml:space="preserve">ad cautelam</w:t>
      </w:r>
      <w:r>
        <w:rPr>
          <w:rFonts w:eastAsia="Arial" w:cs="Arial"/>
          <w:sz w:val="22"/>
          <w:szCs w:val="22"/>
        </w:rPr>
        <w:t xml:space="preserve">, a </w:t>
      </w:r>
      <w:r>
        <w:rPr>
          <w:rFonts w:eastAsia="Arial" w:cs="Arial"/>
          <w:b/>
          <w:bCs/>
          <w:sz w:val="22"/>
          <w:szCs w:val="22"/>
        </w:rPr>
        <w:t xml:space="preserve">exclusão da multa convencional</w:t>
      </w:r>
      <w:r>
        <w:rPr>
          <w:rFonts w:eastAsia="Arial" w:cs="Arial"/>
          <w:sz w:val="22"/>
          <w:szCs w:val="22"/>
        </w:rPr>
        <w:t xml:space="preserve"> do seu alcance.</w:t>
      </w:r>
    </w:p>
    <w:p>
      <w:pPr>
        <w:pStyle w:val="Normal"/>
        <w:spacing w:lineRule="exact" w:line="360" w:before="0" w:after="120"/>
        <w:ind w:firstLine="1701"/>
        <w:jc w:val="both"/>
        <w:rPr/>
      </w:pPr>
      <w:r>
        <w:rPr>
          <w:rFonts w:eastAsia="Arial" w:cs="Arial"/>
          <w:sz w:val="22"/>
          <w:szCs w:val="22"/>
        </w:rPr>
        <w:t xml:space="preserve">A multa deferida decorre da </w:t>
      </w:r>
      <w:r>
        <w:rPr>
          <w:rFonts w:eastAsia="Arial" w:cs="Arial"/>
          <w:b/>
          <w:bCs/>
          <w:sz w:val="22"/>
          <w:szCs w:val="22"/>
        </w:rPr>
        <w:t xml:space="preserve">Cláusula [Nº] das Convenções Coletivas de Trabalho [VIGÊNCIAS]</w:t>
      </w:r>
      <w:r>
        <w:rPr>
          <w:rFonts w:eastAsia="Arial" w:cs="Arial"/>
          <w:sz w:val="22"/>
          <w:szCs w:val="22"/>
        </w:rPr>
        <w:t xml:space="preserve">, transcrita na própria r. sentença: “Fica estipulada uma multa no valor do menor piso salarial constante desta CCT, e não cumulativa, </w:t>
      </w:r>
      <w:r>
        <w:rPr>
          <w:rFonts w:eastAsia="Arial" w:cs="Arial"/>
          <w:b/>
          <w:bCs/>
          <w:sz w:val="22"/>
          <w:szCs w:val="22"/>
        </w:rPr>
        <w:t xml:space="preserve">em favor da parte prejudicada a ser paga pela parte que violar a presente Convenção Coletiva de Trabalho</w:t>
      </w:r>
      <w:r>
        <w:rPr>
          <w:rFonts w:eastAsia="Arial" w:cs="Arial"/>
          <w:sz w:val="22"/>
          <w:szCs w:val="22"/>
        </w:rPr>
        <w:t xml:space="preserve">”.</w:t>
      </w:r>
    </w:p>
    <w:p>
      <w:pPr>
        <w:pStyle w:val="Normal"/>
        <w:spacing w:lineRule="exact" w:line="360" w:before="0" w:after="120"/>
        <w:ind w:firstLine="1701"/>
        <w:jc w:val="both"/>
        <w:rPr/>
      </w:pPr>
      <w:r>
        <w:rPr>
          <w:rFonts w:eastAsia="Arial" w:cs="Arial"/>
          <w:sz w:val="22"/>
          <w:szCs w:val="22"/>
        </w:rPr>
        <w:t xml:space="preserve">A Recorrente </w:t>
      </w:r>
      <w:r>
        <w:rPr>
          <w:rFonts w:eastAsia="Arial" w:cs="Arial"/>
          <w:b/>
          <w:bCs/>
          <w:sz w:val="22"/>
          <w:szCs w:val="22"/>
        </w:rPr>
        <w:t xml:space="preserve">não é signatária nem partícipe</w:t>
      </w:r>
      <w:r>
        <w:rPr>
          <w:rFonts w:eastAsia="Arial" w:cs="Arial"/>
          <w:sz w:val="22"/>
          <w:szCs w:val="22"/>
        </w:rPr>
        <w:t xml:space="preserve"> das referidas normas coletivas, celebradas entre entidades sindicais do setor de transporte rodoviário de cargas. Não sendo parte da convenção, não pode violá-la — e, por consequência, não pode ser alcançada por penalidade cuja incidência a própria cláusula reserva “à parte que violar” o instrumento. Trata-se de sanção de natureza personalíssima, que se enquadra justamente na ressalva que a </w:t>
      </w:r>
      <w:r>
        <w:rPr>
          <w:rFonts w:eastAsia="Arial" w:cs="Arial"/>
          <w:b/>
          <w:bCs/>
          <w:sz w:val="22"/>
          <w:szCs w:val="22"/>
        </w:rPr>
        <w:t xml:space="preserve">própria r. sentença</w:t>
      </w:r>
      <w:r>
        <w:rPr>
          <w:rFonts w:eastAsia="Arial" w:cs="Arial"/>
          <w:sz w:val="22"/>
          <w:szCs w:val="22"/>
        </w:rPr>
        <w:t xml:space="preserve"> consignou ao delimitar a responsabilidade subsidiária: “ressalvadas aquelas [parcelas] que, </w:t>
      </w:r>
      <w:r>
        <w:rPr>
          <w:rFonts w:eastAsia="Arial" w:cs="Arial"/>
          <w:b/>
          <w:bCs/>
          <w:sz w:val="22"/>
          <w:szCs w:val="22"/>
        </w:rPr>
        <w:t xml:space="preserve">por sua própria natureza jurídica</w:t>
      </w:r>
      <w:r>
        <w:rPr>
          <w:rFonts w:eastAsia="Arial" w:cs="Arial"/>
          <w:sz w:val="22"/>
          <w:szCs w:val="22"/>
        </w:rPr>
        <w:t xml:space="preserve"> ou por expressa disposição legal, </w:t>
      </w:r>
      <w:r>
        <w:rPr>
          <w:rFonts w:eastAsia="Arial" w:cs="Arial"/>
          <w:b/>
          <w:bCs/>
          <w:sz w:val="22"/>
          <w:szCs w:val="22"/>
        </w:rPr>
        <w:t xml:space="preserve">não possam ser objeto de transferência</w:t>
      </w:r>
      <w:r>
        <w:rPr>
          <w:rFonts w:eastAsia="Arial" w:cs="Arial"/>
          <w:sz w:val="22"/>
          <w:szCs w:val="22"/>
        </w:rPr>
        <w:t xml:space="preserve">”.</w:t>
      </w:r>
    </w:p>
    <w:p>
      <w:pPr>
        <w:pStyle w:val="Normal"/>
        <w:spacing w:lineRule="exact" w:line="360" w:before="0" w:after="120"/>
        <w:ind w:firstLine="1701"/>
        <w:jc w:val="both"/>
        <w:rPr/>
      </w:pPr>
      <w:r>
        <w:rPr>
          <w:rFonts w:eastAsia="Arial" w:cs="Arial"/>
          <w:sz w:val="22"/>
          <w:szCs w:val="22"/>
        </w:rPr>
        <w:t xml:space="preserve">Registre-se, ademais, que a r. sentença fundamentou a multa na violação das “[CLÁUSULAS APONTADAS NA SENTENÇA]”, sendo que </w:t>
      </w:r>
      <w:r>
        <w:rPr>
          <w:rFonts w:eastAsia="Arial" w:cs="Arial"/>
          <w:b/>
          <w:bCs/>
          <w:sz w:val="22"/>
          <w:szCs w:val="22"/>
        </w:rPr>
        <w:t xml:space="preserve">em nenhum capítulo se reconheceu descumprimento da Cláusula [Nº]</w:t>
      </w:r>
      <w:r>
        <w:rPr>
          <w:rFonts w:eastAsia="Arial" w:cs="Arial"/>
          <w:sz w:val="22"/>
          <w:szCs w:val="22"/>
        </w:rPr>
        <w:t xml:space="preserve"> ([OBJETO DA CLÁUSULA]): as horas extras deferidas resultaram da requalificação jurídica dos períodos de reserva à luz da ADI 5322, e não da inobservância de cláusula normativa.</w:t>
      </w:r>
    </w:p>
    <w:p>
      <w:pPr>
        <w:pStyle w:val="Normal"/>
        <w:spacing w:lineRule="exact" w:line="360" w:before="200" w:after="120"/>
        <w:ind w:left="1701" w:hanging="0"/>
        <w:jc w:val="both"/>
        <w:rPr>
          <w:u w:val="single"/>
        </w:rPr>
      </w:pPr>
      <w:r>
        <w:rPr>
          <w:rFonts w:eastAsia="Arial" w:cs="Arial"/>
          <w:b/>
          <w:bCs/>
          <w:sz w:val="22"/>
          <w:szCs w:val="22"/>
          <w:u w:val="single"/>
        </w:rPr>
        <w:t xml:space="preserve">7 – DOS HONORÁRIOS SUCUMBENCIAIS</w:t>
      </w:r>
    </w:p>
    <w:p>
      <w:pPr>
        <w:pStyle w:val="Normal"/>
        <w:spacing w:lineRule="exact" w:line="360" w:before="0" w:after="120"/>
        <w:ind w:firstLine="1701"/>
        <w:jc w:val="both"/>
        <w:rPr/>
      </w:pPr>
      <w:r>
        <w:rPr>
          <w:rFonts w:eastAsia="Arial" w:cs="Arial"/>
          <w:sz w:val="22"/>
          <w:szCs w:val="22"/>
        </w:rPr>
        <w:t xml:space="preserve">Provido o recurso para excluir a responsabilidade subsidiária da Recorrente, impõe-se, por consequência lógica e necessária, </w:t>
      </w:r>
      <w:r>
        <w:rPr>
          <w:rFonts w:eastAsia="Arial" w:cs="Arial"/>
          <w:b/>
          <w:bCs/>
          <w:sz w:val="22"/>
          <w:szCs w:val="22"/>
        </w:rPr>
        <w:t xml:space="preserve">a sua exclusão da condenação em honorários sucumbenciais</w:t>
      </w:r>
      <w:r>
        <w:rPr>
          <w:rFonts w:eastAsia="Arial" w:cs="Arial"/>
          <w:sz w:val="22"/>
          <w:szCs w:val="22"/>
        </w:rPr>
        <w:t xml:space="preserve"> fixados em [PERCENTUAL]% em favor do(a) patrono(a) do Recorrido, com a inversão da sucumbência em relação à ECT, na forma do art. 791-A da CLT.</w:t>
      </w:r>
    </w:p>
    <w:p>
      <w:pPr>
        <w:pStyle w:val="Normal"/>
        <w:pBdr>
          <w:top w:val="single" w:sz="6" w:space="4" w:color="000000"/>
          <w:left w:val="single" w:sz="6" w:space="4" w:color="000000"/>
          <w:bottom w:val="single" w:sz="6" w:space="4" w:color="000000"/>
          <w:right w:val="single" w:sz="6" w:space="4" w:color="000000"/>
        </w:pBdr>
        <w:spacing w:lineRule="exact" w:line="240" w:before="320" w:after="260"/>
        <w:ind w:left="0" w:right="0" w:hanging="0"/>
        <w:jc w:val="center"/>
        <w:rPr/>
      </w:pPr>
      <w:r>
        <w:rPr>
          <w:rFonts w:eastAsia="Arial" w:cs="Arial"/>
          <w:b/>
          <w:bCs/>
          <w:sz w:val="22"/>
          <w:szCs w:val="22"/>
        </w:rPr>
        <w:t xml:space="preserve">DOS REQUERIMENTOS</w:t>
      </w:r>
    </w:p>
    <w:p>
      <w:pPr>
        <w:pStyle w:val="Normal"/>
        <w:spacing w:lineRule="exact" w:line="360" w:before="200" w:after="120"/>
        <w:ind w:left="1701" w:hanging="0"/>
        <w:jc w:val="both"/>
        <w:rPr>
          <w:u w:val="single"/>
        </w:rPr>
      </w:pPr>
      <w:r>
        <w:rPr>
          <w:rFonts w:eastAsia="Arial" w:cs="Arial"/>
          <w:b/>
          <w:bCs/>
          <w:sz w:val="22"/>
          <w:szCs w:val="22"/>
          <w:u w:val="single"/>
        </w:rPr>
        <w:t xml:space="preserve">1 – DO PREQUESTIONAMENTO</w:t>
      </w:r>
    </w:p>
    <w:p>
      <w:pPr>
        <w:pStyle w:val="Normal"/>
        <w:spacing w:lineRule="exact" w:line="360" w:before="0" w:after="120"/>
        <w:ind w:firstLine="1701"/>
        <w:jc w:val="both"/>
        <w:rPr/>
      </w:pPr>
      <w:r>
        <w:rPr>
          <w:rFonts w:eastAsia="Arial" w:cs="Arial"/>
          <w:sz w:val="22"/>
          <w:szCs w:val="22"/>
        </w:rPr>
        <w:t xml:space="preserve">Para os fins do art. 896 da CLT e da Súmula nº 297 do C. TST, requer-se pronunciamento expresso deste E. Tribunal sobre os seguintes dispositivos e teses, sob pena de negativa de prestação jurisdicional: </w:t>
      </w:r>
      <w:r>
        <w:rPr>
          <w:rFonts w:eastAsia="Arial" w:cs="Arial"/>
          <w:b/>
          <w:bCs/>
          <w:sz w:val="22"/>
          <w:szCs w:val="22"/>
        </w:rPr>
        <w:t xml:space="preserve">arts. 4º, 5º e 8º da Lei nº 11.442/2007</w:t>
      </w:r>
      <w:r>
        <w:rPr>
          <w:rFonts w:eastAsia="Arial" w:cs="Arial"/>
          <w:sz w:val="22"/>
          <w:szCs w:val="22"/>
        </w:rPr>
        <w:t xml:space="preserve">; </w:t>
      </w:r>
      <w:r>
        <w:rPr>
          <w:rFonts w:eastAsia="Arial" w:cs="Arial"/>
          <w:b/>
          <w:bCs/>
          <w:sz w:val="22"/>
          <w:szCs w:val="22"/>
        </w:rPr>
        <w:t xml:space="preserve">art. 730 do Código Civil</w:t>
      </w:r>
      <w:r>
        <w:rPr>
          <w:rFonts w:eastAsia="Arial" w:cs="Arial"/>
          <w:sz w:val="22"/>
          <w:szCs w:val="22"/>
        </w:rPr>
        <w:t xml:space="preserve">; </w:t>
      </w:r>
      <w:r>
        <w:rPr>
          <w:rFonts w:eastAsia="Arial" w:cs="Arial"/>
          <w:b/>
          <w:bCs/>
          <w:sz w:val="22"/>
          <w:szCs w:val="22"/>
        </w:rPr>
        <w:t xml:space="preserve">Tema 59 do C. TST</w:t>
      </w:r>
      <w:r>
        <w:rPr>
          <w:rFonts w:eastAsia="Arial" w:cs="Arial"/>
          <w:sz w:val="22"/>
          <w:szCs w:val="22"/>
        </w:rPr>
        <w:t xml:space="preserve">; </w:t>
      </w:r>
      <w:r>
        <w:rPr>
          <w:rFonts w:eastAsia="Arial" w:cs="Arial"/>
          <w:b/>
          <w:bCs/>
          <w:sz w:val="22"/>
          <w:szCs w:val="22"/>
        </w:rPr>
        <w:t xml:space="preserve">art. 77, § 1º, da Lei nº 13.303/2016</w:t>
      </w:r>
      <w:r>
        <w:rPr>
          <w:rFonts w:eastAsia="Arial" w:cs="Arial"/>
          <w:sz w:val="22"/>
          <w:szCs w:val="22"/>
        </w:rPr>
        <w:t xml:space="preserve">; </w:t>
      </w:r>
      <w:r>
        <w:rPr>
          <w:rFonts w:eastAsia="Arial" w:cs="Arial"/>
          <w:b/>
          <w:bCs/>
          <w:sz w:val="22"/>
          <w:szCs w:val="22"/>
        </w:rPr>
        <w:t xml:space="preserve">art. 71, § 1º, da Lei nº 8.666/93</w:t>
      </w:r>
      <w:r>
        <w:rPr>
          <w:rFonts w:eastAsia="Arial" w:cs="Arial"/>
          <w:sz w:val="22"/>
          <w:szCs w:val="22"/>
        </w:rPr>
        <w:t xml:space="preserve">; </w:t>
      </w:r>
      <w:r>
        <w:rPr>
          <w:rFonts w:eastAsia="Arial" w:cs="Arial"/>
          <w:b/>
          <w:bCs/>
          <w:sz w:val="22"/>
          <w:szCs w:val="22"/>
        </w:rPr>
        <w:t xml:space="preserve">ADC 16 do E. STF</w:t>
      </w:r>
      <w:r>
        <w:rPr>
          <w:rFonts w:eastAsia="Arial" w:cs="Arial"/>
          <w:sz w:val="22"/>
          <w:szCs w:val="22"/>
        </w:rPr>
        <w:t xml:space="preserve">; </w:t>
      </w:r>
      <w:r>
        <w:rPr>
          <w:rFonts w:eastAsia="Arial" w:cs="Arial"/>
          <w:b/>
          <w:bCs/>
          <w:sz w:val="22"/>
          <w:szCs w:val="22"/>
        </w:rPr>
        <w:t xml:space="preserve">RE 760.931 – Tema 246 da repercussão geral</w:t>
      </w:r>
      <w:r>
        <w:rPr>
          <w:rFonts w:eastAsia="Arial" w:cs="Arial"/>
          <w:sz w:val="22"/>
          <w:szCs w:val="22"/>
        </w:rPr>
        <w:t xml:space="preserve">; </w:t>
      </w:r>
      <w:r>
        <w:rPr>
          <w:rFonts w:eastAsia="Arial" w:cs="Arial"/>
          <w:b/>
          <w:bCs/>
          <w:sz w:val="22"/>
          <w:szCs w:val="22"/>
        </w:rPr>
        <w:t xml:space="preserve">Tema 1.118 da repercussão geral</w:t>
      </w:r>
      <w:r>
        <w:rPr>
          <w:rFonts w:eastAsia="Arial" w:cs="Arial"/>
          <w:sz w:val="22"/>
          <w:szCs w:val="22"/>
        </w:rPr>
        <w:t xml:space="preserve">, especialmente quanto à exigência de notificação formal prévia; </w:t>
      </w:r>
      <w:r>
        <w:rPr>
          <w:rFonts w:eastAsia="Arial" w:cs="Arial"/>
          <w:b/>
          <w:bCs/>
          <w:sz w:val="22"/>
          <w:szCs w:val="22"/>
        </w:rPr>
        <w:t xml:space="preserve">Súmula Vinculante nº 10 do E. STF</w:t>
      </w:r>
      <w:r>
        <w:rPr>
          <w:rFonts w:eastAsia="Arial" w:cs="Arial"/>
          <w:sz w:val="22"/>
          <w:szCs w:val="22"/>
        </w:rPr>
        <w:t xml:space="preserve">; </w:t>
      </w:r>
      <w:r>
        <w:rPr>
          <w:rFonts w:eastAsia="Arial" w:cs="Arial"/>
          <w:b/>
          <w:bCs/>
          <w:sz w:val="22"/>
          <w:szCs w:val="22"/>
        </w:rPr>
        <w:t xml:space="preserve">art. 818, I, da CLT, e art. 373, I, do CPC</w:t>
      </w:r>
      <w:r>
        <w:rPr>
          <w:rFonts w:eastAsia="Arial" w:cs="Arial"/>
          <w:sz w:val="22"/>
          <w:szCs w:val="22"/>
        </w:rPr>
        <w:t xml:space="preserve"> quanto à distribuição do ônus da prova da culpa do ente público; </w:t>
      </w:r>
      <w:r>
        <w:rPr>
          <w:rFonts w:eastAsia="Arial" w:cs="Arial"/>
          <w:b/>
          <w:bCs/>
          <w:sz w:val="22"/>
          <w:szCs w:val="22"/>
        </w:rPr>
        <w:t xml:space="preserve">arts. 5º, II, LIV e LV, 37, </w:t>
      </w:r>
      <w:r>
        <w:rPr>
          <w:rFonts w:eastAsia="Arial" w:cs="Arial"/>
          <w:b/>
          <w:bCs/>
          <w:i/>
          <w:iCs/>
          <w:sz w:val="22"/>
          <w:szCs w:val="22"/>
        </w:rPr>
        <w:t xml:space="preserve">caput</w:t>
      </w:r>
      <w:r>
        <w:rPr>
          <w:rFonts w:eastAsia="Arial" w:cs="Arial"/>
          <w:b/>
          <w:bCs/>
          <w:sz w:val="22"/>
          <w:szCs w:val="22"/>
        </w:rPr>
        <w:t xml:space="preserve">, II, XXI e § 6º, e 97 da Constituição Federal</w:t>
      </w:r>
      <w:r>
        <w:rPr>
          <w:rFonts w:eastAsia="Arial" w:cs="Arial"/>
          <w:sz w:val="22"/>
          <w:szCs w:val="22"/>
        </w:rPr>
        <w:t xml:space="preserve">; </w:t>
      </w:r>
      <w:r>
        <w:rPr>
          <w:rFonts w:eastAsia="Arial" w:cs="Arial"/>
          <w:b/>
          <w:bCs/>
          <w:sz w:val="22"/>
          <w:szCs w:val="22"/>
        </w:rPr>
        <w:t xml:space="preserve">itens V e VI da Súmula nº 331 do C. TST</w:t>
      </w:r>
      <w:r>
        <w:rPr>
          <w:rFonts w:eastAsia="Arial" w:cs="Arial"/>
          <w:sz w:val="22"/>
          <w:szCs w:val="22"/>
        </w:rPr>
        <w:t xml:space="preserve">; e </w:t>
      </w:r>
      <w:r>
        <w:rPr>
          <w:rFonts w:eastAsia="Arial" w:cs="Arial"/>
          <w:b/>
          <w:bCs/>
          <w:sz w:val="22"/>
          <w:szCs w:val="22"/>
        </w:rPr>
        <w:t xml:space="preserve">art. 1.013, §§ 1º e 2º, do CPC</w:t>
      </w:r>
      <w:r>
        <w:rPr>
          <w:rFonts w:eastAsia="Arial" w:cs="Arial"/>
          <w:sz w:val="22"/>
          <w:szCs w:val="22"/>
        </w:rPr>
        <w:t xml:space="preserve">, quanto ao dever de apreciação dos fundamentos de defesa não examinados pela origem.</w:t>
      </w:r>
    </w:p>
    <w:p>
      <w:pPr>
        <w:pStyle w:val="Normal"/>
        <w:spacing w:lineRule="exact" w:line="360" w:before="200" w:after="120"/>
        <w:ind w:left="1701" w:hanging="0"/>
        <w:jc w:val="both"/>
        <w:rPr>
          <w:u w:val="single"/>
        </w:rPr>
      </w:pPr>
      <w:r>
        <w:rPr>
          <w:rFonts w:eastAsia="Arial" w:cs="Arial"/>
          <w:b/>
          <w:bCs/>
          <w:sz w:val="22"/>
          <w:szCs w:val="22"/>
          <w:u w:val="single"/>
        </w:rPr>
        <w:t xml:space="preserve">2 – DO PEDIDO</w:t>
      </w:r>
    </w:p>
    <w:p>
      <w:pPr>
        <w:pStyle w:val="Normal"/>
        <w:spacing w:lineRule="exact" w:line="360" w:before="0" w:after="120"/>
        <w:ind w:firstLine="1701"/>
        <w:jc w:val="both"/>
        <w:rPr/>
      </w:pPr>
      <w:r>
        <w:rPr>
          <w:rFonts w:eastAsia="Arial" w:cs="Arial"/>
          <w:sz w:val="22"/>
          <w:szCs w:val="22"/>
        </w:rPr>
        <w:t xml:space="preserve">Ante o exposto, reiterando integralmente os fundamentos da contestação de [fls./Id DA CONTESTAÇÃO], requer a Recorrente o </w:t>
      </w:r>
      <w:r>
        <w:rPr>
          <w:rFonts w:eastAsia="Arial" w:cs="Arial"/>
          <w:b/>
          <w:bCs/>
          <w:sz w:val="22"/>
          <w:szCs w:val="22"/>
        </w:rPr>
        <w:t xml:space="preserve">conhecimento e o integral provimento</w:t>
      </w:r>
      <w:r>
        <w:rPr>
          <w:rFonts w:eastAsia="Arial" w:cs="Arial"/>
          <w:sz w:val="22"/>
          <w:szCs w:val="22"/>
        </w:rPr>
        <w:t xml:space="preserve"> do presente Recurso Ordinário, para que, reformada a r. sentença no capítulo relativo à responsabilidade subsidiária, seja a </w:t>
      </w:r>
      <w:r>
        <w:rPr>
          <w:rFonts w:eastAsia="Arial" w:cs="Arial"/>
          <w:b/>
          <w:bCs/>
          <w:sz w:val="22"/>
          <w:szCs w:val="22"/>
        </w:rPr>
        <w:t xml:space="preserve">EMPRESA BRASILEIRA DE CORREIOS E TELÉGRAFOS – ECT absolvida de toda e qualquer condenação</w:t>
      </w:r>
      <w:r>
        <w:rPr>
          <w:rFonts w:eastAsia="Arial" w:cs="Arial"/>
          <w:sz w:val="22"/>
          <w:szCs w:val="22"/>
        </w:rPr>
        <w:t xml:space="preserve">, com a sua consequente exclusão do polo passivo e da condenação em honorários sucumbenciais.</w:t>
      </w:r>
    </w:p>
    <w:p>
      <w:pPr>
        <w:pStyle w:val="Normal"/>
        <w:spacing w:lineRule="exact" w:line="360" w:before="0" w:after="120"/>
        <w:ind w:firstLine="1701"/>
        <w:jc w:val="both"/>
        <w:rPr/>
      </w:pPr>
      <w:r>
        <w:rPr>
          <w:rFonts w:eastAsia="Arial" w:cs="Arial"/>
          <w:sz w:val="22"/>
          <w:szCs w:val="22"/>
        </w:rPr>
        <w:t xml:space="preserve">Sucessivamente, e apenas na hipótese de manutenção da responsabilidade subsidiária, requer-se a </w:t>
      </w:r>
      <w:r>
        <w:rPr>
          <w:rFonts w:eastAsia="Arial" w:cs="Arial"/>
          <w:b/>
          <w:bCs/>
          <w:sz w:val="22"/>
          <w:szCs w:val="22"/>
        </w:rPr>
        <w:t xml:space="preserve">exclusão da multa convencional</w:t>
      </w:r>
      <w:r>
        <w:rPr>
          <w:rFonts w:eastAsia="Arial" w:cs="Arial"/>
          <w:sz w:val="22"/>
          <w:szCs w:val="22"/>
        </w:rPr>
        <w:t xml:space="preserve"> do seu alcance, nos termos do item 6 do mérito recursal destas razões.</w:t>
      </w:r>
    </w:p>
    <w:p>
      <w:pPr>
        <w:pStyle w:val="Normal"/>
        <w:spacing w:before="0" w:after="200"/>
        <w:rPr/>
      </w:pPr>
    </w:p>
    <w:p>
      <w:pPr>
        <w:pStyle w:val="Normal"/>
        <w:keepNext/>
        <w:widowControl/>
        <w:bidi w:val="0"/>
        <w:spacing w:lineRule="exact" w:line="360" w:before="0" w:after="160"/>
        <w:ind w:left="0" w:right="0" w:firstLine="1701"/>
        <w:jc w:val="both"/>
        <w:rPr/>
      </w:pPr>
      <w:r>
        <w:rPr>
          <w:rFonts w:eastAsia="Arial" w:cs="Arial"/>
          <w:sz w:val="22"/>
          <w:szCs w:val="22"/>
        </w:rPr>
        <w:t xml:space="preserve">Nesses Termos,</w:t>
      </w:r>
    </w:p>
    <w:p>
      <w:pPr>
        <w:pStyle w:val="Normal"/>
        <w:keepNext/>
        <w:widowControl/>
        <w:bidi w:val="0"/>
        <w:spacing w:lineRule="exact" w:line="360" w:before="0" w:after="160"/>
        <w:ind w:left="0" w:right="0" w:firstLine="1701"/>
        <w:jc w:val="both"/>
        <w:rPr/>
      </w:pPr>
      <w:r>
        <w:rPr>
          <w:rFonts w:eastAsia="Arial" w:cs="Arial"/>
          <w:sz w:val="22"/>
          <w:szCs w:val="22"/>
        </w:rPr>
        <w:t xml:space="preserve">Pede Deferimento.</w:t>
      </w:r>
    </w:p>
    <w:p>
      <w:pPr>
        <w:pStyle w:val="Normal"/>
        <w:spacing w:before="0" w:after="200"/>
        <w:rPr/>
      </w:pPr>
    </w:p>
    <w:p>
      <w:pPr>
        <w:pStyle w:val="Normal"/>
        <w:keepNext/>
        <w:widowControl/>
        <w:bidi w:val="0"/>
        <w:spacing w:lineRule="exact" w:line="360" w:before="0" w:after="160"/>
        <w:ind w:left="0" w:right="0" w:firstLine="1701"/>
        <w:jc w:val="both"/>
        <w:rPr/>
      </w:pPr>
      <w:r>
        <w:rPr>
          <w:rFonts w:eastAsia="Arial" w:cs="Arial"/>
          <w:sz w:val="22"/>
          <w:szCs w:val="22"/>
        </w:rPr>
        <w:t xml:space="preserve">Campo Grande/MS, data de assinatura eletrônica.</w:t>
      </w:r>
    </w:p>
    <w:p>
      <w:pPr>
        <w:pStyle w:val="Normal"/>
        <w:keepNext/>
        <w:spacing w:before="0" w:after="60"/>
        <w:jc w:val="center"/>
        <w:rPr/>
      </w:pPr>
      <w:r>
        <w:rPr>
          <w:rFonts w:eastAsia="Arial" w:cs="Arial"/>
          <w:b/>
          <w:bCs/>
          <w:sz w:val="22"/>
          <w:szCs w:val="22"/>
        </w:rPr>
        <w:t xml:space="preserve">Marcos Hideki Kamibayashi</w:t>
      </w:r>
    </w:p>
    <w:p>
      <w:pPr>
        <w:pStyle w:val="Normal"/>
        <w:keepNext/>
        <w:spacing w:before="0" w:after="60"/>
        <w:jc w:val="center"/>
        <w:rPr/>
      </w:pPr>
      <w:r>
        <w:rPr>
          <w:rFonts w:eastAsia="Arial" w:cs="Arial"/>
          <w:sz w:val="22"/>
          <w:szCs w:val="22"/>
        </w:rPr>
        <w:t xml:space="preserve">OAB/MS 14.580</w:t>
      </w:r>
    </w:p>
    <w:sectPr>
      <w:headerReference w:type="default" r:id="rId2"/>
      <w:footerReference w:type="default" r:id="rId3"/>
      <w:type w:val="nextPage"/>
      <w:pgSz w:w="11906" w:h="16838"/>
      <w:pgMar w:left="1701" w:right="1134" w:gutter="0" w:header="397" w:top="1701" w:footer="397"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Arial Narro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0" w:before="0" w:after="0"/>
      <w:jc w:val="center"/>
      <w:rPr/>
    </w:pPr>
    <w:r>
      <w:rPr>
        <w:rFonts w:eastAsia="Arial Narrow" w:cs="Arial Narrow" w:ascii="Arial Narrow" w:hAnsi="Arial Narrow"/>
        <w:b/>
        <w:bCs/>
        <w:sz w:val="14"/>
        <w:szCs w:val="14"/>
      </w:rPr>
      <w:t>______________________________________________________________________________________________________________________________________________</w:t>
    </w:r>
  </w:p>
  <w:p>
    <w:pPr>
      <w:pStyle w:val="Normal"/>
      <w:widowControl/>
      <w:tabs>
        <w:tab w:val="clear" w:pos="720"/>
        <w:tab w:val="right" w:pos="9071" w:leader="none"/>
      </w:tabs>
      <w:bidi w:val="0"/>
      <w:spacing w:lineRule="exact" w:line="200" w:before="0" w:after="0"/>
      <w:ind w:left="1814" w:right="0" w:hanging="0"/>
      <w:jc w:val="center"/>
      <w:rPr/>
    </w:pPr>
    <w:r>
      <w:rPr>
        <w:rFonts w:eastAsia="Arial Narrow" w:cs="Arial Narrow" w:ascii="Arial Narrow" w:hAnsi="Arial Narrow"/>
        <w:b/>
        <w:bCs/>
        <w:sz w:val="14"/>
        <w:szCs w:val="14"/>
      </w:rPr>
      <w:t>Avenida Calógeras nº 2309 – 2º andar – Centro – Campo Grande – MS – Fone 2109-1004.</w:t>
    </w:r>
    <w:r>
      <w:rPr>
        <w:rFonts w:eastAsia="Arial Narrow" w:cs="Arial Narrow" w:ascii="Arial Narrow" w:hAnsi="Arial Narrow"/>
        <w:sz w:val="14"/>
        <w:szCs w:val="14"/>
      </w:rPr>
      <w:tab/>
    </w:r>
    <w:r>
      <w:rPr/>
      <w:fldChar w:fldCharType="begin"/>
    </w:r>
    <w:r>
      <w:rPr/>
      <w:instrText>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071" w:type="dxa"/>
      <w:jc w:val="left"/>
      <w:tblInd w:w="0" w:type="dxa"/>
      <w:tblLayout w:type="fixed"/>
      <w:tblCellMar>
        <w:top w:w="0" w:type="dxa"/>
        <w:left w:w="0" w:type="dxa"/>
        <w:bottom w:w="0" w:type="dxa"/>
        <w:right w:w="0" w:type="dxa"/>
      </w:tblCellMar>
    </w:tblPr>
    <w:tblGrid>
      <w:gridCol w:w="2850"/>
      <w:gridCol w:w="6220"/>
    </w:tblGrid>
    <w:tr>
      <w:trPr/>
      <w:tc>
        <w:tcPr>
          <w:tcW w:w="2850" w:type="dxa"/>
          <w:tcBorders/>
        </w:tcPr>
        <w:p>
          <w:pPr>
            <w:pStyle w:val="Normal"/>
            <w:widowControl w:val="false"/>
            <w:spacing w:before="0" w:after="0"/>
            <w:rPr/>
          </w:pPr>
          <w:r>
            <w:rPr/>
            <w:drawing>
              <wp:inline distT="0" distB="0" distL="0" distR="0">
                <wp:extent cx="1714500" cy="36195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1"/>
                        <a:stretch>
                          <a:fillRect/>
                        </a:stretch>
                      </pic:blipFill>
                      <pic:spPr bwMode="auto">
                        <a:xfrm>
                          <a:off x="0" y="0"/>
                          <a:ext cx="1714500" cy="361950"/>
                        </a:xfrm>
                        <a:prstGeom prst="rect">
                          <a:avLst/>
                        </a:prstGeom>
                      </pic:spPr>
                    </pic:pic>
                  </a:graphicData>
                </a:graphic>
              </wp:inline>
            </w:drawing>
          </w:r>
        </w:p>
      </w:tc>
      <w:tc>
        <w:tcPr>
          <w:tcW w:w="6220" w:type="dxa"/>
          <w:tcBorders/>
        </w:tcPr>
        <w:p>
          <w:pPr>
            <w:pStyle w:val="Normal"/>
            <w:widowControl w:val="false"/>
            <w:spacing w:lineRule="exact" w:line="240" w:before="0" w:after="0"/>
            <w:jc w:val="center"/>
            <w:rPr/>
          </w:pPr>
          <w:r>
            <w:rPr>
              <w:rFonts w:eastAsia="Arial Narrow" w:cs="Arial Narrow" w:ascii="Arial Narrow" w:hAnsi="Arial Narrow"/>
              <w:b/>
              <w:bCs/>
              <w:sz w:val="24"/>
              <w:szCs w:val="24"/>
            </w:rPr>
            <w:t>EMPRESA BRASILEIRA DE CORREIOS E TELÉGRAFOS</w:t>
          </w:r>
        </w:p>
        <w:p>
          <w:pPr>
            <w:pStyle w:val="Normal"/>
            <w:widowControl w:val="false"/>
            <w:pBdr>
              <w:bottom w:val="single" w:sz="6" w:space="2" w:color="000000"/>
            </w:pBdr>
            <w:spacing w:lineRule="exact" w:line="240" w:before="0" w:after="0"/>
            <w:jc w:val="center"/>
            <w:rPr/>
          </w:pPr>
          <w:r>
            <w:rPr>
              <w:rFonts w:eastAsia="Arial Narrow" w:cs="Arial Narrow" w:ascii="Arial Narrow" w:hAnsi="Arial Narrow"/>
              <w:sz w:val="24"/>
              <w:szCs w:val="24"/>
            </w:rPr>
            <w:t>Assessoria Jurídica MS/DEJUR/SEJUR</w:t>
          </w:r>
        </w:p>
      </w:tc>
    </w:tr>
  </w:tbl>
  <w:p>
    <w:pPr>
      <w:pStyle w:val="Normal"/>
      <w:spacing w:before="0" w:after="0"/>
      <w:rPr/>
    </w:pPr>
    <w:r>
      <w:rPr/>
      <w:t xml:space="preserve">                                            </w:t>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pt-BR"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Link da Internet"/>
    <w:uiPriority w:val="99"/>
    <w:unhideWhenUsed/>
    <w:rPr>
      <w:color w:val="0563C1"/>
      <w:u w:val="single"/>
    </w:rPr>
  </w:style>
  <w:style w:type="character" w:styleId="Ncoradanotaderodap">
    <w:name w:val="Âncora da nota de rodapé"/>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Ncoradanotadefim">
    <w:name w:val="Âncora da nota de fim"/>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Ttulododocumento">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pt-B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pt-BR"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 w:type="paragraph" w:styleId="Notadefim">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Application>LibreOffice/7.2.5.2$Windows_X86_64 LibreOffice_project/499f9727c189e6ef3471021d6132d4c694f357e5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2026-08-04T21:56:23Z</dcterms:created>
  <dc:language>pt-BR</dc:language>
  <dcterms:modified xsi:type="dcterms:W3CDTF">2026-08-04T18:22:57Z</dcterms:modified>
</cp:coreProperties>
</file>