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EXCELENTÍSSIMO(A) SENHOR(A) DOUTOR(A) JUIZ(A) DO TRABALHO DA [Nº]ª VARA DO TRABALHO DE CAMPO GRANDE/MS.</w:t>
      </w:r>
    </w:p>
    <w:p>
      <w:pPr>
        <w:pStyle w:val="Normal"/>
        <w:spacing w:before="0" w:after="200"/>
        <w:rPr/>
      </w:pPr>
    </w:p>
    <w:p>
      <w:pPr>
        <w:pStyle w:val="Normal"/>
        <w:spacing w:before="0" w:after="200"/>
        <w:rPr/>
      </w:pPr>
    </w:p>
    <w:p>
      <w:pPr>
        <w:pStyle w:val="Normal"/>
        <w:spacing w:before="0" w:after="200"/>
        <w:rPr/>
      </w:pP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Autos nº. [Nº DO PROCESSO].</w:t>
      </w: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EMBARGANTE: </w:t>
      </w:r>
      <w:r>
        <w:rPr>
          <w:rFonts w:eastAsia="Arial" w:cs="Arial"/>
          <w:sz w:val="22"/>
          <w:szCs w:val="22"/>
        </w:rPr>
        <w:t xml:space="preserve">EMPRESA BRASILEIRA DE CORREIOS E TELÉGRAFOS.</w:t>
      </w:r>
    </w:p>
    <w:p>
      <w:pPr>
        <w:pStyle w:val="Normal"/>
        <w:spacing w:lineRule="exact" w:line="360" w:before="0" w:after="160"/>
        <w:ind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EMBARGADA: </w:t>
      </w:r>
      <w:r>
        <w:rPr>
          <w:rFonts w:eastAsia="Arial" w:cs="Arial"/>
          <w:sz w:val="22"/>
          <w:szCs w:val="22"/>
        </w:rPr>
        <w:t xml:space="preserve">[NOME DA PARTE ADVERSA].</w:t>
      </w:r>
    </w:p>
    <w:p>
      <w:pPr>
        <w:pStyle w:val="Normal"/>
        <w:spacing w:before="0" w:after="200"/>
        <w:rPr/>
      </w:pPr>
    </w:p>
    <w:p>
      <w:pPr>
        <w:pStyle w:val="Normal"/>
        <w:spacing w:before="0" w:after="200"/>
        <w:rPr/>
      </w:pP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EMPRESA BRASILEIRA DE CORREIOS E TELÉGRAFOS – SUPERINTENDÊNCIA ESTADUAL DE MATO GROSSO DO SUL</w:t>
      </w:r>
      <w:r>
        <w:rPr>
          <w:rFonts w:eastAsia="Arial" w:cs="Arial"/>
          <w:sz w:val="22"/>
          <w:szCs w:val="22"/>
        </w:rPr>
        <w:t xml:space="preserve">, já qualificada nos autos da </w:t>
      </w:r>
      <w:r>
        <w:rPr>
          <w:rFonts w:eastAsia="Arial" w:cs="Arial"/>
          <w:b/>
          <w:bCs/>
          <w:sz w:val="22"/>
          <w:szCs w:val="22"/>
        </w:rPr>
        <w:t xml:space="preserve">RECLAMAÇÃO TRABALHISTA</w:t>
      </w:r>
      <w:r>
        <w:rPr>
          <w:rFonts w:eastAsia="Arial" w:cs="Arial"/>
          <w:sz w:val="22"/>
          <w:szCs w:val="22"/>
        </w:rPr>
        <w:t xml:space="preserve"> em epígrafe, que lhe move [NOME DA PARTE ADVERSA], por meio do procurador que esta subscreve, vem, respeitosamente, à presença de Vossa Excelência, com fundamento no </w:t>
      </w:r>
      <w:r>
        <w:rPr>
          <w:rFonts w:eastAsia="Arial" w:cs="Arial"/>
          <w:b/>
          <w:bCs/>
          <w:sz w:val="22"/>
          <w:szCs w:val="22"/>
        </w:rPr>
        <w:t xml:space="preserve">art. 897-A da CLT</w:t>
      </w:r>
      <w:r>
        <w:rPr>
          <w:rFonts w:eastAsia="Arial" w:cs="Arial"/>
          <w:sz w:val="22"/>
          <w:szCs w:val="22"/>
        </w:rPr>
        <w:t xml:space="preserve"> c/c os </w:t>
      </w:r>
      <w:r>
        <w:rPr>
          <w:rFonts w:eastAsia="Arial" w:cs="Arial"/>
          <w:b/>
          <w:bCs/>
          <w:sz w:val="22"/>
          <w:szCs w:val="22"/>
        </w:rPr>
        <w:t xml:space="preserve">arts. 1.022 e seguintes do CPC</w:t>
      </w:r>
      <w:r>
        <w:rPr>
          <w:rFonts w:eastAsia="Arial" w:cs="Arial"/>
          <w:sz w:val="22"/>
          <w:szCs w:val="22"/>
        </w:rPr>
        <w:t xml:space="preserve">, opor os presentes </w:t>
      </w:r>
      <w:r>
        <w:rPr>
          <w:rFonts w:eastAsia="Arial" w:cs="Arial"/>
          <w:b/>
          <w:bCs/>
          <w:sz w:val="22"/>
          <w:szCs w:val="22"/>
        </w:rPr>
        <w:t xml:space="preserve">EMBARGOS DE DECLARAÇÃO</w:t>
      </w:r>
      <w:r>
        <w:rPr>
          <w:rFonts w:eastAsia="Arial" w:cs="Arial"/>
          <w:sz w:val="22"/>
          <w:szCs w:val="22"/>
        </w:rPr>
        <w:t xml:space="preserve"> contra a r. sentença de Id. [ID], pelos motivos de fato e de direito que seguem.</w:t>
      </w:r>
    </w:p>
    <w:p>
      <w:pPr>
        <w:pStyle w:val="Normal"/>
        <w:spacing w:lineRule="exact" w:line="240" w:before="32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DA DELIMITAÇÃO DO OBJETO DESTES EMBARGOS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Em que pese os usuais brilhantismo e clareza ínsitos às decisões proferidas por este d. Juízo, tem-se, </w:t>
      </w:r>
      <w:r>
        <w:rPr>
          <w:rFonts w:eastAsia="Arial" w:cs="Arial"/>
          <w:i/>
          <w:iCs/>
          <w:sz w:val="22"/>
          <w:szCs w:val="22"/>
        </w:rPr>
        <w:t xml:space="preserve">data maxima venia</w:t>
      </w:r>
      <w:r>
        <w:rPr>
          <w:rFonts w:eastAsia="Arial" w:cs="Arial"/>
          <w:sz w:val="22"/>
          <w:szCs w:val="22"/>
        </w:rPr>
        <w:t xml:space="preserve">, que a r. sentença embargada é eivada [de] omissões/erros materiais, razão pela qual faz-se necessária a oposição dos presentes Aclaratórios.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Embargante delimita com precisão o objeto desta via, para que não haja dúvida sobre o que aqui se postula. Não se pretende rediscutir o mérito do que foi decidido, nem obter novo julgamento sobre matéria efetivamente apreciada. Os vícios adiante apontados são de outra ordem: teses de defesa expressamente deduzidas na contestação e integralmente ignoradas pela r. sentença e [erros materiais de / contradições quanto a] [ESPECIFICAR OS VÍCIOS DESTE CASO].</w:t>
      </w:r>
    </w:p>
    <w:p>
      <w:pPr>
        <w:pStyle w:val="Normal"/>
        <w:spacing w:lineRule="exact" w:line="240" w:before="32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DOS MOTIVOS ENSEJADORES DOS PRESENTES EMBARGOS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[ORIENTAÇÃO DE USO — APAGAR ANTES DO PROTOCOLO: numeração corrida de 1 a N, sem subdividir a peça por espécie de vício; o vício vem nomeado no próprio título do tópico. O tópico 1 abaixo é o </w:t>
      </w:r>
      <w:r>
        <w:rPr>
          <w:rFonts w:eastAsia="Arial" w:cs="Arial"/>
          <w:i/>
          <w:iCs/>
          <w:sz w:val="22"/>
          <w:szCs w:val="22"/>
        </w:rPr>
        <w:t xml:space="preserve">padrão de tese não enfrentada</w:t>
      </w:r>
      <w:r>
        <w:rPr>
          <w:rFonts w:eastAsia="Arial" w:cs="Arial"/>
          <w:sz w:val="22"/>
          <w:szCs w:val="22"/>
        </w:rPr>
        <w:t xml:space="preserve">, a repetir tantas vezes quantas forem as omissões do caso. Os tópicos 2 a 7 são o </w:t>
      </w:r>
      <w:r>
        <w:rPr>
          <w:rFonts w:eastAsia="Arial" w:cs="Arial"/>
          <w:b/>
          <w:bCs/>
          <w:sz w:val="22"/>
          <w:szCs w:val="22"/>
        </w:rPr>
        <w:t xml:space="preserve">bloco recorrente da ECT</w:t>
      </w:r>
      <w:r>
        <w:rPr>
          <w:rFonts w:eastAsia="Arial" w:cs="Arial"/>
          <w:sz w:val="22"/>
          <w:szCs w:val="22"/>
        </w:rPr>
        <w:t xml:space="preserve">, reaproveitável em praticamente toda sentença condenatória de 1º grau — confira a aderência ao caso e exclua o que não se aplicar.]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1 – DA OMISSÃO QUANTO À TESE DE [TESE DA CONTESTAÇÃO NÃO ENFRENTADA] (TÓPICO [Nº] DO MÉRITO DA CONTESTAÇÃO)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1 — o que a sentença decidiu.]</w:t>
      </w:r>
      <w:r>
        <w:rPr>
          <w:rFonts w:eastAsia="Arial" w:cs="Arial"/>
          <w:sz w:val="22"/>
          <w:szCs w:val="22"/>
        </w:rPr>
        <w:t xml:space="preserve"> A r. sentença condenou a Embargante ao [OBJETO DA CONDENAÇÃO], nos termos do item [Nº] da fundamentação.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2 — o que a defesa havia sustentado, com a prova.]</w:t>
      </w:r>
      <w:r>
        <w:rPr>
          <w:rFonts w:eastAsia="Arial" w:cs="Arial"/>
          <w:sz w:val="22"/>
          <w:szCs w:val="22"/>
        </w:rPr>
        <w:t xml:space="preserve"> Sucede que o tópico [Nº] do mérito da contestação foi integralmente dedicado a demonstrar que [TESE], e a demonstração se fez, não com documento da defesa, mas com [DOCUMENTO JUNTADO PELA PRÓPRIA PARTE ADVERSA]:</w:t>
      </w:r>
    </w:p>
    <w:p>
      <w:pPr>
        <w:pStyle w:val="Normal"/>
        <w:spacing w:lineRule="exact" w:line="240" w:before="100" w:after="40"/>
        <w:ind w:left="2268" w:firstLine="0"/>
        <w:jc w:val="left"/>
        <w:rPr/>
      </w:pPr>
      <w:r>
        <w:rPr>
          <w:rFonts w:eastAsia="Arial" w:cs="Arial"/>
          <w:sz w:val="20"/>
          <w:szCs w:val="20"/>
        </w:rPr>
        <w:t xml:space="preserve">[Mês/ano] ....... [dado objetivo extraído do documento da parte adversa];</w:t>
      </w:r>
    </w:p>
    <w:p>
      <w:pPr>
        <w:pStyle w:val="Normal"/>
        <w:spacing w:lineRule="exact" w:line="240" w:before="0" w:after="40"/>
        <w:ind w:left="2268" w:firstLine="0"/>
        <w:jc w:val="left"/>
        <w:rPr/>
      </w:pPr>
      <w:r>
        <w:rPr>
          <w:rFonts w:eastAsia="Arial" w:cs="Arial"/>
          <w:sz w:val="20"/>
          <w:szCs w:val="20"/>
        </w:rPr>
        <w:t xml:space="preserve">[Mês/ano] ....... [dado objetivo extraído do documento da parte adversa];</w:t>
      </w:r>
    </w:p>
    <w:p>
      <w:pPr>
        <w:pStyle w:val="Normal"/>
        <w:spacing w:lineRule="exact" w:line="240" w:before="0" w:after="160"/>
        <w:ind w:left="2268" w:firstLine="0"/>
        <w:jc w:val="left"/>
        <w:rPr/>
      </w:pPr>
      <w:r>
        <w:rPr>
          <w:rFonts w:eastAsia="Arial" w:cs="Arial"/>
          <w:sz w:val="20"/>
          <w:szCs w:val="20"/>
        </w:rPr>
        <w:t xml:space="preserve">[Mês/ano] ....... [dado objetivo extraído do documento da parte adversa].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Aduziu ainda a defesa que [SEGUNDO FUNDAMENTO — parecer técnico, processo administrativo, formulário interno], concluindo que “[TRANSCRIÇÃO LITERAL DO DOCUMENTO]”.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3 — o silêncio da decisão.]</w:t>
      </w:r>
      <w:r>
        <w:rPr>
          <w:rFonts w:eastAsia="Arial" w:cs="Arial"/>
          <w:sz w:val="22"/>
          <w:szCs w:val="22"/>
        </w:rPr>
        <w:t xml:space="preserve"> Contudo, sobre nenhuma dessas alegações — nem sobre a prova documental que as sustenta — há pronunciamento da r. sentença embargada. A fundamentação não examinou [DOCUMENTOS], não afirmou que [FATO CONSTITUTIVO DO PEDIDO], não indicou em que documento dos autos estaria a prova de [FATO] e não mencionou [DOCUMENTO DA DEFESA]. Ainda assim, condenou a Embargante.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4 — por que a omissão é relevante, e não formal.]</w:t>
      </w:r>
      <w:r>
        <w:rPr>
          <w:rFonts w:eastAsia="Arial" w:cs="Arial"/>
          <w:sz w:val="22"/>
          <w:szCs w:val="22"/>
        </w:rPr>
        <w:t xml:space="preserve"> A omissão é relevante e não é meramente formal: subsistindo, o título executivo determinará [CONSEQUÊNCIA CONCRETA — pagamento em duplicidade, </w:t>
      </w:r>
      <w:r>
        <w:rPr>
          <w:rFonts w:eastAsia="Arial" w:cs="Arial"/>
          <w:i/>
          <w:iCs/>
          <w:sz w:val="22"/>
          <w:szCs w:val="22"/>
        </w:rPr>
        <w:t xml:space="preserve">bis in idem</w:t>
      </w:r>
      <w:r>
        <w:rPr>
          <w:rFonts w:eastAsia="Arial" w:cs="Arial"/>
          <w:sz w:val="22"/>
          <w:szCs w:val="22"/>
        </w:rPr>
        <w:t xml:space="preserve">, enriquecimento sem causa]. A ressalva “[RESSALVA GENÉRICA DA SENTENÇA, ex.: abatam-se valores comprovadamente quitados]” não supre, </w:t>
      </w:r>
      <w:r>
        <w:rPr>
          <w:rFonts w:eastAsia="Arial" w:cs="Arial"/>
          <w:i/>
          <w:iCs/>
          <w:sz w:val="22"/>
          <w:szCs w:val="22"/>
        </w:rPr>
        <w:t xml:space="preserve">data venia</w:t>
      </w:r>
      <w:r>
        <w:rPr>
          <w:rFonts w:eastAsia="Arial" w:cs="Arial"/>
          <w:sz w:val="22"/>
          <w:szCs w:val="22"/>
        </w:rPr>
        <w:t xml:space="preserve">, o vício — ela transfere para a fase de liquidação uma controvérsia que a defesa submeteu ao juízo na fase de conhecimento, com prova documental pré-constituída.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 isso impacta na própria sucumbência do pedido, pois, analisada e acolhida a tese defensiva, a consequência é a improcedência do pedido.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[Movimento 5 — o pedido de pronunciamento, desdobrado em itens.]</w:t>
      </w:r>
      <w:r>
        <w:rPr>
          <w:rFonts w:eastAsia="Arial" w:cs="Arial"/>
          <w:sz w:val="22"/>
          <w:szCs w:val="22"/>
        </w:rPr>
        <w:t xml:space="preserve"> Respeitosamente requer-se, pois, o pronunciamento expresso sobre: (i) [QUESTÃO]; (ii) [QUESTÃO]; e (iii) [QUESTÃO], com o exame do ônus da prova (art. 373, I, do CPC).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2 – DA OMISSÃO QUANTO AOS HONORÁRIOS DE SUCUMBÊNCIA DEVIDOS À EMBARGANTE (ART. 791-A, §3º, DA CLT)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alínea “[LETRA]” dos requerimentos da contestação postulou, de forma expressa, “a condenação da Reclamante ao pagamento de honorários advocatícios de sucumbência, nos termos do art. 791-A, §3º, da CLT”.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O pedido não foi apreciado.</w:t>
      </w:r>
      <w:r>
        <w:rPr>
          <w:rFonts w:eastAsia="Arial" w:cs="Arial"/>
          <w:sz w:val="22"/>
          <w:szCs w:val="22"/>
        </w:rPr>
        <w:t xml:space="preserve"> O item [Nº] da fundamentação tratou apenas dos honorários devidos </w:t>
      </w:r>
      <w:r>
        <w:rPr>
          <w:rFonts w:eastAsia="Arial" w:cs="Arial"/>
          <w:i/>
          <w:iCs/>
          <w:sz w:val="22"/>
          <w:szCs w:val="22"/>
        </w:rPr>
        <w:t xml:space="preserve">pela</w:t>
      </w:r>
      <w:r>
        <w:rPr>
          <w:rFonts w:eastAsia="Arial" w:cs="Arial"/>
          <w:sz w:val="22"/>
          <w:szCs w:val="22"/>
        </w:rPr>
        <w:t xml:space="preserve"> Embargante, e o dispositivo silenciou quanto aos devidos </w:t>
      </w:r>
      <w:r>
        <w:rPr>
          <w:rFonts w:eastAsia="Arial" w:cs="Arial"/>
          <w:i/>
          <w:iCs/>
          <w:sz w:val="22"/>
          <w:szCs w:val="22"/>
        </w:rPr>
        <w:t xml:space="preserve">pela</w:t>
      </w:r>
      <w:r>
        <w:rPr>
          <w:rFonts w:eastAsia="Arial" w:cs="Arial"/>
          <w:sz w:val="22"/>
          <w:szCs w:val="22"/>
        </w:rPr>
        <w:t xml:space="preserve"> Embargada — isto embora a sucumbência tenha sido inequivocamente </w:t>
      </w:r>
      <w:r>
        <w:rPr>
          <w:rFonts w:eastAsia="Arial" w:cs="Arial"/>
          <w:b/>
          <w:bCs/>
          <w:sz w:val="22"/>
          <w:szCs w:val="22"/>
        </w:rPr>
        <w:t xml:space="preserve">recíproca</w:t>
      </w:r>
      <w:r>
        <w:rPr>
          <w:rFonts w:eastAsia="Arial" w:cs="Arial"/>
          <w:sz w:val="22"/>
          <w:szCs w:val="22"/>
        </w:rPr>
        <w:t xml:space="preserve">: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(a) foi </w:t>
      </w:r>
      <w:r>
        <w:rPr>
          <w:rFonts w:eastAsia="Arial" w:cs="Arial"/>
          <w:b/>
          <w:bCs/>
          <w:sz w:val="22"/>
          <w:szCs w:val="22"/>
        </w:rPr>
        <w:t xml:space="preserve">indeferido</w:t>
      </w:r>
      <w:r>
        <w:rPr>
          <w:rFonts w:eastAsia="Arial" w:cs="Arial"/>
          <w:sz w:val="22"/>
          <w:szCs w:val="22"/>
        </w:rPr>
        <w:t xml:space="preserve"> o pedido de [PEDIDO REJEITADO], ao qual a petição inicial atribuiu R$ [VALOR] — [a maior / uma das maiores] das parcelas postuladas na demanda, cujo valor de causa é de R$ [VALOR DA CAUSA];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sz w:val="22"/>
          <w:szCs w:val="22"/>
        </w:rPr>
        <w:t xml:space="preserve">(b) a condenação relativa a [PEDIDO] ficou </w:t>
      </w:r>
      <w:r>
        <w:rPr>
          <w:rFonts w:eastAsia="Arial" w:cs="Arial"/>
          <w:b/>
          <w:bCs/>
          <w:sz w:val="22"/>
          <w:szCs w:val="22"/>
        </w:rPr>
        <w:t xml:space="preserve">restrita</w:t>
      </w:r>
      <w:r>
        <w:rPr>
          <w:rFonts w:eastAsia="Arial" w:cs="Arial"/>
          <w:sz w:val="22"/>
          <w:szCs w:val="22"/>
        </w:rPr>
        <w:t xml:space="preserve"> a [EXTENSÃO DEFERIDA], excluído(s) [PARCELA/PERÍODO EXCLUÍDO], na linha do que sustentara a defesa.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Nos termos do art. 791-A, §3º, da CLT, na hipótese de procedência parcial o juízo </w:t>
      </w:r>
      <w:r>
        <w:rPr>
          <w:rFonts w:eastAsia="Arial" w:cs="Arial"/>
          <w:b/>
          <w:bCs/>
          <w:sz w:val="22"/>
          <w:szCs w:val="22"/>
        </w:rPr>
        <w:t xml:space="preserve">arbitrará honorários de sucumbência recíproca</w:t>
      </w:r>
      <w:r>
        <w:rPr>
          <w:rFonts w:eastAsia="Arial" w:cs="Arial"/>
          <w:sz w:val="22"/>
          <w:szCs w:val="22"/>
        </w:rPr>
        <w:t xml:space="preserve">, vedada a compensação entre eles. E o deferimento da justiça gratuita à Embargada não afasta a condenação: apenas </w:t>
      </w:r>
      <w:r>
        <w:rPr>
          <w:rFonts w:eastAsia="Arial" w:cs="Arial"/>
          <w:b/>
          <w:bCs/>
          <w:sz w:val="22"/>
          <w:szCs w:val="22"/>
        </w:rPr>
        <w:t xml:space="preserve">suspende a exigibilidade</w:t>
      </w:r>
      <w:r>
        <w:rPr>
          <w:rFonts w:eastAsia="Arial" w:cs="Arial"/>
          <w:sz w:val="22"/>
          <w:szCs w:val="22"/>
        </w:rPr>
        <w:t xml:space="preserve"> da obrigação, na forma do art. 791-A, §4º, da CLT, do julgamento da ADI 5766 pelo E. STF e do Tema Repetitivo nº 21 do TST.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o pronunciamento explícito e a integração do julgado quanto aos honorários de sucumbência devidos aos procuradores da Embargante.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3 – DA OMISSÃO QUANTO ÀS PRERROGATIVAS DA FAZENDA PÚBLICA: PRECATÓRIO, DEPÓSITO RECURSAL E PRAZO EM DOBRO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tópico inaugural da contestação requereu o reconhecimento das prerrogativas processuais da Fazenda Pública em cinco frentes explicitamente formuladas: (i) execução por precatório (art. 100 da Constituição Federal); (ii) isenção de custas processuais; (iii) isenção de depósito recursal; (iv) prazo em dobro para contestar e recorrer; e (v) incidência dos juros na forma do art. 3º da Emenda Constitucional nº 113/2021.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E consignou, de forma expressa, a razão processual do pedido: “o pronunciamento desse órgão julgador quanto às custas processuais e depósito recursal se faz necessário para o preenchimento de todos os pressupostos extrínsecos para viabilização da admissibilidade de eventual recurso”.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r. sentença [dispensou as custas processuais — e nessa exata medida acolheu parte do pedido —, mas] </w:t>
      </w:r>
      <w:r>
        <w:rPr>
          <w:rFonts w:eastAsia="Arial" w:cs="Arial"/>
          <w:b/>
          <w:bCs/>
          <w:sz w:val="22"/>
          <w:szCs w:val="22"/>
        </w:rPr>
        <w:t xml:space="preserve">silenciou por completo</w:t>
      </w:r>
      <w:r>
        <w:rPr>
          <w:rFonts w:eastAsia="Arial" w:cs="Arial"/>
          <w:sz w:val="22"/>
          <w:szCs w:val="22"/>
        </w:rPr>
        <w:t xml:space="preserve"> quanto ao precatório, ao depósito recursal e ao prazo em dobro. A omissão tem consequência processual direta e imediata: a ausência de pronunciamento sobre a isenção do depósito recursal é capaz de comprometer a admissibilidade de eventual recurso ordinário da Embargante, o que caracteriza o interesse concreto no saneamento.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Registre-se que a matéria está pacificada. O Decreto-Lei nº 509/69 foi recepcionado pela Constituição de 1988, estendendo à ECT as prerrogativas conferidas à Fazenda Pública, como decidiu o E. Supremo Tribunal Federal no RE 220.906/DF e no RE 220.699/SP, este último assim ementado, </w:t>
      </w:r>
      <w:r>
        <w:rPr>
          <w:rFonts w:eastAsia="Arial" w:cs="Arial"/>
          <w:i/>
          <w:iCs/>
          <w:sz w:val="22"/>
          <w:szCs w:val="22"/>
        </w:rPr>
        <w:t xml:space="preserve">verbis</w:t>
      </w:r>
      <w:r>
        <w:rPr>
          <w:rFonts w:eastAsia="Arial" w:cs="Arial"/>
          <w:sz w:val="22"/>
          <w:szCs w:val="22"/>
        </w:rPr>
        <w:t xml:space="preserve">:</w:t>
      </w:r>
    </w:p>
    <w:p>
      <w:pPr>
        <w:pStyle w:val="Normal"/>
        <w:spacing w:lineRule="exact" w:line="240" w:before="100" w:after="160"/>
        <w:ind w:left="2268" w:firstLine="0"/>
        <w:jc w:val="both"/>
        <w:rPr/>
      </w:pPr>
      <w:r>
        <w:rPr>
          <w:rFonts w:eastAsia="Arial" w:cs="Arial"/>
          <w:sz w:val="20"/>
          <w:szCs w:val="20"/>
        </w:rPr>
        <w:t xml:space="preserve">“Empresa Brasileira de Correios e Telégrafos. Execução – Recentemente, ao terminar o julgamento do RE 220.906, que versava a mesma questão, o Plenário desta Corte decidiu que foi recebido pela atual Constituição o Decreto-lei n. 509/69, que estendeu à Empresa Brasileira de Correios e Telégrafos os privilégios conferidos à Fazenda Pública, dentre os quais o da impenhorabilidade de seus bens, rendas e serviços, devendo a execução contra ela fazer-se mediante precatório, sob pena de ofensa ao disposto no artigo 100 da Carta Magna – Dessa orientação divergiu o acórdão recorrido. Recurso Extraordinário conhecido e provido.” (RE 220699/SP, Relator Ministro MOREIRA ALVES, DJ 16/03/2001, Primeira Turma).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o pronunciamento expresso sobre a aplicação do art. 100 da Constituição Federal, do art. 12 do Decreto-Lei nº 509/69 e do art. 1º do Decreto-Lei nº 779/69.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4 – DA OMISSÃO QUANTO AO ART. 3º DA EMENDA CONSTITUCIONAL Nº 113/2021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item [Nº] da fundamentação determinou que a correção monetária e os juros de mora observarão [CRITÉRIO ADOTADO PELA SENTENÇA].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contestação, todavia, havia postulado expressamente a incidência do </w:t>
      </w:r>
      <w:r>
        <w:rPr>
          <w:rFonts w:eastAsia="Arial" w:cs="Arial"/>
          <w:b/>
          <w:bCs/>
          <w:sz w:val="22"/>
          <w:szCs w:val="22"/>
        </w:rPr>
        <w:t xml:space="preserve">art. 3º da Emenda Constitucional nº 113/2021</w:t>
      </w:r>
      <w:r>
        <w:rPr>
          <w:rFonts w:eastAsia="Arial" w:cs="Arial"/>
          <w:sz w:val="22"/>
          <w:szCs w:val="22"/>
        </w:rPr>
        <w:t xml:space="preserve">, cujo texto foi integralmente transcrito na peça de defesa, </w:t>
      </w:r>
      <w:r>
        <w:rPr>
          <w:rFonts w:eastAsia="Arial" w:cs="Arial"/>
          <w:i/>
          <w:iCs/>
          <w:sz w:val="22"/>
          <w:szCs w:val="22"/>
        </w:rPr>
        <w:t xml:space="preserve">verbis</w:t>
      </w:r>
      <w:r>
        <w:rPr>
          <w:rFonts w:eastAsia="Arial" w:cs="Arial"/>
          <w:sz w:val="22"/>
          <w:szCs w:val="22"/>
        </w:rPr>
        <w:t xml:space="preserve">:</w:t>
      </w:r>
    </w:p>
    <w:p>
      <w:pPr>
        <w:pStyle w:val="Normal"/>
        <w:spacing w:lineRule="exact" w:line="240" w:before="100" w:after="160"/>
        <w:ind w:left="2268" w:firstLine="0"/>
        <w:jc w:val="both"/>
        <w:rPr/>
      </w:pPr>
      <w:r>
        <w:rPr>
          <w:rFonts w:eastAsia="Arial" w:cs="Arial"/>
          <w:sz w:val="20"/>
          <w:szCs w:val="20"/>
        </w:rPr>
        <w:t xml:space="preserve">“Art. 3º Nas discussões e nas condenações que envolvam a Fazenda Pública, independentemente de sua natureza e para fins de atualização monetária, de remuneração do capital e de compensação da mora, inclusive do precatório, haverá a incidência, uma única vez, até o efetivo pagamento, do índice da taxa referencial do Sistema Especial de Liquidação e de Custódia (Selic), acumulado mensalmente.”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Cuida-se de norma </w:t>
      </w:r>
      <w:r>
        <w:rPr>
          <w:rFonts w:eastAsia="Arial" w:cs="Arial"/>
          <w:b/>
          <w:bCs/>
          <w:sz w:val="22"/>
          <w:szCs w:val="22"/>
        </w:rPr>
        <w:t xml:space="preserve">constitucional, específica e superveniente</w:t>
      </w:r>
      <w:r>
        <w:rPr>
          <w:rFonts w:eastAsia="Arial" w:cs="Arial"/>
          <w:sz w:val="22"/>
          <w:szCs w:val="22"/>
        </w:rPr>
        <w:t xml:space="preserve">, de aplicação cogente às condenações que envolvam a Fazenda Pública — condição que a Embargante ostenta, na forma do tópico anterior. A r. sentença não a examinou, não a afastou e não explicou por que razão o critério geral prevaleceria sobre o critério constitucional especial.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portanto, o pronunciamento expresso sobre o art. 3º da Emenda Constitucional nº 113/2021 e sobre a sua incidência no caso concreto.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5 – DA CONTRADIÇÃO ENTRE A DETERMINAÇÃO DE CUMPRIMENTO EM [Nº] DIAS E O REGIME DE EXECUÇÃO DA EMBARGANTE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dispositivo determinou: “Cumprimento no prazo de [Nº] dias”.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Contudo, a determinação é, </w:t>
      </w:r>
      <w:r>
        <w:rPr>
          <w:rFonts w:eastAsia="Arial" w:cs="Arial"/>
          <w:i/>
          <w:iCs/>
          <w:sz w:val="22"/>
          <w:szCs w:val="22"/>
        </w:rPr>
        <w:t xml:space="preserve">data venia</w:t>
      </w:r>
      <w:r>
        <w:rPr>
          <w:rFonts w:eastAsia="Arial" w:cs="Arial"/>
          <w:sz w:val="22"/>
          <w:szCs w:val="22"/>
        </w:rPr>
        <w:t xml:space="preserve">, inconciliável com o regime de execução da Embargante, empresa pública federal equiparada à Fazenda Pública, cujos pagamentos se sujeitam ao art. 100 da Constituição Federal — matéria expressamente submetida ao juízo e ainda pendente de apreciação, como exposto no tópico supra.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É também inconciliável com a natureza das obrigações de fazer deferidas — [OBRIGAÇÕES DE FAZER DEFERIDAS] —, que pressupõem prévia definição do </w:t>
      </w:r>
      <w:r>
        <w:rPr>
          <w:rFonts w:eastAsia="Arial" w:cs="Arial"/>
          <w:i/>
          <w:iCs/>
          <w:sz w:val="22"/>
          <w:szCs w:val="22"/>
        </w:rPr>
        <w:t xml:space="preserve">quantum</w:t>
      </w:r>
      <w:r>
        <w:rPr>
          <w:rFonts w:eastAsia="Arial" w:cs="Arial"/>
          <w:sz w:val="22"/>
          <w:szCs w:val="22"/>
        </w:rPr>
        <w:t xml:space="preserve"> e, por isso, não são exigíveis antes da liquidação e do trânsito em julgado.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o esclarecimento quanto ao termo inicial e ao regime de cumprimento das obrigações de pagar e de fazer impostas à Embargante.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6 – DO ERRO MATERIAL QUANTO AO TERMO INICIAL DA CORREÇÃO MONETÁRIA DO DANO MORAL — SÚMULA 439 DO TST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r. sentença determinou que o valor da compensação por dano moral “será corrigido monetariamente a partir da data do ajuizamento da demanda”.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Ocorre que o critério contraria a </w:t>
      </w:r>
      <w:r>
        <w:rPr>
          <w:rFonts w:eastAsia="Arial" w:cs="Arial"/>
          <w:b/>
          <w:bCs/>
          <w:sz w:val="22"/>
          <w:szCs w:val="22"/>
        </w:rPr>
        <w:t xml:space="preserve">Súmula 439 do TST</w:t>
      </w:r>
      <w:r>
        <w:rPr>
          <w:rFonts w:eastAsia="Arial" w:cs="Arial"/>
          <w:sz w:val="22"/>
          <w:szCs w:val="22"/>
        </w:rPr>
        <w:t xml:space="preserve">, segundo a qual, nas condenações por dano moral, a atualização monetária é devida a partir da </w:t>
      </w:r>
      <w:r>
        <w:rPr>
          <w:rFonts w:eastAsia="Arial" w:cs="Arial"/>
          <w:b/>
          <w:bCs/>
          <w:sz w:val="22"/>
          <w:szCs w:val="22"/>
        </w:rPr>
        <w:t xml:space="preserve">data da decisão de arbitramento</w:t>
      </w:r>
      <w:r>
        <w:rPr>
          <w:rFonts w:eastAsia="Arial" w:cs="Arial"/>
          <w:sz w:val="22"/>
          <w:szCs w:val="22"/>
        </w:rPr>
        <w:t xml:space="preserve"> ou de alteração do valor, incidindo os juros de mora desde o ajuizamento da ação, nos termos do art. 883 da CLT.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 razão do verbete é evidente e se aplica com exatidão ao caso: o valor de R$ [VALOR] foi arbitrado </w:t>
      </w:r>
      <w:r>
        <w:rPr>
          <w:rFonts w:eastAsia="Arial" w:cs="Arial"/>
          <w:b/>
          <w:bCs/>
          <w:sz w:val="22"/>
          <w:szCs w:val="22"/>
        </w:rPr>
        <w:t xml:space="preserve">nesta sentença</w:t>
      </w:r>
      <w:r>
        <w:rPr>
          <w:rFonts w:eastAsia="Arial" w:cs="Arial"/>
          <w:sz w:val="22"/>
          <w:szCs w:val="22"/>
        </w:rPr>
        <w:t xml:space="preserve">, em [DATA DA SENTENÇA], mediante juízo que considerou a realidade econômica da data do julgamento. Corrigi-lo desde [DATA DO AJUIZAMENTO] — data do ajuizamento — importa acréscimo sobre montante que, àquele tempo, ainda não existia.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a correção do erro material, com a adequação do termo inicial da atualização monetária à Súmula 439 do TST e, subsidiariamente, o pronunciamento explícito sobre o verbete, para fins de prequestionamento.</w:t>
      </w:r>
    </w:p>
    <w:p>
      <w:pPr>
        <w:pStyle w:val="Normal"/>
        <w:spacing w:lineRule="exact" w:line="360" w:before="200" w:after="120"/>
        <w:ind w:left="1701" w:firstLine="0"/>
        <w:jc w:val="both"/>
        <w:rPr/>
      </w:pPr>
      <w:r>
        <w:rPr>
          <w:rFonts w:eastAsia="Arial" w:cs="Arial"/>
          <w:b/>
          <w:bCs/>
          <w:u w:val="single"/>
          <w:sz w:val="22"/>
          <w:szCs w:val="22"/>
        </w:rPr>
        <w:t xml:space="preserve">7 – DO ERRO MATERIAL QUANTO À COMPOSIÇÃO DA CONDENAÇÃO: AS PLANILHAS ANEXAS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 dispositivo estabelece que a condenação se compõe das “parcelas descritas na fundamentação e nas planilhas anexas, que integram este dispositivo para todos os efeitos legais”.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Ocorre que essas planilhas não foram juntadas aos autos, razão pela qual o dispositivo remete a documento inexistente, tornando o título ilíquido e incerto e impedindo a Embargante de conhecer e impugnar a formação do </w:t>
      </w:r>
      <w:r>
        <w:rPr>
          <w:rFonts w:eastAsia="Arial" w:cs="Arial"/>
          <w:i/>
          <w:iCs/>
          <w:sz w:val="22"/>
          <w:szCs w:val="22"/>
        </w:rPr>
        <w:t xml:space="preserve">quantum</w:t>
      </w:r>
      <w:r>
        <w:rPr>
          <w:rFonts w:eastAsia="Arial" w:cs="Arial"/>
          <w:sz w:val="22"/>
          <w:szCs w:val="22"/>
        </w:rPr>
        <w:t xml:space="preserve"> (art. 492 do CPC).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[VARIAÇÕES, se as planilhas EXISTIREM: (a) base de cálculo equivocada — adotaram remuneração de período posterior, já reajustada, gerando duplicidade; (b) período apurado divergente do deferido na fundamentação; (c) inclusão de parcelas já quitadas. Em qualquer caso, transcrever o cotejo aritmético.]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Respeitosamente requer-se, pois, a correção do erro material, com a adequação do dispositivo.</w:t>
      </w:r>
    </w:p>
    <w:p>
      <w:pPr>
        <w:pStyle w:val="Normal"/>
        <w:spacing w:lineRule="exact" w:line="240" w:before="320" w:after="260"/>
        <w:ind w:left="0" w:right="0" w:firstLine="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DOS REQUERIMENTOS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Ante o exposto, respeitosamente requer a Embargante: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a)</w:t>
      </w:r>
      <w:r>
        <w:rPr>
          <w:rFonts w:eastAsia="Arial" w:cs="Arial"/>
          <w:sz w:val="22"/>
          <w:szCs w:val="22"/>
        </w:rPr>
        <w:t xml:space="preserve"> o conhecimento e o acolhimento dos presentes embargos de declaração, com o saneamento das omissões, das contradições, da obscuridade e dos erros materiais apontados nos tópicos 1 a [N] supra;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b)</w:t>
      </w:r>
      <w:r>
        <w:rPr>
          <w:rFonts w:eastAsia="Arial" w:cs="Arial"/>
          <w:sz w:val="22"/>
          <w:szCs w:val="22"/>
        </w:rPr>
        <w:t xml:space="preserve"> que, no saneamento, seja proferido pronunciamento </w:t>
      </w:r>
      <w:r>
        <w:rPr>
          <w:rFonts w:eastAsia="Arial" w:cs="Arial"/>
          <w:b/>
          <w:bCs/>
          <w:sz w:val="22"/>
          <w:szCs w:val="22"/>
        </w:rPr>
        <w:t xml:space="preserve">expresso e específico</w:t>
      </w:r>
      <w:r>
        <w:rPr>
          <w:rFonts w:eastAsia="Arial" w:cs="Arial"/>
          <w:sz w:val="22"/>
          <w:szCs w:val="22"/>
        </w:rPr>
        <w:t xml:space="preserve"> sobre: (i) [QUESTÃO DO TÓPICO 1]; (ii) os honorários de sucumbência devidos à Embargante (art. 791-A, §3º, da CLT); (iii) o precatório, o depósito recursal e o prazo em dobro; (iv) o art. 3º da EC nº 113/2021; (v) o regime e o termo inicial de cumprimento; (vi) o termo inicial da correção monetária do dano moral, na forma da Súmula 439 do TST; e (vii) a composição da condenação e das planilhas que integram o dispositivo;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c)</w:t>
      </w:r>
      <w:r>
        <w:rPr>
          <w:rFonts w:eastAsia="Arial" w:cs="Arial"/>
          <w:sz w:val="22"/>
          <w:szCs w:val="22"/>
        </w:rPr>
        <w:t xml:space="preserve"> que, na medida em que o saneamento dos vícios importe alteração do julgado — consequência natural e expressamente admitida pelo </w:t>
      </w:r>
      <w:r>
        <w:rPr>
          <w:rFonts w:eastAsia="Arial" w:cs="Arial"/>
          <w:i/>
          <w:iCs/>
          <w:sz w:val="22"/>
          <w:szCs w:val="22"/>
        </w:rPr>
        <w:t xml:space="preserve">caput</w:t>
      </w:r>
      <w:r>
        <w:rPr>
          <w:rFonts w:eastAsia="Arial" w:cs="Arial"/>
          <w:sz w:val="22"/>
          <w:szCs w:val="22"/>
        </w:rPr>
        <w:t xml:space="preserve"> do art. 897-A da CLT nos casos de </w:t>
      </w:r>
      <w:r>
        <w:rPr>
          <w:rFonts w:eastAsia="Arial" w:cs="Arial"/>
          <w:b/>
          <w:bCs/>
          <w:sz w:val="22"/>
          <w:szCs w:val="22"/>
        </w:rPr>
        <w:t xml:space="preserve">omissão e incorreção do julgado</w:t>
      </w:r>
      <w:r>
        <w:rPr>
          <w:rFonts w:eastAsia="Arial" w:cs="Arial"/>
          <w:sz w:val="22"/>
          <w:szCs w:val="22"/>
        </w:rPr>
        <w:t xml:space="preserve"> —, seja atribuído aos presentes embargos </w:t>
      </w:r>
      <w:r>
        <w:rPr>
          <w:rFonts w:eastAsia="Arial" w:cs="Arial"/>
          <w:b/>
          <w:bCs/>
          <w:sz w:val="22"/>
          <w:szCs w:val="22"/>
        </w:rPr>
        <w:t xml:space="preserve">efeito modificativo</w:t>
      </w:r>
      <w:r>
        <w:rPr>
          <w:rFonts w:eastAsia="Arial" w:cs="Arial"/>
          <w:sz w:val="22"/>
          <w:szCs w:val="22"/>
        </w:rPr>
        <w:t xml:space="preserve">, observado o contraditório na forma do art. 897-A, §2º, da CLT;</w:t>
      </w:r>
    </w:p>
    <w:p>
      <w:pPr>
        <w:pStyle w:val="Normal"/>
        <w:spacing w:lineRule="exact" w:line="360" w:before="0" w:after="160"/>
        <w:ind w:left="1701" w:right="0" w:firstLine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d)</w:t>
      </w:r>
      <w:r>
        <w:rPr>
          <w:rFonts w:eastAsia="Arial" w:cs="Arial"/>
          <w:sz w:val="22"/>
          <w:szCs w:val="22"/>
        </w:rPr>
        <w:t xml:space="preserve"> que se registre a </w:t>
      </w:r>
      <w:r>
        <w:rPr>
          <w:rFonts w:eastAsia="Arial" w:cs="Arial"/>
          <w:b/>
          <w:bCs/>
          <w:sz w:val="22"/>
          <w:szCs w:val="22"/>
        </w:rPr>
        <w:t xml:space="preserve">interrupção do prazo</w:t>
      </w:r>
      <w:r>
        <w:rPr>
          <w:rFonts w:eastAsia="Arial" w:cs="Arial"/>
          <w:sz w:val="22"/>
          <w:szCs w:val="22"/>
        </w:rPr>
        <w:t xml:space="preserve"> para a interposição de outros recursos, por qualquer das partes, na forma do art. 897-A, §3º, da CLT.</w:t>
      </w:r>
    </w:p>
    <w:p>
      <w:pPr>
        <w:pStyle w:val="Normal"/>
        <w:spacing w:lineRule="exact" w:line="360" w:before="0" w:after="120"/>
        <w:ind w:firstLine="1701"/>
        <w:jc w:val="both"/>
        <w:rPr/>
      </w:pPr>
      <w:r>
        <w:rPr>
          <w:rFonts w:eastAsia="Arial" w:cs="Arial"/>
          <w:sz w:val="22"/>
          <w:szCs w:val="22"/>
        </w:rPr>
        <w:t xml:space="preserve">Requer, por fim, que todas as intimações e publicações sejam realizadas exclusivamente em nome do procurador que esta subscreve, sob pena de nulidade.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Nesses Termos,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Pede Deferimento.</w:t>
      </w:r>
    </w:p>
    <w:p>
      <w:pPr>
        <w:pStyle w:val="Normal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Campo Grande/MS, data de assinatura eletrônica.</w:t>
      </w:r>
    </w:p>
    <w:p>
      <w:pPr>
        <w:pStyle w:val="Normal"/>
        <w:spacing w:before="0" w:after="200"/>
        <w:rPr/>
      </w:pPr>
    </w:p>
    <w:p>
      <w:pPr>
        <w:pStyle w:val="Normal"/>
        <w:spacing w:before="0" w:after="200"/>
        <w:rPr/>
      </w:pP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Marcos Hideki Kamibayashi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OAB/MS 14.580</w:t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397" w:top="1701" w:footer="397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0" w:after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______________________________________________________________________________________________________________________________________________</w:t>
    </w:r>
  </w:p>
  <w:p>
    <w:pPr>
      <w:pStyle w:val="Normal"/>
      <w:widowControl/>
      <w:tabs>
        <w:tab w:val="clear" w:pos="720"/>
        <w:tab w:val="right" w:pos="9071" w:leader="none"/>
      </w:tabs>
      <w:bidi w:val="0"/>
      <w:spacing w:lineRule="exact" w:line="200" w:before="0" w:after="0"/>
      <w:ind w:left="1814" w:right="0" w:hanging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Avenida Calógeras nº 2309 – 2º andar – Centro – Campo Grande – MS – Fone 2109-1004.</w:t>
    </w:r>
    <w:r>
      <w:rPr>
        <w:rFonts w:eastAsia="Arial Narrow" w:cs="Arial Narrow" w:ascii="Arial Narrow" w:hAnsi="Arial Narrow"/>
        <w:sz w:val="14"/>
        <w:szCs w:val="14"/>
      </w:rPr>
      <w:tab/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71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50"/>
      <w:gridCol w:w="6220"/>
    </w:tblGrid>
    <w:tr>
      <w:trPr/>
      <w:tc>
        <w:tcPr>
          <w:tcW w:w="2850" w:type="dxa"/>
          <w:tcBorders/>
        </w:tcPr>
        <w:p>
          <w:pPr>
            <w:pStyle w:val="Normal"/>
            <w:widowControl w:val="false"/>
            <w:spacing w:before="0" w:after="0"/>
            <w:rPr/>
          </w:pPr>
          <w:r>
            <w:rPr/>
            <w:drawing>
              <wp:inline distT="0" distB="0" distL="0" distR="0">
                <wp:extent cx="1714500" cy="361950"/>
                <wp:effectExtent l="0" t="0" r="0" b="0"/>
                <wp:docPr id="1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tcBorders/>
        </w:tcPr>
        <w:p>
          <w:pPr>
            <w:pStyle w:val="Normal"/>
            <w:widowControl w:val="false"/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b/>
              <w:bCs/>
              <w:sz w:val="24"/>
              <w:szCs w:val="24"/>
            </w:rPr>
            <w:t>EMPRESA BRASILEIRA DE CORREIOS E TELÉGRAFOS</w:t>
          </w:r>
        </w:p>
        <w:p>
          <w:pPr>
            <w:pStyle w:val="Normal"/>
            <w:widowControl w:val="false"/>
            <w:pBdr>
              <w:bottom w:val="single" w:sz="6" w:space="2" w:color="000000"/>
            </w:pBdr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sz w:val="24"/>
              <w:szCs w:val="24"/>
            </w:rPr>
            <w:t>Assessoria Jurídica MS/DEJUR/SEJUR</w:t>
          </w:r>
        </w:p>
      </w:tc>
    </w:tr>
  </w:tbl>
  <w:p>
    <w:pPr>
      <w:pStyle w:val="Normal"/>
      <w:spacing w:before="0" w:after="0"/>
      <w:rPr/>
    </w:pPr>
    <w:r>
      <w:rPr/>
      <w:t xml:space="preserve">                                            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LibreOffice/7.2.5.2$Windows_X86_64 LibreOffice_project/499f9727c189e6ef3471021d6132d4c694f357e5</Application>
  <AppVersion>15.0000</AppVersion>
  <Pages>12</Pages>
  <Words>4146</Words>
  <Characters>23095</Characters>
  <CharactersWithSpaces>27288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2026-08-04T21:56:23Z</dcterms:created>
  <dc:creator>ASJUR MS</dc:creator>
  <dc:description/>
  <dc:language>pt-BR</dc:language>
  <cp:lastModifiedBy>ASJUR MS</cp:lastModifiedBy>
  <dcterms:modified xsi:type="dcterms:W3CDTF">2026-08-04T18:22:57Z</dcterms:modified>
  <cp:revision>1</cp:revision>
  <dc:subject/>
  <dc:title>Modelo - Embargos de Declaracao - sentenca de 1o grau</dc:title>
</cp:coreProperties>
</file>