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exact" w:line="360" w:before="0" w:after="160"/>
        <w:ind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>EXCELENTÍSSIMO(A) SENHOR(A) DOUTOR(A) JUIZ(A) DO TRABALHO DA [Nº]ª VARA DO TRABALHO DE CAMPO GRANDE/MS.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                        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                                     </w:t>
      </w:r>
    </w:p>
    <w:p>
      <w:pPr>
        <w:pStyle w:val="Normal"/>
        <w:spacing w:lineRule="exact" w:line="360" w:before="0" w:after="160"/>
        <w:ind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>Autos nº. [Nº DO PROCESSO].</w:t>
      </w:r>
    </w:p>
    <w:p>
      <w:pPr>
        <w:pStyle w:val="Normal"/>
        <w:spacing w:lineRule="exact" w:line="360" w:before="0" w:after="160"/>
        <w:ind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RECLAMANTE: </w:t>
      </w:r>
      <w:r>
        <w:rPr>
          <w:rFonts w:eastAsia="Arial" w:cs="Arial"/>
          <w:sz w:val="22"/>
          <w:szCs w:val="22"/>
        </w:rPr>
        <w:t>[NOME DA RECLAMANTE].</w:t>
      </w:r>
    </w:p>
    <w:p>
      <w:pPr>
        <w:pStyle w:val="Normal"/>
        <w:spacing w:lineRule="exact" w:line="360" w:before="0" w:after="160"/>
        <w:ind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RECLAMADA: </w:t>
      </w:r>
      <w:r>
        <w:rPr>
          <w:rFonts w:eastAsia="Arial" w:cs="Arial"/>
          <w:sz w:val="22"/>
          <w:szCs w:val="22"/>
        </w:rPr>
        <w:t>EMPRESA BRASILEIRA DE CORREIOS E TELÉGRAFOS.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>EMPRESA BRASILEIRA DE CORREIOS E TELÉGRAFOS – SUPERINTENDÊNCIA ESTADUAL DE MATO GROSSO DO SUL</w:t>
      </w:r>
      <w:r>
        <w:rPr>
          <w:rFonts w:eastAsia="Arial" w:cs="Arial"/>
          <w:sz w:val="22"/>
          <w:szCs w:val="22"/>
        </w:rPr>
        <w:t xml:space="preserve">, Empresa Pública Federal, instituída pelo Decreto-Lei nº 509/69, com sede na Avenida Calógeras nº 2.309, centro, Campo Grande/MS, telefone (67) 2109-1004, nos autos da </w:t>
      </w:r>
      <w:r>
        <w:rPr>
          <w:rFonts w:eastAsia="Arial" w:cs="Arial"/>
          <w:b/>
          <w:bCs/>
          <w:sz w:val="22"/>
          <w:szCs w:val="22"/>
        </w:rPr>
        <w:t>RECLAMAÇÃO TRABALHISTA</w:t>
      </w:r>
      <w:r>
        <w:rPr>
          <w:rFonts w:eastAsia="Arial" w:cs="Arial"/>
          <w:sz w:val="22"/>
          <w:szCs w:val="22"/>
        </w:rPr>
        <w:t xml:space="preserve">, em epígrafe, que lhe move </w:t>
      </w:r>
      <w:r>
        <w:rPr>
          <w:rFonts w:eastAsia="Arial" w:cs="Arial"/>
          <w:b/>
          <w:bCs/>
          <w:sz w:val="22"/>
          <w:szCs w:val="22"/>
        </w:rPr>
        <w:t>[NOME DA RECLAMANTE]</w:t>
      </w:r>
      <w:r>
        <w:rPr>
          <w:rFonts w:eastAsia="Arial" w:cs="Arial"/>
          <w:sz w:val="22"/>
          <w:szCs w:val="22"/>
        </w:rPr>
        <w:t xml:space="preserve">, por meio do procurador que esta subscreve, vem, respeitosamente, à presença de Vossa Excelência, com fundamento nos arts. 847 da CLT c/c 336 do CPC, apresentar </w:t>
      </w:r>
      <w:r>
        <w:rPr>
          <w:rFonts w:eastAsia="Arial" w:cs="Arial"/>
          <w:b/>
          <w:bCs/>
          <w:sz w:val="22"/>
          <w:szCs w:val="22"/>
        </w:rPr>
        <w:t>CONTESTAÇÃO</w:t>
      </w:r>
      <w:r>
        <w:rPr>
          <w:rFonts w:eastAsia="Arial" w:cs="Arial"/>
          <w:sz w:val="22"/>
          <w:szCs w:val="22"/>
        </w:rPr>
        <w:t>, pelos motivos de fato e de direito que seguem.</w:t>
      </w:r>
    </w:p>
    <w:p>
      <w:pPr>
        <w:pStyle w:val="Normal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lineRule="exact" w:line="240" w:before="320" w:after="260"/>
        <w:ind w:left="0" w:right="0" w:hanging="0"/>
        <w:jc w:val="center"/>
        <w:rPr/>
      </w:pPr>
      <w:r>
        <w:rPr>
          <w:rFonts w:eastAsia="Arial" w:cs="Arial"/>
          <w:b/>
          <w:bCs/>
          <w:sz w:val="22"/>
          <w:szCs w:val="22"/>
        </w:rPr>
        <w:t>DA EQUIPARAÇÃO À FAZENDA PÚBLICA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De início, a Reclamada requer sejam-lhe aplicadas as prerrogativas processuais inerentes à Fazenda Pública, tais como processo de execução especial nos termos do que dispõe o art. 100 da Carta Política, e prazo em dobro para contestar e recorrer, bem como isenção das custas processuais e do depósito recursal.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Esse é o entendimento do E. Supremo Tribunal Federal que, através de reiteradas decisões, pacificou a tese de que a ECT goza das prerrogativas conferidas à Fazenda Pública, senão vejamos:</w:t>
      </w:r>
    </w:p>
    <w:p>
      <w:pPr>
        <w:pStyle w:val="Normal"/>
        <w:spacing w:lineRule="exact" w:line="240" w:before="100" w:after="16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>"Empresa Brasileira de Correios e Telégrafos. Execução – Recentemente, ao terminar o julgamento do RE 220.906, que versava a mesma questão, o Plenário desta Corte decidiu que foi recebido pela atual Constituição o Decreto-lei n. 509/69, que estendeu à Empresa Brasileira de Correios e Telégrafos os privilégios conferidos à Fazenda Pública, dentre os quais o da impenhorabilidade de seus bens, rendas e serviços, devendo a execução contra ela fazer-se mediante precatório, sob pena de ofensa ao disposto no artigo 100 da Carta Magna – Dessa orientação divergiu o acórdão recorrido. Recurso Extraordinário conhecido e provido." (RE – 220699/SP. Relator Ministro MOREIRA ALVES; DJ 16/03/2001. Primeira Turma).</w:t>
      </w:r>
    </w:p>
    <w:p>
      <w:pPr>
        <w:pStyle w:val="Normal"/>
        <w:spacing w:lineRule="exact" w:line="240" w:before="100" w:after="16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>(Acórdãos no mesmo sentido: RE 0220883/00; RE 0220902/00; RE 0225857/00; RE 0228295/00; RE 0229694/00; RE 0230050/00; RE 0230250/00; RE 0232760/00; RE 0235677/00; RE 0281172/01).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Observe-se que, pela decisão da Excelsa Corte, foi recebido pela atual Constituição o Decreto-lei nº 509/1969, que estendeu à Empresa Brasileira de Correios e Telégrafos as prerrogativas conferidas à Fazenda Pública, sendo certo que, por já estar pacificado o tema, a negativa do direito em apreço por parte desse MM. Juízo retardaria o deslinde da questão, causando prejuízos à celeridade processual.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Assim, </w:t>
      </w:r>
      <w:r>
        <w:rPr>
          <w:rFonts w:eastAsia="Arial" w:cs="Arial"/>
          <w:i/>
          <w:iCs/>
          <w:sz w:val="22"/>
          <w:szCs w:val="22"/>
        </w:rPr>
        <w:t>ad argumentandum tantum</w:t>
      </w:r>
      <w:r>
        <w:rPr>
          <w:rFonts w:eastAsia="Arial" w:cs="Arial"/>
          <w:sz w:val="22"/>
          <w:szCs w:val="22"/>
        </w:rPr>
        <w:t>, em caso de condenação, a execução contra a Reclamada deverá fazer-se por meio de precatório, sendo isenta de custas processuais e de depósito recursal.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Vale ressaltar que o pronunciamento desse órgão julgador quanto às custas processuais e depósito recursal se faz necessário para o preenchimento de todos os pressupostos extrínsecos para viabilização da admissibilidade de eventual recurso.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Ainda, sendo a ECT equiparada à Fazenda Pública, além de gozar de isenção de custas, os juros de mora deverão incidir conforme dispõe o art. 3º da Emenda Constitucional nº 113/2021, </w:t>
      </w:r>
      <w:r>
        <w:rPr>
          <w:rFonts w:eastAsia="Arial" w:cs="Arial"/>
          <w:i/>
          <w:iCs/>
          <w:sz w:val="22"/>
          <w:szCs w:val="22"/>
        </w:rPr>
        <w:t>verbis</w:t>
      </w:r>
      <w:r>
        <w:rPr>
          <w:rFonts w:eastAsia="Arial" w:cs="Arial"/>
          <w:sz w:val="22"/>
          <w:szCs w:val="22"/>
        </w:rPr>
        <w:t>:</w:t>
      </w:r>
    </w:p>
    <w:p>
      <w:pPr>
        <w:pStyle w:val="Normal"/>
        <w:spacing w:lineRule="exact" w:line="240" w:before="100" w:after="16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>Art. 3º Nas discussões e nas condenações que envolvam a Fazenda Pública, independentemente de sua natureza e para fins de atualização monetária, de remuneração do capital e de compensação da mora, inclusive do precatório, haverá a incidência, uma única vez, até o efetivo pagamento, do índice da taxa referencial do Sistema Especial de Liquidação e de Custódia (Selic), acumulado mensalmente.</w:t>
      </w:r>
    </w:p>
    <w:p>
      <w:pPr>
        <w:pStyle w:val="Normal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lineRule="exact" w:line="240" w:before="320" w:after="260"/>
        <w:ind w:left="0" w:right="0" w:hanging="0"/>
        <w:jc w:val="center"/>
        <w:rPr/>
      </w:pPr>
      <w:r>
        <w:rPr>
          <w:rFonts w:eastAsia="Arial" w:cs="Arial"/>
          <w:b/>
          <w:bCs/>
          <w:sz w:val="22"/>
          <w:szCs w:val="22"/>
        </w:rPr>
        <w:t>RESUMO DA VESTIBULAR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A Reclamante ingressou com a presente ação pretendendo: (i) o pagamento dos dias 22 a [DATA], com reflexos em FGTS, além do ressarcimento de dez vales-alimentação e um vale-cesta que alega descontados; (ii) o pagamento em dobro das férias do período aquisitivo 2024/2025, gozadas de [DATA] a [DATA]; (iii) o recolhimento da cota patronal ao POSTALPREV; (iv) a retificação do CNIS sob multa diária; e (v) indenização por danos morais de [VALOR]. Sustenta, em apertada síntese, que a empregadora teria cometido "sucessivos erros administrativos".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Contudo, conforme restará inequivocamente demonstrado — e, o que é decisivo, </w:t>
      </w:r>
      <w:r>
        <w:rPr>
          <w:rFonts w:eastAsia="Arial" w:cs="Arial"/>
          <w:b/>
          <w:bCs/>
          <w:sz w:val="22"/>
          <w:szCs w:val="22"/>
        </w:rPr>
        <w:t>a partir da própria documentação juntada pela Autora</w:t>
      </w:r>
      <w:r>
        <w:rPr>
          <w:rFonts w:eastAsia="Arial" w:cs="Arial"/>
          <w:sz w:val="22"/>
          <w:szCs w:val="22"/>
        </w:rPr>
        <w:t xml:space="preserve"> e do processo administrativo SEI nº [SEI Nº], ora acostado —, a Reclamada agiu em estrito cumprimento da legislação previdenciária e de suas normas internas, tendo seu enquadramento </w:t>
      </w:r>
      <w:r>
        <w:rPr>
          <w:rFonts w:eastAsia="Arial" w:cs="Arial"/>
          <w:b/>
          <w:bCs/>
          <w:sz w:val="22"/>
          <w:szCs w:val="22"/>
        </w:rPr>
        <w:t>expressamente ratificado pelo próprio INSS</w:t>
      </w:r>
      <w:r>
        <w:rPr>
          <w:rFonts w:eastAsia="Arial" w:cs="Arial"/>
          <w:sz w:val="22"/>
          <w:szCs w:val="22"/>
        </w:rPr>
        <w:t>. Mais: parte relevante do que se pede já foi espontaneamente adimplida na via administrativa, e o desconto de vales simplesmente nunca ocorreu.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A pretensão obreira, portanto, carece de amparo fático, legal e normativo, devendo a ação ser julgada totalmente improcedente.</w:t>
      </w:r>
    </w:p>
    <w:p>
      <w:pPr>
        <w:pStyle w:val="Normal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lineRule="exact" w:line="240" w:before="320" w:after="260"/>
        <w:ind w:left="0" w:right="0" w:hanging="0"/>
        <w:jc w:val="center"/>
        <w:rPr/>
      </w:pPr>
      <w:r>
        <w:rPr>
          <w:rFonts w:eastAsia="Arial" w:cs="Arial"/>
          <w:b/>
          <w:bCs/>
          <w:sz w:val="22"/>
          <w:szCs w:val="22"/>
        </w:rPr>
        <w:t>PRELIMINARMENTE</w:t>
      </w:r>
    </w:p>
    <w:p>
      <w:pPr>
        <w:pStyle w:val="Normal"/>
        <w:spacing w:lineRule="exact" w:line="360" w:before="200" w:after="120"/>
        <w:ind w:left="1701" w:hanging="0"/>
        <w:jc w:val="both"/>
        <w:rPr>
          <w:u w:val="single"/>
        </w:rPr>
      </w:pPr>
      <w:r>
        <w:rPr>
          <w:rFonts w:eastAsia="Arial" w:cs="Arial"/>
          <w:b/>
          <w:bCs/>
          <w:sz w:val="22"/>
          <w:szCs w:val="22"/>
          <w:u w:val="single"/>
        </w:rPr>
        <w:t>1 – DA CARÊNCIA PARCIAL DE AÇÃO: AUSÊNCIA DE INTERESSE PROCESSUAL QUANTO AOS DIAS 30 E [DATA]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Autora postula, na alínea "a.1", o pagamento dos dias 22 a [DATA]. Ocorre que </w:t>
      </w:r>
      <w:r>
        <w:rPr>
          <w:rFonts w:eastAsia="Arial" w:cs="Arial"/>
          <w:b/>
          <w:bCs/>
          <w:sz w:val="22"/>
          <w:szCs w:val="22"/>
        </w:rPr>
        <w:t>os dias 30 e [DATA] já foram integralmente quitados</w:t>
      </w:r>
      <w:r>
        <w:rPr>
          <w:rFonts w:eastAsia="Arial" w:cs="Arial"/>
          <w:sz w:val="22"/>
          <w:szCs w:val="22"/>
        </w:rPr>
        <w:t xml:space="preserve">, de forma espontânea, na folha de [MÊS/ANO] — e a prova disso foi produzida pela </w:t>
      </w:r>
      <w:r>
        <w:rPr>
          <w:rFonts w:eastAsia="Arial" w:cs="Arial"/>
          <w:b/>
          <w:bCs/>
          <w:sz w:val="22"/>
          <w:szCs w:val="22"/>
        </w:rPr>
        <w:t>própria Reclamante</w:t>
      </w:r>
      <w:r>
        <w:rPr>
          <w:rFonts w:eastAsia="Arial" w:cs="Arial"/>
          <w:sz w:val="22"/>
          <w:szCs w:val="22"/>
        </w:rPr>
        <w:t>, que juntou o respectivo contracheque à petição inicial.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Com efeito, ainda em [DATA] — portanto, quase cinco meses antes do ajuizamento —, a Central de Serviços de Gestão de Pessoas determinou, nos autos do processo administrativo, que "Período [DATA], será efetuado acerto na folha de [MÊS/ANO]" (CEGEP – Resposta [SEI Nº]).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E assim se deu. O contracheque de [MÊS/ANO] juntado pela Autora ostenta, além da remuneração integral do mês (30 dias), as rubricas "052001 – Dif.Salário", no valor de [VALOR], e "052002 – Dif.Anuênio", no valor de [VALOR], que não guardam qualquer relação com o mês de janeiro e correspondem, matematicamente, ao acerto do período de retorno ao trabalho em [MÊS/ANO]:</w:t>
      </w:r>
    </w:p>
    <w:p>
      <w:pPr>
        <w:pStyle w:val="Normal"/>
        <w:spacing w:lineRule="exact" w:line="240" w:before="100" w:after="40"/>
        <w:ind w:left="2268" w:hanging="0"/>
        <w:jc w:val="left"/>
        <w:rPr/>
      </w:pPr>
      <w:r>
        <w:rPr>
          <w:rFonts w:eastAsia="Arial" w:cs="Arial"/>
          <w:i w:val="false"/>
          <w:iCs w:val="false"/>
          <w:sz w:val="20"/>
          <w:szCs w:val="20"/>
        </w:rPr>
        <w:t>Remuneração de [MÊS/ANO]: Salário [VALOR] + Anuênio [VALOR].</w:t>
      </w:r>
    </w:p>
    <w:p>
      <w:pPr>
        <w:pStyle w:val="Normal"/>
        <w:spacing w:lineRule="exact" w:line="240" w:before="0" w:after="40"/>
        <w:ind w:left="2268" w:hanging="0"/>
        <w:jc w:val="left"/>
        <w:rPr/>
      </w:pPr>
      <w:r>
        <w:rPr>
          <w:rFonts w:eastAsia="Arial" w:cs="Arial"/>
          <w:i w:val="false"/>
          <w:iCs w:val="false"/>
          <w:sz w:val="20"/>
          <w:szCs w:val="20"/>
        </w:rPr>
        <w:t>Divisor mensal (art. 64 da CLT — mês de 30 dias): [VALOR] ÷ 30 = [VALOR]/dia; [VALOR] ÷ 30 = [VALOR]/dia.</w:t>
      </w:r>
    </w:p>
    <w:p>
      <w:pPr>
        <w:pStyle w:val="Normal"/>
        <w:spacing w:lineRule="exact" w:line="240" w:before="0" w:after="160"/>
        <w:ind w:left="2268" w:hanging="0"/>
        <w:jc w:val="left"/>
        <w:rPr/>
      </w:pPr>
      <w:r>
        <w:rPr>
          <w:rFonts w:eastAsia="Arial" w:cs="Arial"/>
          <w:i w:val="false"/>
          <w:iCs w:val="false"/>
          <w:sz w:val="20"/>
          <w:szCs w:val="20"/>
        </w:rPr>
        <w:t>Rubricas creditadas em [MÊS/ANO]: [VALOR] + [VALOR] = [VALOR].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aritmética é exata e inafastável. A folha de [MÊS/ANO] remunerou 19/30 avos; o acerto de [MÊS/ANO] acresceu 1/30 avos, elevando o total pago a </w:t>
      </w:r>
      <w:r>
        <w:rPr>
          <w:rFonts w:eastAsia="Arial" w:cs="Arial"/>
          <w:b/>
          <w:bCs/>
          <w:sz w:val="22"/>
          <w:szCs w:val="22"/>
        </w:rPr>
        <w:t>20/30 avos</w:t>
      </w:r>
      <w:r>
        <w:rPr>
          <w:rFonts w:eastAsia="Arial" w:cs="Arial"/>
          <w:sz w:val="22"/>
          <w:szCs w:val="22"/>
        </w:rPr>
        <w:t xml:space="preserve"> e reduzindo a dedução a </w:t>
      </w:r>
      <w:r>
        <w:rPr>
          <w:rFonts w:eastAsia="Arial" w:cs="Arial"/>
          <w:b/>
          <w:bCs/>
          <w:sz w:val="22"/>
          <w:szCs w:val="22"/>
        </w:rPr>
        <w:t>10/30 avos</w:t>
      </w:r>
      <w:r>
        <w:rPr>
          <w:rFonts w:eastAsia="Arial" w:cs="Arial"/>
          <w:sz w:val="22"/>
          <w:szCs w:val="22"/>
        </w:rPr>
        <w:t xml:space="preserve"> — exatamente o interregno de 20 a [DATA], período de licença previdenciária. Como o mês de dezembro, para fins de remuneração do empregado mensalista, é computado em 30 avos, o dia 31 não é objeto de remuneração autônoma, de sorte que </w:t>
      </w:r>
      <w:r>
        <w:rPr>
          <w:rFonts w:eastAsia="Arial" w:cs="Arial"/>
          <w:b/>
          <w:bCs/>
          <w:sz w:val="22"/>
          <w:szCs w:val="22"/>
        </w:rPr>
        <w:t>o acerto realizado quitou integralmente o período de retorno ao trabalho (30 e [DATA])</w:t>
      </w:r>
      <w:r>
        <w:rPr>
          <w:rFonts w:eastAsia="Arial" w:cs="Arial"/>
          <w:sz w:val="22"/>
          <w:szCs w:val="22"/>
        </w:rPr>
        <w:t>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Assim, quanto aos dias 30 e [DATA], falta à Autora interesse de agir, na modalidade necessidade, impondo-se a extinção parcial do feito sem resolução do mérito, nos termos do art. 485, VI, do CPC, aplicável subsidiariamente por força do art. 769 da CLT.</w:t>
      </w:r>
    </w:p>
    <w:p>
      <w:pPr>
        <w:pStyle w:val="Normal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lineRule="exact" w:line="240" w:before="320" w:after="260"/>
        <w:ind w:left="0" w:right="0" w:hanging="0"/>
        <w:jc w:val="center"/>
        <w:rPr/>
      </w:pPr>
      <w:r>
        <w:rPr>
          <w:rFonts w:eastAsia="Arial" w:cs="Arial"/>
          <w:b/>
          <w:bCs/>
          <w:sz w:val="22"/>
          <w:szCs w:val="22"/>
        </w:rPr>
        <w:t>DO MÉRITO</w:t>
      </w:r>
    </w:p>
    <w:p>
      <w:pPr>
        <w:pStyle w:val="Normal"/>
        <w:spacing w:lineRule="exact" w:line="360" w:before="200" w:after="120"/>
        <w:ind w:left="1701" w:hanging="0"/>
        <w:jc w:val="both"/>
        <w:rPr>
          <w:u w:val="single"/>
        </w:rPr>
      </w:pPr>
      <w:r>
        <w:rPr>
          <w:rFonts w:eastAsia="Arial" w:cs="Arial"/>
          <w:b/>
          <w:bCs/>
          <w:sz w:val="22"/>
          <w:szCs w:val="22"/>
          <w:u w:val="single"/>
        </w:rPr>
        <w:t>1 – DO LIMITE LEGAL DE 15 DIAS DE RESPONSABILIDADE DO EMPREGADOR E DA SUSPENSÃO DO CONTRATO DE TRABALHO A PARTIR DE [DATA] — ENQUADRAMENTO RATIFICADO PELO PRÓPRIO INSS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tese autoral repousa sobre a premissa de que a Reclamada "deveria ter apenas deduzido os dois dias, 20 e 21" de [MÊS/ANO]. 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Contudo, a</w:t>
      </w:r>
      <w:r>
        <w:rPr>
          <w:rFonts w:eastAsia="Arial" w:cs="Arial"/>
          <w:sz w:val="22"/>
          <w:szCs w:val="22"/>
        </w:rPr>
        <w:t xml:space="preserve"> premissa é duplamente equivocada. Vejamos a sequência fática, toda ela documentada no processo administrativo SEI nº [SEI Nº]:</w:t>
      </w:r>
    </w:p>
    <w:p>
      <w:pPr>
        <w:pStyle w:val="Normal"/>
        <w:widowControl/>
        <w:bidi w:val="0"/>
        <w:spacing w:lineRule="exact" w:line="360" w:before="0" w:after="120"/>
        <w:ind w:left="1701" w:right="0" w:hanging="0"/>
        <w:jc w:val="both"/>
        <w:rPr/>
      </w:pPr>
      <w:r>
        <w:rPr>
          <w:rFonts w:eastAsia="Arial" w:cs="Arial"/>
          <w:sz w:val="22"/>
          <w:szCs w:val="22"/>
        </w:rPr>
        <w:t>(a) A Reclamante apresentou atestado médico de 3 (três) dias, referente ao período de 26 a [DATA], integralmente abonado pela empregadora;</w:t>
      </w:r>
    </w:p>
    <w:p>
      <w:pPr>
        <w:pStyle w:val="Normal"/>
        <w:widowControl/>
        <w:bidi w:val="0"/>
        <w:spacing w:lineRule="exact" w:line="360" w:before="0" w:after="120"/>
        <w:ind w:left="1701" w:right="0" w:hanging="0"/>
        <w:jc w:val="both"/>
        <w:rPr/>
      </w:pPr>
      <w:r>
        <w:rPr>
          <w:rFonts w:eastAsia="Arial" w:cs="Arial"/>
          <w:sz w:val="22"/>
          <w:szCs w:val="22"/>
        </w:rPr>
        <w:t>(b) Em seguida, apresentou novo atestado, emitido em [DATA], concedendo 14 (quatorze) dias de afastamento a partir daquela data — ou seja, até [DATA], e não até [DATA], como equivocadamente afirma a exordial;</w:t>
      </w:r>
    </w:p>
    <w:p>
      <w:pPr>
        <w:pStyle w:val="Normal"/>
        <w:widowControl/>
        <w:bidi w:val="0"/>
        <w:spacing w:lineRule="exact" w:line="360" w:before="0" w:after="120"/>
        <w:ind w:left="1701" w:right="0" w:hanging="0"/>
        <w:jc w:val="both"/>
        <w:rPr/>
      </w:pPr>
      <w:r>
        <w:rPr>
          <w:rFonts w:eastAsia="Arial" w:cs="Arial"/>
          <w:sz w:val="22"/>
          <w:szCs w:val="22"/>
        </w:rPr>
        <w:t>(c) A Medicina do Trabalho da Reclamada, em [DATA], homologou o afastamento e concluiu que os atestados foram apresentados de forma intercalada no intervalo de 60 dias e são correlacionados (Homologação de Atestado Médico SEI nº [SEI Nº] e Encaminhamento ao INSS SEI nº [SEI Nº]);</w:t>
      </w:r>
    </w:p>
    <w:p>
      <w:pPr>
        <w:pStyle w:val="Normal"/>
        <w:widowControl/>
        <w:bidi w:val="0"/>
        <w:spacing w:lineRule="exact" w:line="360" w:before="0" w:after="120"/>
        <w:ind w:left="1701" w:right="0" w:hanging="0"/>
        <w:jc w:val="both"/>
        <w:rPr/>
      </w:pPr>
      <w:r>
        <w:rPr>
          <w:rFonts w:eastAsia="Arial" w:cs="Arial"/>
          <w:sz w:val="22"/>
          <w:szCs w:val="22"/>
        </w:rPr>
        <w:t xml:space="preserve">(d) Como consequência </w:t>
      </w:r>
      <w:r>
        <w:rPr>
          <w:rFonts w:eastAsia="Arial" w:cs="Arial"/>
          <w:b/>
          <w:bCs/>
          <w:sz w:val="22"/>
          <w:szCs w:val="22"/>
        </w:rPr>
        <w:t>estritamente legal</w:t>
      </w:r>
      <w:r>
        <w:rPr>
          <w:rFonts w:eastAsia="Arial" w:cs="Arial"/>
          <w:sz w:val="22"/>
          <w:szCs w:val="22"/>
        </w:rPr>
        <w:t xml:space="preserve"> dessa correlação, os 3 dias de novembro somaram-se aos 12 primeiros dias do afastamento de dezembro (08 a [DATA]), perfazendo os </w:t>
      </w:r>
      <w:r>
        <w:rPr>
          <w:rFonts w:eastAsia="Arial" w:cs="Arial"/>
          <w:b/>
          <w:bCs/>
          <w:sz w:val="22"/>
          <w:szCs w:val="22"/>
        </w:rPr>
        <w:t>15 (quinze) dias que constituem o limite máximo de responsabilidade do empregador</w:t>
      </w:r>
      <w:r>
        <w:rPr>
          <w:rFonts w:eastAsia="Arial" w:cs="Arial"/>
          <w:sz w:val="22"/>
          <w:szCs w:val="22"/>
        </w:rPr>
        <w:t>, a teor do art. 60, §3º, da Lei nº 8.213/91;</w:t>
      </w:r>
    </w:p>
    <w:p>
      <w:pPr>
        <w:pStyle w:val="Normal"/>
        <w:widowControl/>
        <w:bidi w:val="0"/>
        <w:spacing w:lineRule="exact" w:line="360" w:before="0" w:after="120"/>
        <w:ind w:left="1701" w:right="0" w:hanging="0"/>
        <w:jc w:val="both"/>
        <w:rPr/>
      </w:pPr>
      <w:r>
        <w:rPr>
          <w:rFonts w:eastAsia="Arial" w:cs="Arial"/>
          <w:sz w:val="22"/>
          <w:szCs w:val="22"/>
        </w:rPr>
        <w:t xml:space="preserve">(e) A partir do 16º dia — vale dizer, de [DATA] —, </w:t>
      </w:r>
      <w:r>
        <w:rPr>
          <w:rFonts w:eastAsia="Arial" w:cs="Arial"/>
          <w:b/>
          <w:bCs/>
          <w:sz w:val="22"/>
          <w:szCs w:val="22"/>
          <w:u w:val="single"/>
        </w:rPr>
        <w:t>opera-se de pleno direito a suspensão do contrato de trabalho (art. 476 da CLT), transferindo-se à autarquia previdenciária o encargo do pagamento, razão pela qual a Reclamada encaminhou a empregada ao INSS "a partir do dia [DATA]"</w:t>
      </w:r>
      <w:r>
        <w:rPr>
          <w:rFonts w:eastAsia="Arial" w:cs="Arial"/>
          <w:sz w:val="22"/>
          <w:szCs w:val="22"/>
        </w:rPr>
        <w:t>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E não é só. A </w:t>
      </w:r>
      <w:r>
        <w:rPr>
          <w:rFonts w:eastAsia="Arial" w:cs="Arial"/>
          <w:b/>
          <w:bCs/>
          <w:sz w:val="22"/>
          <w:szCs w:val="22"/>
        </w:rPr>
        <w:t>Comunicação de Decisão do INSS</w:t>
      </w:r>
      <w:r>
        <w:rPr>
          <w:rFonts w:eastAsia="Arial" w:cs="Arial"/>
          <w:sz w:val="22"/>
          <w:szCs w:val="22"/>
        </w:rPr>
        <w:t xml:space="preserve"> (SEI nº [SEI Nº]), emitida em [DATA], </w:t>
      </w:r>
      <w:r>
        <w:rPr>
          <w:rFonts w:eastAsia="Arial" w:cs="Arial"/>
          <w:b/>
          <w:bCs/>
          <w:sz w:val="22"/>
          <w:szCs w:val="22"/>
        </w:rPr>
        <w:t>ratificou integralmente o enquadramento realizado pela Reclamada</w:t>
      </w:r>
      <w:r>
        <w:rPr>
          <w:rFonts w:eastAsia="Arial" w:cs="Arial"/>
          <w:sz w:val="22"/>
          <w:szCs w:val="22"/>
        </w:rPr>
        <w:t xml:space="preserve">: deferiu o benefício por incapacidade temporária nº [Nº DO BENEFÍCIO], espécie 31, com </w:t>
      </w:r>
      <w:r>
        <w:rPr>
          <w:rFonts w:eastAsia="Arial" w:cs="Arial"/>
          <w:b/>
          <w:bCs/>
          <w:sz w:val="22"/>
          <w:szCs w:val="22"/>
        </w:rPr>
        <w:t>início em [DATA]</w:t>
      </w:r>
      <w:r>
        <w:rPr>
          <w:rFonts w:eastAsia="Arial" w:cs="Arial"/>
          <w:sz w:val="22"/>
          <w:szCs w:val="22"/>
        </w:rPr>
        <w:t xml:space="preserve"> e cessação em [DATA].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Ou seja: os dias 20 e [DATA] — os únicos que a Autora admite pudessem ser deduzidos — foram efetivamente cobertos e pagos pelo INSS, </w:t>
      </w:r>
      <w:r>
        <w:rPr>
          <w:rFonts w:eastAsia="Arial" w:cs="Arial"/>
          <w:sz w:val="22"/>
          <w:szCs w:val="22"/>
        </w:rPr>
        <w:t>sendo que, a partir do dia [DATA], a empregada encontrava-se exclusivamente sob responsabilidade da autarquia previdenciária.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Neste ponto, cabe registrar que o fato de o atestado médico da Reclamante constar como data </w:t>
      </w:r>
      <w:r>
        <w:rPr>
          <w:rFonts w:eastAsia="Arial" w:cs="Arial"/>
          <w:b/>
          <w:bCs/>
          <w:sz w:val="22"/>
          <w:szCs w:val="22"/>
        </w:rPr>
        <w:t>prevista</w:t>
      </w:r>
      <w:r>
        <w:rPr>
          <w:rFonts w:eastAsia="Arial" w:cs="Arial"/>
          <w:b w:val="false"/>
          <w:bCs w:val="false"/>
          <w:sz w:val="22"/>
          <w:szCs w:val="22"/>
        </w:rPr>
        <w:t xml:space="preserve"> de retorno o dia [DATA], o efetivo retorno é determinado administrativamente pelo INSS, podendo se dar na data programada ou não.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Por essa razão, o contrato de trabalho permanece suspenso até que a autarquia encaminhe o empregado de volta ao trabalho, ou até que o próprio empregado, assumindo os riscos, decida, ele próprio retornar sem pronunciamento do INSS.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Não há, portanto, "erro administrativo" algum. Há, sim, o cumprimento rigoroso da lei previdenciária, posteriormente chancelado pela própria autarquia. Não se qualifica como ilícito o ato administrativo que o órgão competente confirma.</w:t>
      </w:r>
    </w:p>
    <w:p>
      <w:pPr>
        <w:pStyle w:val="Normal"/>
        <w:spacing w:lineRule="exact" w:line="360" w:before="200" w:after="120"/>
        <w:ind w:left="1701" w:hanging="0"/>
        <w:jc w:val="both"/>
        <w:rPr>
          <w:u w:val="single"/>
        </w:rPr>
      </w:pPr>
      <w:r>
        <w:rPr>
          <w:rFonts w:eastAsia="Arial" w:cs="Arial"/>
          <w:b/>
          <w:bCs/>
          <w:sz w:val="22"/>
          <w:szCs w:val="22"/>
          <w:u w:val="single"/>
        </w:rPr>
        <w:t>2 – DOS DIAS 22 A [DATA]: LACUNA DE NATUREZA PREVIDENCIÁRIA, CUJA SOLUÇÃO DEPENDE DE ATO DA PRÓPRIA AUTORA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Descontados os dias 20 e [DATA] (pagos pelo INSS) e os dias 30 e [DATA] (já quitados na folha de [MÊS/ANO], conforme demonstrado no tópico preliminar da carência parcial de ação), remanesce em discussão, tão somente, o interregno de 22 a [DATA].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Também aqui a pretensão não prospera, e por razões que decorrem da conduta da própria Reclamante.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>Primeiro</w:t>
      </w:r>
      <w:r>
        <w:rPr>
          <w:rFonts w:eastAsia="Arial" w:cs="Arial"/>
          <w:sz w:val="22"/>
          <w:szCs w:val="22"/>
        </w:rPr>
        <w:t xml:space="preserve">: foi a </w:t>
      </w:r>
      <w:r>
        <w:rPr>
          <w:rFonts w:eastAsia="Arial" w:cs="Arial"/>
          <w:b/>
          <w:bCs/>
          <w:sz w:val="22"/>
          <w:szCs w:val="22"/>
        </w:rPr>
        <w:t>própria empregada</w:t>
      </w:r>
      <w:r>
        <w:rPr>
          <w:rFonts w:eastAsia="Arial" w:cs="Arial"/>
          <w:sz w:val="22"/>
          <w:szCs w:val="22"/>
        </w:rPr>
        <w:t xml:space="preserve"> quem protocolou, em [DATA], o requerimento de benefício por incapacidade perante o INSS (Protocolo nº [Nº DO PROTOCOLO]), cumprindo a exigência documental apenas em [DATA]. Enquanto pendente a análise administrativa por ela deflagrada, sua situação cadastral permaneceu, necessariamente, como licença previdenciária.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>Segundo</w:t>
      </w:r>
      <w:r>
        <w:rPr>
          <w:rFonts w:eastAsia="Arial" w:cs="Arial"/>
          <w:sz w:val="22"/>
          <w:szCs w:val="22"/>
        </w:rPr>
        <w:t>: em [DATA] a Reclamante apôs seu "ciente" na Carta ao Empregado (SEI nº [SEI Nº]), documento que a instruía, de forma minudente, sobre todo o procedimento — inclusive sobre a possibilidade de retorno antecipado ao trabalho, mediante atestado do médico assistente e Aviso de Volta ao Trabalho, na forma do Decreto nº 8.691/16 (item 9), e sobre o dever de apresentar a Comunicação de Decisão do INSS no prazo de 24 horas após a perícia (item 6). Não é crível, pois, a alegação de que teria agido "sem entender".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>Terceiro</w:t>
      </w:r>
      <w:r>
        <w:rPr>
          <w:rFonts w:eastAsia="Arial" w:cs="Arial"/>
          <w:sz w:val="22"/>
          <w:szCs w:val="22"/>
        </w:rPr>
        <w:t xml:space="preserve">: o retorno ao trabalho em [DATA] deu-se por </w:t>
      </w:r>
      <w:r>
        <w:rPr>
          <w:rFonts w:eastAsia="Arial" w:cs="Arial"/>
          <w:b/>
          <w:bCs/>
          <w:sz w:val="22"/>
          <w:szCs w:val="22"/>
        </w:rPr>
        <w:t>iniciativa voluntária da empregada</w:t>
      </w:r>
      <w:r>
        <w:rPr>
          <w:rFonts w:eastAsia="Arial" w:cs="Arial"/>
          <w:sz w:val="22"/>
          <w:szCs w:val="22"/>
        </w:rPr>
        <w:t>, que firmou, de próprio punho, o Termo de Responsabilidade de Retorno ao Trabalho (SEI nº [SEI Nº]), no qual declarou retornar "antes da perícia médica presencial no INSS" e assumiu, expressamente, a obrigação de "comunicar imediatamente o seu retorno ao trabalho ao Instituto Nacional do Seguro Social – INSS, sob pena de responsabilização por prejuízos que porventura venha a causar aos Correios ou ao INSS".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>Quarto</w:t>
      </w:r>
      <w:r>
        <w:rPr>
          <w:rFonts w:eastAsia="Arial" w:cs="Arial"/>
          <w:sz w:val="22"/>
          <w:szCs w:val="22"/>
        </w:rPr>
        <w:t xml:space="preserve">, e decisivo: a Comunicação de Decisão do INSS somente foi juntada ao processo administrativo em </w:t>
      </w:r>
      <w:r>
        <w:rPr>
          <w:rFonts w:eastAsia="Arial" w:cs="Arial"/>
          <w:b/>
          <w:bCs/>
          <w:sz w:val="22"/>
          <w:szCs w:val="22"/>
        </w:rPr>
        <w:t>[MÊS/ANO]</w:t>
      </w:r>
      <w:r>
        <w:rPr>
          <w:rFonts w:eastAsia="Arial" w:cs="Arial"/>
          <w:sz w:val="22"/>
          <w:szCs w:val="22"/>
        </w:rPr>
        <w:t xml:space="preserve">, embora a Autora já tivesse dela ciência desde [DATA]. A Reclamada cobrou-lhe o documento por duas vezes — em [DATA] e em [DATA] (e-mails SEI nº [SEI Nº] e [SEI Nº]) — sem obter resposta. Enquanto o CRER não ingressou nos autos administrativos, </w:t>
      </w:r>
      <w:r>
        <w:rPr>
          <w:rFonts w:eastAsia="Arial" w:cs="Arial"/>
          <w:b/>
          <w:bCs/>
          <w:sz w:val="22"/>
          <w:szCs w:val="22"/>
        </w:rPr>
        <w:t>a Reclamada esteve materialmente impedida de promover qualquer acerto de folha</w:t>
      </w:r>
      <w:r>
        <w:rPr>
          <w:rFonts w:eastAsia="Arial" w:cs="Arial"/>
          <w:sz w:val="22"/>
          <w:szCs w:val="22"/>
        </w:rPr>
        <w:t>, porquanto desconhecia a extensão da cobertura previdenciária deferida.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A alegada "inércia da empresa pública" é, portanto, o exato oposto do que revelam os autos: a inércia foi da Reclamante, que descumpriu obrigação por ela mesma assumida por escrito, e que agora pretende extrair proveito de sua própria omissão — o que o ordenamento repele, seja pelo brocardo segundo o qual ninguém pode beneficiar-se da própria torpeza, seja pela vedação ao comportamento contraditório (art. 422 do Código Civil).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Some-se que, tão logo recebeu o CRER, a Reclamada orientou a empregada, em [DATA] (Formulário de Resposta CEGEP [Nº]), a buscar a revisão da decisão junto ao INSS, mediante a reapresentação de todos os atestados médicos e do Termo de retorno ao trabalho. Trata-se, como se vê, de lacuna de cobertura de natureza estritamente previdenciária, cuja solução depende de ato da segurada perante a autarquia — via que a Autora sequer tentou percorrer, preferindo demandar a empregadora.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Não é demais registrar que a Reclamante conhece perfeitamente esse procedimento. O mesmo processo administrativo documenta situação rigorosamente análoga ocorrida em 2021, quando, cessado o benefício em [DATA] e verificado o retorno apenas em [DATA], a Reclamada aplicou idêntico tratamento normativo e a orientou, nos mesmos termos, a interpor recurso ou pedido de prorrogação perante o INSS. A conduta patronal é, pois, uniforme, impessoal e alheia a qualquer discricionariedade.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>Subsidiariamente</w:t>
      </w:r>
      <w:r>
        <w:rPr>
          <w:rFonts w:eastAsia="Arial" w:cs="Arial"/>
          <w:sz w:val="22"/>
          <w:szCs w:val="22"/>
        </w:rPr>
        <w:t xml:space="preserve">, e apenas pelo princípio da eventualidade, caso se entenda devida alguma parcela relativa ao período, requer-se desde logo que a apuração observe </w:t>
      </w:r>
      <w:r>
        <w:rPr>
          <w:rFonts w:eastAsia="Arial" w:cs="Arial"/>
          <w:b/>
          <w:bCs/>
          <w:sz w:val="22"/>
          <w:szCs w:val="22"/>
        </w:rPr>
        <w:t>os valores vigentes em [MÊS/ANO]</w:t>
      </w:r>
      <w:r>
        <w:rPr>
          <w:rFonts w:eastAsia="Arial" w:cs="Arial"/>
          <w:sz w:val="22"/>
          <w:szCs w:val="22"/>
        </w:rPr>
        <w:t xml:space="preserve"> (salário-base de [VALOR] e anuênio de [VALOR]), e não os valores já reajustados de [MÊS/ANO], como equivocadamente fez a inicial, sob pena de duplicidade — porquanto as diferenças decorrentes do reajuste de [X]% do ACT 2025/2026 foram objeto de pagamento autônomo, conforme adiante se demonstra.</w:t>
      </w:r>
    </w:p>
    <w:p>
      <w:pPr>
        <w:pStyle w:val="Normal"/>
        <w:spacing w:lineRule="exact" w:line="360" w:before="200" w:after="120"/>
        <w:ind w:left="1701" w:hanging="0"/>
        <w:jc w:val="both"/>
        <w:rPr>
          <w:u w:val="single"/>
        </w:rPr>
      </w:pPr>
      <w:r>
        <w:rPr>
          <w:rFonts w:eastAsia="Arial" w:cs="Arial"/>
          <w:b/>
          <w:bCs/>
          <w:sz w:val="22"/>
          <w:szCs w:val="22"/>
          <w:u w:val="single"/>
        </w:rPr>
        <w:t>3 – DA INEXISTÊNCIA DE DESCONTO DE VALES-ALIMENTAÇÃO E VALE-CESTA: ALEGAÇÃO DESMENTIDA PELOS PRÓPRIOS DOCUMENTOS DA AUTORA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Sustenta a exordial que a Reclamada teria descontado "dez vales-alimentação e um vale cesta", postulando o respectivo ressarcimento em pecúnia, no montante de [VALOR] e [VALOR].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alegação </w:t>
      </w:r>
      <w:r>
        <w:rPr>
          <w:rFonts w:eastAsia="Arial" w:cs="Arial"/>
          <w:b/>
          <w:bCs/>
          <w:sz w:val="22"/>
          <w:szCs w:val="22"/>
        </w:rPr>
        <w:t>não procede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eastAsia="Arial" w:cs="Arial"/>
          <w:sz w:val="22"/>
          <w:szCs w:val="22"/>
        </w:rPr>
        <w:t xml:space="preserve">conforme </w:t>
      </w:r>
      <w:r>
        <w:rPr>
          <w:rFonts w:eastAsia="Arial" w:cs="Arial"/>
          <w:sz w:val="22"/>
          <w:szCs w:val="22"/>
        </w:rPr>
        <w:t xml:space="preserve">documentos juntados pela </w:t>
      </w:r>
      <w:r>
        <w:rPr>
          <w:rFonts w:eastAsia="Arial" w:cs="Arial"/>
          <w:b/>
          <w:bCs/>
          <w:sz w:val="22"/>
          <w:szCs w:val="22"/>
        </w:rPr>
        <w:t>própria Reclamante</w:t>
      </w:r>
      <w:r>
        <w:rPr>
          <w:rFonts w:eastAsia="Arial" w:cs="Arial"/>
          <w:sz w:val="22"/>
          <w:szCs w:val="22"/>
        </w:rPr>
        <w:t>. Basta o exame do campo "Benefícios e Encargos" dos contracheques acostados à inicial:</w:t>
      </w:r>
    </w:p>
    <w:p>
      <w:pPr>
        <w:pStyle w:val="Normal"/>
        <w:spacing w:lineRule="exact" w:line="240" w:before="100" w:after="4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>[MÊS/ANO] — Vale Alimentação/Refeição: 22 unidades; Vale Alimentação 2 (vale-cesta): 1 unidade.</w:t>
      </w:r>
    </w:p>
    <w:p>
      <w:pPr>
        <w:pStyle w:val="Normal"/>
        <w:spacing w:lineRule="exact" w:line="240" w:before="0" w:after="4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>[MÊS/ANO] — Vale Alimentação/Refeição: 22 unidades ([VALOR]); Vale Alimentação 2: 1 unidade ([VALOR]).</w:t>
      </w:r>
    </w:p>
    <w:p>
      <w:pPr>
        <w:pStyle w:val="Normal"/>
        <w:spacing w:lineRule="exact" w:line="240" w:before="0" w:after="4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>[MÊS/ANO] — Vale Alimentação/Refeição: 22 unidades ([VALOR]); Vale Alimentação 2: 1 unidade ([VALOR]).</w:t>
      </w:r>
    </w:p>
    <w:p>
      <w:pPr>
        <w:pStyle w:val="Normal"/>
        <w:spacing w:lineRule="exact" w:line="240" w:before="0" w:after="160"/>
        <w:ind w:left="2268" w:hanging="0"/>
        <w:jc w:val="both"/>
        <w:rPr/>
      </w:pPr>
      <w:r>
        <w:rPr>
          <w:rFonts w:eastAsia="Arial" w:cs="Arial"/>
          <w:i w:val="false"/>
          <w:iCs w:val="false"/>
          <w:sz w:val="20"/>
          <w:szCs w:val="20"/>
        </w:rPr>
        <w:t>[MÊS/ANO] — Vale Alimentação/Refeição: 22 unidades ([VALOR]); Vale Alimentação 2: 1 unidade ([VALOR]).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Em </w:t>
      </w:r>
      <w:r>
        <w:rPr>
          <w:rFonts w:eastAsia="Arial" w:cs="Arial"/>
          <w:b/>
          <w:bCs/>
          <w:sz w:val="22"/>
          <w:szCs w:val="22"/>
        </w:rPr>
        <w:t>todos</w:t>
      </w:r>
      <w:r>
        <w:rPr>
          <w:rFonts w:eastAsia="Arial" w:cs="Arial"/>
          <w:sz w:val="22"/>
          <w:szCs w:val="22"/>
        </w:rPr>
        <w:t xml:space="preserve"> os meses — inclusive naquele em que houve o afastamento — a Reclamante recebeu a </w:t>
      </w:r>
      <w:r>
        <w:rPr>
          <w:rFonts w:eastAsia="Arial" w:cs="Arial"/>
          <w:b/>
          <w:bCs/>
          <w:sz w:val="22"/>
          <w:szCs w:val="22"/>
        </w:rPr>
        <w:t>integralidade</w:t>
      </w:r>
      <w:r>
        <w:rPr>
          <w:rFonts w:eastAsia="Arial" w:cs="Arial"/>
          <w:sz w:val="22"/>
          <w:szCs w:val="22"/>
        </w:rPr>
        <w:t xml:space="preserve"> dos 22 vales-alimentação e do vale-cesta previstos na cláusula 48 do Acordo Coletivo de Trabalho 2025/2026. Não houve supressão de um único vale sequer.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O resultado, aliás, era previsível: o processo administrativo registra que a Gerência de Administração de Benefícios analisou especificamente os benefícios da empregada por duas vezes — em [DATA], por ocasião do afastamento (Formulário GBEN-CEGEP [Nº]), e em [DATA], por ocasião do retorno (Formulário GBEN-CEGEP [Nº]) —, concluindo, em ambas, que "não há ajustes a serem realizados".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O pedido, portanto, além de improcedente, é formulado contra fato cuja inexistência é demonstrada por documento que a própria Autora trouxe aos autos.</w:t>
      </w:r>
    </w:p>
    <w:p>
      <w:pPr>
        <w:pStyle w:val="Normal"/>
        <w:spacing w:lineRule="exact" w:line="360" w:before="200" w:after="120"/>
        <w:ind w:left="1701" w:hanging="0"/>
        <w:jc w:val="both"/>
        <w:rPr>
          <w:u w:val="single"/>
        </w:rPr>
      </w:pPr>
      <w:r>
        <w:rPr>
          <w:rFonts w:eastAsia="Arial" w:cs="Arial"/>
          <w:b/>
          <w:bCs/>
          <w:sz w:val="22"/>
          <w:szCs w:val="22"/>
          <w:u w:val="single"/>
        </w:rPr>
        <w:t>4 – DO REAJUSTE DO ACT 2025/2026: PAGAMENTO JÁ EFETUADO E RISCO DE BIS IN IDEM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A inicial calcula os dias postulados com base na remuneração já acrescida do reajuste de [X]% previsto na cláusula 55 do ACT 2025/2026 — utilizando o salário de [VALOR] e o anuênio de [VALOR], isto é, precisamente os valores de [MÊS/ANO].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Sucede que a própria exordial reconhece que "os valores retroativos serão pagos em [MÊS/ANO]". E os contracheques por ela juntados comprovam que o reajuste foi efetivamente implantado a partir de [MÊS/ANO], bem como que os benefícios de vale-alimentação e vale-cesta foram igualmente reajustados no mesmo percentual ([VALOR] por vale e [VALOR] de vale-cesta, valores exatos das cláusulas 48 do ACT).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Registre-se, ainda, o evidente erro material da inicial ao afirmar que o Acordo Coletivo teria sido "assinado em [DATA]" — data posterior ao próprio ajuizamento da ação ([DATA]), e, portanto, materialmente impossível.</w:t>
      </w:r>
    </w:p>
    <w:p>
      <w:pPr>
        <w:pStyle w:val="Normal"/>
        <w:spacing w:lineRule="exact" w:line="360" w:before="200" w:after="120"/>
        <w:ind w:left="1701" w:hanging="0"/>
        <w:jc w:val="both"/>
        <w:rPr>
          <w:u w:val="single"/>
        </w:rPr>
      </w:pPr>
      <w:r>
        <w:rPr>
          <w:rFonts w:eastAsia="Arial" w:cs="Arial"/>
          <w:b/>
          <w:bCs/>
          <w:sz w:val="22"/>
          <w:szCs w:val="22"/>
          <w:u w:val="single"/>
        </w:rPr>
        <w:t>5 – DAS FÉRIAS: EXCLUSÃO AUTOMÁTICA DECORRENTE DO AFASTAMENTO E CONCORRÊNCIA DECISIVA DA PRÓPRIA AUTORA NA DEFINIÇÃO DO PERÍODO DE GOZO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Alega a Reclamante que a Reclamada teria "cancelado" suas férias, em mais um "erro administrativo", e que a reprogramação só teria ocorrido após notificação sindical. A narrativa não resiste ao confronto com o processo administrativo.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>Primeiro</w:t>
      </w:r>
      <w:r>
        <w:rPr>
          <w:rFonts w:eastAsia="Arial" w:cs="Arial"/>
          <w:sz w:val="22"/>
          <w:szCs w:val="22"/>
        </w:rPr>
        <w:t xml:space="preserve">: a exclusão da programação não decorreu de deliberação arbitrária, mas de </w:t>
      </w:r>
      <w:r>
        <w:rPr>
          <w:rFonts w:eastAsia="Arial" w:cs="Arial"/>
          <w:b/>
          <w:bCs/>
          <w:sz w:val="22"/>
          <w:szCs w:val="22"/>
        </w:rPr>
        <w:t>consequência normativa automática do afastamento médico da própria empregada</w:t>
      </w:r>
      <w:r>
        <w:rPr>
          <w:rFonts w:eastAsia="Arial" w:cs="Arial"/>
          <w:sz w:val="22"/>
          <w:szCs w:val="22"/>
        </w:rPr>
        <w:t>. É o que consta, com todas as letras, do Formulário de Resposta CEGEP-FÉRIAS [Nº], de [DATA]: "Em função do afastamento, as férias do empregado foram excluídas da tela de programação", cabendo nova marcação após o retorno, sendo certo que, vencido ou por vencer o período concessivo, o gozo se daria "o mais breve possível".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>Segundo</w:t>
      </w:r>
      <w:r>
        <w:rPr>
          <w:rFonts w:eastAsia="Arial" w:cs="Arial"/>
          <w:sz w:val="22"/>
          <w:szCs w:val="22"/>
        </w:rPr>
        <w:t xml:space="preserve">: a Reclamada agiu </w:t>
      </w:r>
      <w:r>
        <w:rPr>
          <w:rFonts w:eastAsia="Arial" w:cs="Arial"/>
          <w:b/>
          <w:bCs/>
          <w:sz w:val="22"/>
          <w:szCs w:val="22"/>
        </w:rPr>
        <w:t>antes</w:t>
      </w:r>
      <w:r>
        <w:rPr>
          <w:rFonts w:eastAsia="Arial" w:cs="Arial"/>
          <w:sz w:val="22"/>
          <w:szCs w:val="22"/>
        </w:rPr>
        <w:t xml:space="preserve"> do vencimento do período concessivo. Em </w:t>
      </w:r>
      <w:r>
        <w:rPr>
          <w:rFonts w:eastAsia="Arial" w:cs="Arial"/>
          <w:b/>
          <w:bCs/>
          <w:sz w:val="22"/>
          <w:szCs w:val="22"/>
        </w:rPr>
        <w:t>[DATA]</w:t>
      </w:r>
      <w:r>
        <w:rPr>
          <w:rFonts w:eastAsia="Arial" w:cs="Arial"/>
          <w:sz w:val="22"/>
          <w:szCs w:val="22"/>
        </w:rPr>
        <w:t xml:space="preserve"> — três dias antes do termo final de [DATA] — a CEGEP-FÉRIAS já havia deflagrado a reprogramação compulsória, identificando o saldo de 30 dias do período aquisitivo 2024/2025 e fixando ao gestor o prazo de [DATA] para resposta, tudo na forma do MANPES 19/01, Anexo 08, itens 5.3, "b", e 9.4.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Terceiro </w:t>
      </w:r>
      <w:r>
        <w:rPr>
          <w:rFonts w:eastAsia="Arial" w:cs="Arial"/>
          <w:sz w:val="22"/>
          <w:szCs w:val="22"/>
        </w:rPr>
        <w:t xml:space="preserve">e definitivo: </w:t>
      </w:r>
      <w:r>
        <w:rPr>
          <w:rFonts w:eastAsia="Arial" w:cs="Arial"/>
          <w:b/>
          <w:bCs/>
          <w:sz w:val="22"/>
          <w:szCs w:val="22"/>
        </w:rPr>
        <w:t>a própria Reclamante concorreu para o deslocamento da data de início do gozo</w:t>
      </w:r>
      <w:r>
        <w:rPr>
          <w:rFonts w:eastAsia="Arial" w:cs="Arial"/>
          <w:sz w:val="22"/>
          <w:szCs w:val="22"/>
        </w:rPr>
        <w:t xml:space="preserve">. Em [DATA], ela </w:t>
      </w:r>
      <w:r>
        <w:rPr>
          <w:rFonts w:eastAsia="Arial" w:cs="Arial"/>
          <w:b/>
          <w:bCs/>
          <w:sz w:val="22"/>
          <w:szCs w:val="22"/>
        </w:rPr>
        <w:t>assinou eletronicamente</w:t>
      </w:r>
      <w:r>
        <w:rPr>
          <w:rFonts w:eastAsia="Arial" w:cs="Arial"/>
          <w:sz w:val="22"/>
          <w:szCs w:val="22"/>
        </w:rPr>
        <w:t xml:space="preserve"> o Formulário de Excepcionalidade de Férias (SEI nº [SEI Nº]), no qual requereu o gozo no período de </w:t>
      </w:r>
      <w:r>
        <w:rPr>
          <w:rFonts w:eastAsia="Arial" w:cs="Arial"/>
          <w:b/>
          <w:bCs/>
          <w:sz w:val="22"/>
          <w:szCs w:val="22"/>
        </w:rPr>
        <w:t>[DATA] a [DATA]</w:t>
      </w:r>
      <w:r>
        <w:rPr>
          <w:rFonts w:eastAsia="Arial" w:cs="Arial"/>
          <w:sz w:val="22"/>
          <w:szCs w:val="22"/>
        </w:rPr>
        <w:t xml:space="preserve"> — isto é, período </w:t>
      </w:r>
      <w:r>
        <w:rPr>
          <w:rFonts w:eastAsia="Arial" w:cs="Arial"/>
          <w:b/>
          <w:bCs/>
          <w:sz w:val="22"/>
          <w:szCs w:val="22"/>
        </w:rPr>
        <w:t>já integralmente vencido</w:t>
      </w:r>
      <w:r>
        <w:rPr>
          <w:rFonts w:eastAsia="Arial" w:cs="Arial"/>
          <w:sz w:val="22"/>
          <w:szCs w:val="22"/>
        </w:rPr>
        <w:t xml:space="preserve"> na data da assinatura e, portanto, de impossível atendimento. Somado ao prazo normativo de 7 (sete) dias úteis para processamento pela GPAG/CEGEP e ao cronograma de pagamento imposto pelo art. 145 da CLT, é esse o fator que explica a fixação do início para [DATA].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Não se pode, à evidência, imputar à empregadora a mora a que a própria empregada deu causa. Ainda assim, e por dever de lealdade processual, a Reclamada não desconhece que o gozo teve início 16 (dezesseis) dias após o termo do período concessivo, razão pela qual, </w:t>
      </w:r>
      <w:r>
        <w:rPr>
          <w:rFonts w:eastAsia="Arial" w:cs="Arial"/>
          <w:b/>
          <w:bCs/>
          <w:sz w:val="22"/>
          <w:szCs w:val="22"/>
        </w:rPr>
        <w:t>e apenas pelo princípio da eventualidade</w:t>
      </w:r>
      <w:r>
        <w:rPr>
          <w:rFonts w:eastAsia="Arial" w:cs="Arial"/>
          <w:sz w:val="22"/>
          <w:szCs w:val="22"/>
        </w:rPr>
        <w:t>, passa a impugnar especificamente a base de cálculo da dobra pretendida.</w:t>
      </w:r>
    </w:p>
    <w:p>
      <w:pPr>
        <w:pStyle w:val="Normal"/>
        <w:spacing w:lineRule="exact" w:line="360" w:before="200" w:after="120"/>
        <w:ind w:left="1701" w:hanging="0"/>
        <w:jc w:val="both"/>
        <w:rPr>
          <w:u w:val="single"/>
        </w:rPr>
      </w:pPr>
      <w:r>
        <w:rPr>
          <w:rFonts w:eastAsia="Arial" w:cs="Arial"/>
          <w:b/>
          <w:bCs/>
          <w:sz w:val="22"/>
          <w:szCs w:val="22"/>
          <w:u w:val="single"/>
        </w:rPr>
        <w:t>5.1</w:t>
      </w:r>
      <w:r>
        <w:rPr>
          <w:rFonts w:eastAsia="Arial" w:cs="Arial"/>
          <w:b/>
          <w:bCs/>
          <w:sz w:val="22"/>
          <w:szCs w:val="22"/>
          <w:u w:val="single"/>
        </w:rPr>
        <w:t xml:space="preserve"> – DA IMPUGNAÇÃO ESPECÍFICA À BASE DE CÁLCULO DA DOBRA DE FÉRIAS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A Autora atribui à "dobra das férias" o valor de [VALOR], obtido pela simples soma de todas as rubricas do recibo de férias de [MÊS/ANO], com a única exclusão do adiantamento da gratificação natalina. O critério é insustentável.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O montante pretendido decompõe-se assim:</w:t>
      </w:r>
    </w:p>
    <w:p>
      <w:pPr>
        <w:pStyle w:val="Normal"/>
        <w:spacing w:lineRule="exact" w:line="240" w:before="100" w:after="40"/>
        <w:ind w:left="2268" w:hanging="0"/>
        <w:jc w:val="left"/>
        <w:rPr/>
      </w:pPr>
      <w:r>
        <w:rPr>
          <w:rFonts w:eastAsia="Arial" w:cs="Arial"/>
          <w:i w:val="false"/>
          <w:iCs w:val="false"/>
          <w:sz w:val="20"/>
          <w:szCs w:val="20"/>
        </w:rPr>
        <w:t>Adiantamento de Férias (20 dias) .................. [VALOR]</w:t>
      </w:r>
    </w:p>
    <w:p>
      <w:pPr>
        <w:pStyle w:val="Normal"/>
        <w:spacing w:lineRule="exact" w:line="240" w:before="0" w:after="40"/>
        <w:ind w:left="2268" w:hanging="0"/>
        <w:jc w:val="left"/>
        <w:rPr/>
      </w:pPr>
      <w:r>
        <w:rPr>
          <w:rFonts w:eastAsia="Arial" w:cs="Arial"/>
          <w:i w:val="false"/>
          <w:iCs w:val="false"/>
          <w:sz w:val="20"/>
          <w:szCs w:val="20"/>
        </w:rPr>
        <w:t>Abono Pecuniário (10 dias) ........................ [VALOR]</w:t>
      </w:r>
    </w:p>
    <w:p>
      <w:pPr>
        <w:pStyle w:val="Normal"/>
        <w:spacing w:lineRule="exact" w:line="240" w:before="0" w:after="40"/>
        <w:ind w:left="2268" w:hanging="0"/>
        <w:jc w:val="left"/>
        <w:rPr/>
      </w:pPr>
      <w:r>
        <w:rPr>
          <w:rFonts w:eastAsia="Arial" w:cs="Arial"/>
          <w:i w:val="false"/>
          <w:iCs w:val="false"/>
          <w:sz w:val="20"/>
          <w:szCs w:val="20"/>
        </w:rPr>
        <w:t>Média de Proventos ................................ [VALOR]</w:t>
      </w:r>
    </w:p>
    <w:p>
      <w:pPr>
        <w:pStyle w:val="Normal"/>
        <w:spacing w:lineRule="exact" w:line="240" w:before="0" w:after="40"/>
        <w:ind w:left="2268" w:hanging="0"/>
        <w:jc w:val="left"/>
        <w:rPr/>
      </w:pPr>
      <w:r>
        <w:rPr>
          <w:rFonts w:eastAsia="Arial" w:cs="Arial"/>
          <w:i w:val="false"/>
          <w:iCs w:val="false"/>
          <w:sz w:val="20"/>
          <w:szCs w:val="20"/>
        </w:rPr>
        <w:t>Gratificação de Férias 1/3 ........................ [VALOR]</w:t>
      </w:r>
    </w:p>
    <w:p>
      <w:pPr>
        <w:pStyle w:val="Normal"/>
        <w:spacing w:lineRule="exact" w:line="240" w:before="0" w:after="40"/>
        <w:ind w:left="2268" w:hanging="0"/>
        <w:jc w:val="left"/>
        <w:rPr/>
      </w:pPr>
      <w:r>
        <w:rPr>
          <w:rFonts w:eastAsia="Arial" w:cs="Arial"/>
          <w:i w:val="false"/>
          <w:iCs w:val="false"/>
          <w:sz w:val="20"/>
          <w:szCs w:val="20"/>
        </w:rPr>
        <w:t>Gratificação de Férias Complementar ............... [VALOR]</w:t>
      </w:r>
    </w:p>
    <w:p>
      <w:pPr>
        <w:pStyle w:val="Normal"/>
        <w:spacing w:lineRule="exact" w:line="240" w:before="0" w:after="160"/>
        <w:ind w:left="2268" w:hanging="0"/>
        <w:jc w:val="left"/>
        <w:rPr/>
      </w:pPr>
      <w:r>
        <w:rPr>
          <w:rFonts w:eastAsia="Arial" w:cs="Arial"/>
          <w:i w:val="false"/>
          <w:iCs w:val="false"/>
          <w:sz w:val="20"/>
          <w:szCs w:val="20"/>
        </w:rPr>
        <w:t>TOTAL PLEITEADO ................................... [VALOR]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Ora, o art. 137 da CLT determina o pagamento em dobro da </w:t>
      </w:r>
      <w:r>
        <w:rPr>
          <w:rFonts w:eastAsia="Arial" w:cs="Arial"/>
          <w:b/>
          <w:bCs/>
          <w:sz w:val="22"/>
          <w:szCs w:val="22"/>
        </w:rPr>
        <w:t>remuneração das férias</w:t>
      </w:r>
      <w:r>
        <w:rPr>
          <w:rFonts w:eastAsia="Arial" w:cs="Arial"/>
          <w:sz w:val="22"/>
          <w:szCs w:val="22"/>
        </w:rPr>
        <w:t xml:space="preserve"> — e não de toda e qualquer parcela creditada no mesmo recibo. Impõe-se, pois, a exclusão:</w:t>
      </w:r>
    </w:p>
    <w:p>
      <w:pPr>
        <w:pStyle w:val="Normal"/>
        <w:widowControl/>
        <w:bidi w:val="0"/>
        <w:spacing w:lineRule="exact" w:line="360" w:before="0" w:after="120"/>
        <w:ind w:left="1701" w:right="0" w:hanging="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 xml:space="preserve">(a) do </w:t>
      </w:r>
      <w:r>
        <w:rPr>
          <w:rFonts w:eastAsia="Arial" w:cs="Arial"/>
          <w:b/>
          <w:bCs/>
          <w:sz w:val="22"/>
          <w:szCs w:val="22"/>
        </w:rPr>
        <w:t>abono pecuniário ([VALOR])</w:t>
      </w:r>
      <w:r>
        <w:rPr>
          <w:rFonts w:eastAsia="Arial" w:cs="Arial"/>
          <w:sz w:val="22"/>
          <w:szCs w:val="22"/>
        </w:rPr>
        <w:t xml:space="preserve">, que possui natureza indenizatória e decorre de </w:t>
      </w:r>
      <w:r>
        <w:rPr>
          <w:rFonts w:eastAsia="Arial" w:cs="Arial"/>
          <w:b/>
          <w:bCs/>
          <w:sz w:val="22"/>
          <w:szCs w:val="22"/>
        </w:rPr>
        <w:t>opção facultativa da própria empregada</w:t>
      </w:r>
      <w:r>
        <w:rPr>
          <w:rFonts w:eastAsia="Arial" w:cs="Arial"/>
          <w:sz w:val="22"/>
          <w:szCs w:val="22"/>
        </w:rPr>
        <w:t xml:space="preserve"> (art. 143 da CLT), formalizada no já mencionado Formulário de Excepcionalidade de Férias por ela assinado em [DATA], no qual assinalou "Abono pecuniário: SIM". Os dez dias convertidos em pecúnia sequer foram objeto de gozo — como consigna o próprio recibo, o abono correspondeu ao período de [DATA] a [DATA] —, de modo que não podem ser alcançados pela sanção do art. 137 da CLT;</w:t>
      </w:r>
    </w:p>
    <w:p>
      <w:pPr>
        <w:pStyle w:val="Normal"/>
        <w:widowControl/>
        <w:bidi w:val="0"/>
        <w:spacing w:lineRule="exact" w:line="360" w:before="0" w:after="120"/>
        <w:ind w:left="1701" w:right="0" w:hanging="0"/>
        <w:jc w:val="both"/>
        <w:rPr/>
      </w:pPr>
      <w:r>
        <w:rPr>
          <w:rFonts w:eastAsia="Arial" w:cs="Arial"/>
          <w:sz w:val="22"/>
          <w:szCs w:val="22"/>
        </w:rPr>
        <w:t>(b) das parcelas já quitadas a título de terço constitucional ([VALOR] e [VALOR]), sob pena de dupla incidência da mesma vantagem.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Requer-se, ainda, a </w:t>
      </w:r>
      <w:r>
        <w:rPr>
          <w:rFonts w:eastAsia="Arial" w:cs="Arial"/>
          <w:b/>
          <w:bCs/>
          <w:sz w:val="22"/>
          <w:szCs w:val="22"/>
        </w:rPr>
        <w:t>compensação</w:t>
      </w:r>
      <w:r>
        <w:rPr>
          <w:rFonts w:eastAsia="Arial" w:cs="Arial"/>
          <w:sz w:val="22"/>
          <w:szCs w:val="22"/>
        </w:rPr>
        <w:t>, nos termos do art. 767 da CLT, de todos os valores já pagos sob os mesmos títulos, conforme recibo de férias de [MÊS/ANO] ([VALOR] brutos) e acertos lançados na folha de [MÊS/ANO].</w:t>
      </w:r>
    </w:p>
    <w:p>
      <w:pPr>
        <w:pStyle w:val="Normal"/>
        <w:spacing w:lineRule="exact" w:line="360" w:before="200" w:after="120"/>
        <w:ind w:left="1701" w:hanging="0"/>
        <w:jc w:val="both"/>
        <w:rPr>
          <w:u w:val="single"/>
        </w:rPr>
      </w:pPr>
      <w:r>
        <w:rPr>
          <w:rFonts w:eastAsia="Arial" w:cs="Arial"/>
          <w:b/>
          <w:bCs/>
          <w:sz w:val="22"/>
          <w:szCs w:val="22"/>
          <w:u w:val="single"/>
        </w:rPr>
        <w:t>6</w:t>
      </w:r>
      <w:r>
        <w:rPr>
          <w:rFonts w:eastAsia="Arial" w:cs="Arial"/>
          <w:b/>
          <w:bCs/>
          <w:sz w:val="22"/>
          <w:szCs w:val="22"/>
          <w:u w:val="single"/>
        </w:rPr>
        <w:t xml:space="preserve"> – DO FGTS: BENEFÍCIO DE ESPÉCIE 31 E AUSÊNCIA DE RECOLHIMENTO DURANTE A SUSPENSÃO CONTRATUAL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Postula a Autora, na alínea "b", o depósito do FGTS sobre todas as parcelas pleiteadas, atribuindo-lhe o valor de [VALOR].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Ocorre que a Comunicação de Decisão do INSS é expressa ao classificar o benefício nº [Nº DO BENEFÍCIO] como </w:t>
      </w:r>
      <w:r>
        <w:rPr>
          <w:rFonts w:eastAsia="Arial" w:cs="Arial"/>
          <w:b/>
          <w:bCs/>
          <w:sz w:val="22"/>
          <w:szCs w:val="22"/>
        </w:rPr>
        <w:t>espécie 31</w:t>
      </w:r>
      <w:r>
        <w:rPr>
          <w:rFonts w:eastAsia="Arial" w:cs="Arial"/>
          <w:sz w:val="22"/>
          <w:szCs w:val="22"/>
        </w:rPr>
        <w:t xml:space="preserve"> — benefício por incapacidade temporária de natureza </w:t>
      </w:r>
      <w:r>
        <w:rPr>
          <w:rFonts w:eastAsia="Arial" w:cs="Arial"/>
          <w:b/>
          <w:bCs/>
          <w:sz w:val="22"/>
          <w:szCs w:val="22"/>
        </w:rPr>
        <w:t>previdenciária comum</w:t>
      </w:r>
      <w:r>
        <w:rPr>
          <w:rFonts w:eastAsia="Arial" w:cs="Arial"/>
          <w:sz w:val="22"/>
          <w:szCs w:val="22"/>
        </w:rPr>
        <w:t>, e não acidentária. No mesmo sentido, o Encaminhamento ao INSS (SEI nº [SEI Nº]) assinalou expressamente, no campo "Doença ou Acidente de trabalho", a opção "(X) Não".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Como é sabido, a obrigação de recolhimento do FGTS durante a suspensão do contrato de trabalho restringe-se às hipóteses de afastamento por acidente do trabalho e de prestação de serviço militar, a teor do art. 15, §5º, da Lei nº 8.036/90, regulamentado pelo art. 28 do Decreto nº 99.684/90. Não é o caso dos autos.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Improcede, pois, o pedido de depósitos fundiários relativos ao período de suspensão contratual, remanescendo eventual incidência, tão somente, sobre parcelas de natureza salarial que porventura venham a ser deferidas — jamais sobre o abono pecuniário ou sobre a dobra de férias, de natureza indenizatória.</w:t>
      </w:r>
    </w:p>
    <w:p>
      <w:pPr>
        <w:pStyle w:val="Normal"/>
        <w:spacing w:lineRule="exact" w:line="360" w:before="200" w:after="120"/>
        <w:ind w:left="1701" w:hanging="0"/>
        <w:jc w:val="both"/>
        <w:rPr>
          <w:u w:val="single"/>
        </w:rPr>
      </w:pPr>
      <w:r>
        <w:rPr>
          <w:rFonts w:eastAsia="Arial" w:cs="Arial"/>
          <w:b/>
          <w:bCs/>
          <w:sz w:val="22"/>
          <w:szCs w:val="22"/>
          <w:u w:val="single"/>
        </w:rPr>
        <w:t>7</w:t>
      </w:r>
      <w:r>
        <w:rPr>
          <w:rFonts w:eastAsia="Arial" w:cs="Arial"/>
          <w:b/>
          <w:bCs/>
          <w:sz w:val="22"/>
          <w:szCs w:val="22"/>
          <w:u w:val="single"/>
        </w:rPr>
        <w:t xml:space="preserve"> – DA RETIFICAÇÃO DO CNIS E DA MULTA DIÁRIA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O pedido da alínea "d" pressupõe o reconhecimento de diferenças salariais, o que se admite apenas por argumentação. Não havendo condenação, inexiste obrigação acessória a cumprir.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De todo modo, impugna-se a cominação de multa diária de [VALOR], por desproporcional e desprovida de amparo legal específico, sobretudo em face de empresa pública federal equiparada à Fazenda Pública, cuja execução se dá por precatório. A obrigação de fazer, ademais, somente se torna exigível após o trânsito em julgado e a prévia liquidação, sendo incabível a fixação de astreintes em abstrato.</w:t>
      </w:r>
    </w:p>
    <w:p>
      <w:pPr>
        <w:pStyle w:val="Normal"/>
        <w:spacing w:lineRule="exact" w:line="360" w:before="200" w:after="120"/>
        <w:ind w:left="1701" w:hanging="0"/>
        <w:jc w:val="both"/>
        <w:rPr>
          <w:u w:val="single"/>
        </w:rPr>
      </w:pPr>
      <w:r>
        <w:rPr>
          <w:rFonts w:eastAsia="Arial" w:cs="Arial"/>
          <w:b/>
          <w:bCs/>
          <w:sz w:val="22"/>
          <w:szCs w:val="22"/>
          <w:u w:val="single"/>
        </w:rPr>
        <w:t>8</w:t>
      </w:r>
      <w:r>
        <w:rPr>
          <w:rFonts w:eastAsia="Arial" w:cs="Arial"/>
          <w:b/>
          <w:bCs/>
          <w:sz w:val="22"/>
          <w:szCs w:val="22"/>
          <w:u w:val="single"/>
        </w:rPr>
        <w:t xml:space="preserve"> – DA INEXISTÊNCIA DE DANOS MORAIS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Inexistindo ato ilícito patronal, inexiste o dever de indenizar.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Conforme exaustivamente demonstrado, a Reclamada limitou-se a cumprir o ordenamento jurídico e suas normas internas, em atuação tempestiva, motivada e documentada em cada uma de suas etapas — com intervalos de horas, e não de meses, entre os atos administrativos. O enquadramento previdenciário adotado foi, repita-se, ratificado pelo próprio INSS.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Não há falar, tampouco, em nexo de causalidade. O afastamento da Reclamante decorreu de causa estritamente pessoal, sem qualquer relação com o ambiente ou as condições de trabalho — tanto que o Encaminhamento ao INSS assinalou expressamente não se tratar de doença ou acidente do trabalho, e o benefício foi concedido em espécie previdenciária comum. A dor invocada na exordial decorre de fato pessoal da Reclamante, anterior e absolutamente estranho a qualquer conduta da empregadora, não podendo ser convertida em fonte de responsabilização patronal.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De outra parte, eventual divergência sobre a exata extensão de verbas contratuais configura, quando muito, </w:t>
      </w:r>
      <w:r>
        <w:rPr>
          <w:rFonts w:eastAsia="Arial" w:cs="Arial"/>
          <w:b/>
          <w:bCs/>
          <w:sz w:val="22"/>
          <w:szCs w:val="22"/>
        </w:rPr>
        <w:t>inadimplemento contratual</w:t>
      </w:r>
      <w:r>
        <w:rPr>
          <w:rFonts w:eastAsia="Arial" w:cs="Arial"/>
          <w:sz w:val="22"/>
          <w:szCs w:val="22"/>
        </w:rPr>
        <w:t>, jamais lesão a direitos da personalidade. O mero aborrecimento decorrente de controvérsia patrimonial não configura dano moral indenizável — como, aliás, reconhece a própria doutrina invocada pela Autora, ao advertir que "existe um piso de inconvenientes que o ser humano tem de tolerar, sem que exista o autêntico dano moral".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Por fim, a inicial </w:t>
      </w:r>
      <w:r>
        <w:rPr>
          <w:rFonts w:eastAsia="Arial" w:cs="Arial"/>
          <w:b/>
          <w:bCs/>
          <w:sz w:val="22"/>
          <w:szCs w:val="22"/>
        </w:rPr>
        <w:t>sequer indica o grau da ofensa</w:t>
      </w:r>
      <w:r>
        <w:rPr>
          <w:rFonts w:eastAsia="Arial" w:cs="Arial"/>
          <w:sz w:val="22"/>
          <w:szCs w:val="22"/>
        </w:rPr>
        <w:t xml:space="preserve"> — leve, média, grave ou gravíssima —, requisito legal para o arbitramento do dano extrapatrimonial nas relações de trabalho, nos termos do art. 223-G, §1º, da CLT, o que, por si só, inviabiliza o acolhimento do pedido nos moldes formulados. Subsidiariamente, e apenas pelo princípio da eventualidade, requer-se que eventual arbitramento observe os parâmetros do referido dispositivo, em patamar substancialmente inferior ao pleiteado.</w:t>
      </w:r>
    </w:p>
    <w:p>
      <w:pPr>
        <w:pStyle w:val="Normal"/>
        <w:spacing w:lineRule="exact" w:line="360" w:before="200" w:after="120"/>
        <w:ind w:left="1701" w:hanging="0"/>
        <w:jc w:val="both"/>
        <w:rPr>
          <w:u w:val="single"/>
        </w:rPr>
      </w:pPr>
      <w:r>
        <w:rPr>
          <w:rFonts w:eastAsia="Arial" w:cs="Arial"/>
          <w:b/>
          <w:bCs/>
          <w:sz w:val="22"/>
          <w:szCs w:val="22"/>
          <w:u w:val="single"/>
        </w:rPr>
        <w:t>9</w:t>
      </w:r>
      <w:r>
        <w:rPr>
          <w:rFonts w:eastAsia="Arial" w:cs="Arial"/>
          <w:b/>
          <w:bCs/>
          <w:sz w:val="22"/>
          <w:szCs w:val="22"/>
          <w:u w:val="single"/>
        </w:rPr>
        <w:t xml:space="preserve"> – DOS HONORÁRIOS ADVOCATÍCIOS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A Autora postula honorários sucumbenciais de 15% "sobre o valor da causa". O pedido contraria a literalidade do art. 791-A da CLT, que fixa a base de cálculo sobre o valor que resultar da liquidação da sentença, sobre o proveito econômico obtido ou, não sendo possível mensurá-lo, sobre o valor atualizado da causa — nessa ordem de preferência.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Requer-se, ademais, em caso de improcedência total ou parcial, a condenação da Reclamante ao pagamento de honorários de sucumbência em favor dos procuradores da Reclamada, na forma do art. 791-A, §3º, da CLT.</w:t>
      </w:r>
    </w:p>
    <w:p>
      <w:pPr>
        <w:pStyle w:val="Normal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lineRule="exact" w:line="240" w:before="320" w:after="260"/>
        <w:ind w:left="0" w:right="0" w:hanging="0"/>
        <w:jc w:val="center"/>
        <w:rPr/>
      </w:pPr>
      <w:r>
        <w:rPr>
          <w:rFonts w:eastAsia="Arial" w:cs="Arial"/>
          <w:b/>
          <w:bCs/>
          <w:sz w:val="22"/>
          <w:szCs w:val="22"/>
        </w:rPr>
        <w:t>DOS REQUERIMENTOS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Ante o exposto, requer a Reclamada:</w:t>
      </w:r>
    </w:p>
    <w:p>
      <w:pPr>
        <w:pStyle w:val="Normal"/>
        <w:widowControl/>
        <w:bidi w:val="0"/>
        <w:spacing w:lineRule="exact" w:line="360" w:before="0" w:after="160"/>
        <w:ind w:left="1701" w:right="0"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>a) PRELIMINARMENTE</w:t>
      </w:r>
      <w:r>
        <w:rPr>
          <w:rFonts w:eastAsia="Arial" w:cs="Arial"/>
          <w:sz w:val="22"/>
          <w:szCs w:val="22"/>
        </w:rPr>
        <w:t>, a extinção parcial do feito, sem resolução do mérito (art. 485, VI, do CPC), por falta de interesse de agir quanto aos dias 30 e [DATA], já quitados na folha de [MÊS/ANO];</w:t>
      </w:r>
    </w:p>
    <w:p>
      <w:pPr>
        <w:pStyle w:val="Normal"/>
        <w:widowControl/>
        <w:bidi w:val="0"/>
        <w:spacing w:lineRule="exact" w:line="360" w:before="0" w:after="160"/>
        <w:ind w:left="1701" w:right="0"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>b) NO MÉRITO</w:t>
      </w:r>
      <w:r>
        <w:rPr>
          <w:rFonts w:eastAsia="Arial" w:cs="Arial"/>
          <w:sz w:val="22"/>
          <w:szCs w:val="22"/>
        </w:rPr>
        <w:t xml:space="preserve">, sejam julgados </w:t>
      </w:r>
      <w:r>
        <w:rPr>
          <w:rFonts w:eastAsia="Arial" w:cs="Arial"/>
          <w:b/>
          <w:bCs/>
          <w:sz w:val="22"/>
          <w:szCs w:val="22"/>
        </w:rPr>
        <w:t>TOTALMENTE IMPROCEDENTES</w:t>
      </w:r>
      <w:r>
        <w:rPr>
          <w:rFonts w:eastAsia="Arial" w:cs="Arial"/>
          <w:sz w:val="22"/>
          <w:szCs w:val="22"/>
        </w:rPr>
        <w:t xml:space="preserve"> os pedidos formulados na inicial, nos termos dos argumentos acima expostos;</w:t>
      </w:r>
    </w:p>
    <w:p>
      <w:pPr>
        <w:pStyle w:val="Normal"/>
        <w:widowControl/>
        <w:bidi w:val="0"/>
        <w:spacing w:lineRule="exact" w:line="360" w:before="0" w:after="160"/>
        <w:ind w:left="1701" w:right="0"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>c</w:t>
      </w:r>
      <w:r>
        <w:rPr>
          <w:rFonts w:eastAsia="Arial" w:cs="Arial"/>
          <w:b/>
          <w:bCs/>
          <w:sz w:val="22"/>
          <w:szCs w:val="22"/>
        </w:rPr>
        <w:t xml:space="preserve">) </w:t>
      </w:r>
      <w:r>
        <w:rPr>
          <w:rFonts w:eastAsia="Arial" w:cs="Arial"/>
          <w:sz w:val="22"/>
          <w:szCs w:val="22"/>
        </w:rPr>
        <w:t xml:space="preserve">com base no princípio da eventualidade, em caso de inesperada condenação, sejam deferidas as </w:t>
      </w:r>
      <w:r>
        <w:rPr>
          <w:rFonts w:eastAsia="Arial" w:cs="Arial"/>
          <w:b/>
          <w:bCs/>
          <w:sz w:val="22"/>
          <w:szCs w:val="22"/>
        </w:rPr>
        <w:t>compensações</w:t>
      </w:r>
      <w:r>
        <w:rPr>
          <w:rFonts w:eastAsia="Arial" w:cs="Arial"/>
          <w:sz w:val="22"/>
          <w:szCs w:val="22"/>
        </w:rPr>
        <w:t>, nos termos do artigo 767 da CLT, notadamente quanto aos valores já pagos a título de férias (recibo de [MÊS/ANO]) e aos acertos lançados nas folhas de janeiro e [MÊS/ANO];</w:t>
      </w:r>
    </w:p>
    <w:p>
      <w:pPr>
        <w:pStyle w:val="Normal"/>
        <w:widowControl/>
        <w:bidi w:val="0"/>
        <w:spacing w:lineRule="exact" w:line="360" w:before="0" w:after="160"/>
        <w:ind w:left="1701" w:right="0"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>d</w:t>
      </w:r>
      <w:r>
        <w:rPr>
          <w:rFonts w:eastAsia="Arial" w:cs="Arial"/>
          <w:b/>
          <w:bCs/>
          <w:sz w:val="22"/>
          <w:szCs w:val="22"/>
        </w:rPr>
        <w:t xml:space="preserve">) </w:t>
      </w:r>
      <w:r>
        <w:rPr>
          <w:rFonts w:eastAsia="Arial" w:cs="Arial"/>
          <w:sz w:val="22"/>
          <w:szCs w:val="22"/>
        </w:rPr>
        <w:t xml:space="preserve">seja reconhecida a </w:t>
      </w:r>
      <w:r>
        <w:rPr>
          <w:rFonts w:eastAsia="Arial" w:cs="Arial"/>
          <w:b/>
          <w:bCs/>
          <w:sz w:val="22"/>
          <w:szCs w:val="22"/>
        </w:rPr>
        <w:t>equiparação da ECT à Fazenda Pública</w:t>
      </w:r>
      <w:r>
        <w:rPr>
          <w:rFonts w:eastAsia="Arial" w:cs="Arial"/>
          <w:sz w:val="22"/>
          <w:szCs w:val="22"/>
        </w:rPr>
        <w:t>, declarando-a isenta do pagamento das custas processuais e do depósito recursal, fazendo jus ao prazo em dobro para recorrer, ao eventual pagamento por precatório e aos juros nos termos do art. 3º da Emenda Constitucional nº 113/2021;</w:t>
      </w:r>
    </w:p>
    <w:p>
      <w:pPr>
        <w:pStyle w:val="Normal"/>
        <w:widowControl/>
        <w:bidi w:val="0"/>
        <w:spacing w:lineRule="exact" w:line="360" w:before="0" w:after="160"/>
        <w:ind w:left="1701" w:right="0"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>e</w:t>
      </w:r>
      <w:r>
        <w:rPr>
          <w:rFonts w:eastAsia="Arial" w:cs="Arial"/>
          <w:b/>
          <w:bCs/>
          <w:sz w:val="22"/>
          <w:szCs w:val="22"/>
        </w:rPr>
        <w:t xml:space="preserve">) </w:t>
      </w:r>
      <w:r>
        <w:rPr>
          <w:rFonts w:eastAsia="Arial" w:cs="Arial"/>
          <w:sz w:val="22"/>
          <w:szCs w:val="22"/>
        </w:rPr>
        <w:t>a condenação da Reclamante ao pagamento de honorários advocatícios de sucumbência, nos termos do art. 791-A, §3º, da CLT.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Protesta pela produção dos meios de prova em direito admitidos, tais como o depoimento pessoal da Reclamante, sob pena de confissão; inquirição de testemunhas, juntada de documentos, perícia, e demais meios porventura necessários, sem exclusão de qualquer deles, por mais especial que seja.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>Requer, por fim, que todas as intimações e publicações sejam realizadas exclusivamente em nome do procurador que esta subscreve, sob pena de nulidade.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>Nesses Termos,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>Pede Deferimento.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>Campo Grande/</w:t>
      </w:r>
      <w:r>
        <w:rPr>
          <w:rFonts w:eastAsia="Arial" w:cs="Arial"/>
          <w:sz w:val="22"/>
          <w:szCs w:val="22"/>
        </w:rPr>
        <w:t>MS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eastAsia="Arial" w:cs="Arial"/>
          <w:sz w:val="22"/>
          <w:szCs w:val="22"/>
        </w:rPr>
        <w:t>data de assinatura eletrônica</w:t>
      </w:r>
      <w:r>
        <w:rPr>
          <w:rFonts w:eastAsia="Arial" w:cs="Arial"/>
          <w:sz w:val="22"/>
          <w:szCs w:val="22"/>
        </w:rPr>
        <w:t>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sz w:val="22"/>
          <w:szCs w:val="22"/>
        </w:rPr>
        <w:t>Marcos Hideki Kamibayashi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sz w:val="22"/>
          <w:szCs w:val="22"/>
        </w:rPr>
        <w:t>OAB/MS 14.580</w:t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397" w:top="1701" w:footer="397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 Narrow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exact" w:line="200" w:before="0" w:after="0"/>
      <w:jc w:val="center"/>
      <w:rPr/>
    </w:pPr>
    <w:r>
      <w:rPr>
        <w:rFonts w:eastAsia="Arial Narrow" w:cs="Arial Narrow" w:ascii="Arial Narrow" w:hAnsi="Arial Narrow"/>
        <w:b/>
        <w:bCs/>
        <w:sz w:val="14"/>
        <w:szCs w:val="14"/>
      </w:rPr>
      <w:t>______________________________________________________________________________________________________________________________________________</w:t>
    </w:r>
  </w:p>
  <w:p>
    <w:pPr>
      <w:pStyle w:val="Normal"/>
      <w:widowControl/>
      <w:tabs>
        <w:tab w:val="clear" w:pos="720"/>
        <w:tab w:val="right" w:pos="9071" w:leader="none"/>
      </w:tabs>
      <w:bidi w:val="0"/>
      <w:spacing w:lineRule="exact" w:line="200" w:before="0" w:after="0"/>
      <w:ind w:left="1814" w:right="0" w:hanging="0"/>
      <w:jc w:val="center"/>
      <w:rPr/>
    </w:pPr>
    <w:r>
      <w:rPr>
        <w:rFonts w:eastAsia="Arial Narrow" w:cs="Arial Narrow" w:ascii="Arial Narrow" w:hAnsi="Arial Narrow"/>
        <w:b/>
        <w:bCs/>
        <w:sz w:val="14"/>
        <w:szCs w:val="14"/>
      </w:rPr>
      <w:t>Avenida Calógeras nº 2309 – 2º andar – Centro – Campo Grande – MS – Fone 2109-1004.</w:t>
    </w:r>
    <w:r>
      <w:rPr>
        <w:rFonts w:eastAsia="Arial Narrow" w:cs="Arial Narrow" w:ascii="Arial Narrow" w:hAnsi="Arial Narrow"/>
        <w:sz w:val="14"/>
        <w:szCs w:val="14"/>
      </w:rPr>
      <w:tab/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071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850"/>
      <w:gridCol w:w="6220"/>
    </w:tblGrid>
    <w:tr>
      <w:trPr/>
      <w:tc>
        <w:tcPr>
          <w:tcW w:w="2850" w:type="dxa"/>
          <w:tcBorders/>
        </w:tcPr>
        <w:p>
          <w:pPr>
            <w:pStyle w:val="Normal"/>
            <w:widowControl w:val="false"/>
            <w:spacing w:before="0" w:after="0"/>
            <w:rPr/>
          </w:pPr>
          <w:r>
            <w:rPr/>
            <w:drawing>
              <wp:inline distT="0" distB="0" distL="0" distR="0">
                <wp:extent cx="1714500" cy="361950"/>
                <wp:effectExtent l="0" t="0" r="0" b="0"/>
                <wp:docPr id="1" name="Figura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gura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0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20" w:type="dxa"/>
          <w:tcBorders/>
        </w:tcPr>
        <w:p>
          <w:pPr>
            <w:pStyle w:val="Normal"/>
            <w:widowControl w:val="false"/>
            <w:spacing w:lineRule="exact" w:line="240" w:before="0" w:after="0"/>
            <w:jc w:val="center"/>
            <w:rPr/>
          </w:pPr>
          <w:r>
            <w:rPr>
              <w:rFonts w:eastAsia="Arial Narrow" w:cs="Arial Narrow" w:ascii="Arial Narrow" w:hAnsi="Arial Narrow"/>
              <w:b/>
              <w:bCs/>
              <w:sz w:val="24"/>
              <w:szCs w:val="24"/>
            </w:rPr>
            <w:t>EMPRESA BRASILEIRA DE CORREIOS E TELÉGRAFOS</w:t>
          </w:r>
        </w:p>
        <w:p>
          <w:pPr>
            <w:pStyle w:val="Normal"/>
            <w:widowControl w:val="false"/>
            <w:pBdr>
              <w:bottom w:val="single" w:sz="6" w:space="2" w:color="000000"/>
            </w:pBdr>
            <w:spacing w:lineRule="exact" w:line="240" w:before="0" w:after="0"/>
            <w:jc w:val="center"/>
            <w:rPr/>
          </w:pPr>
          <w:r>
            <w:rPr>
              <w:rFonts w:eastAsia="Arial Narrow" w:cs="Arial Narrow" w:ascii="Arial Narrow" w:hAnsi="Arial Narrow"/>
              <w:sz w:val="24"/>
              <w:szCs w:val="24"/>
            </w:rPr>
            <w:t>Assessoria Jurídica MS/DEJUR/SEJUR</w:t>
          </w:r>
        </w:p>
      </w:tc>
    </w:tr>
  </w:tbl>
  <w:p>
    <w:pPr>
      <w:pStyle w:val="Normal"/>
      <w:spacing w:before="0" w:after="0"/>
      <w:rPr/>
    </w:pPr>
    <w:r>
      <w:rPr/>
      <w:t xml:space="preserve">                                            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tulo1">
    <w:name w:val="Heading 1"/>
    <w:basedOn w:val="Ttulo"/>
    <w:qFormat/>
    <w:pPr/>
    <w:rPr>
      <w:color w:val="2E74B5"/>
      <w:sz w:val="32"/>
      <w:szCs w:val="32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LinkdaInternet">
    <w:name w:val="Link da Internet"/>
    <w:uiPriority w:val="99"/>
    <w:unhideWhenUsed/>
    <w:rPr>
      <w:color w:val="0563C1"/>
      <w:u w:val="single"/>
    </w:rPr>
  </w:style>
  <w:style w:type="character" w:styleId="Ncoradanotaderodap">
    <w:name w:val="Âncora da nota de rodapé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Ncoradanotadefim">
    <w:name w:val="Âncora da nota de fim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Ttulododocumento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Notaderodap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efim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paragraph" w:styleId="Rodap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LibreOffice/7.2.5.2$Windows_X86_64 LibreOffice_project/499f9727c189e6ef3471021d6132d4c694f357e5</Application>
  <AppVersion>15.0000</AppVersion>
  <Pages>12</Pages>
  <Words>4146</Words>
  <Characters>23095</Characters>
  <CharactersWithSpaces>27288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2026-08-04T21:56:23Z</dcterms:created>
  <dc:creator>Un-named</dc:creator>
  <dc:description/>
  <dc:language>pt-BR</dc:language>
  <cp:lastModifiedBy/>
  <dcterms:modified xsi:type="dcterms:W3CDTF">2026-08-04T18:22:57Z</dcterms:modified>
  <cp:revision>35</cp:revision>
  <dc:subject/>
  <dc:title/>
</cp:coreProperties>
</file>