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sz w:val="22"/>
          <w:szCs w:val="22"/>
        </w:rPr>
        <w:t xml:space="preserve">EXCELENTÍSSIMO SENHOR DESEMBARGADOR RELATOR DA [Nº]ª TURMA DO TRIBUNAL REGIONAL DO TRABALHO DA 24ª REGIÃO.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[SE OS EMBARGOS FOREM CONTRA SENTENÇA, SUBSTITUIR O ENDEREÇAMENTO ACIMA POR: EXCELENTÍSSIMO(A) SENHOR(A) DOUTOR(A) JUIZ(A) DO TRABALHO DA [Nº]ª VARA DO TRABALHO DE CAMPO GRANDE/MS, e os rótulos de polo por RECLAMANTE/RECLAMADA.]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sz w:val="22"/>
          <w:szCs w:val="22"/>
        </w:rPr>
        <w:t xml:space="preserve">Autos nº. [Nº DO PROCESSO].</w:t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EMBARGANTE: </w:t>
      </w:r>
      <w:r>
        <w:rPr>
          <w:rFonts w:eastAsia="Arial" w:cs="Arial"/>
          <w:sz w:val="22"/>
          <w:szCs w:val="22"/>
        </w:rPr>
        <w:t xml:space="preserve">EMPRESA BRASILEIRA DE CORREIOS E TELÉGRAFOS.</w:t>
      </w:r>
    </w:p>
    <w:p>
      <w:pPr>
        <w:pStyle w:val="Normal"/>
        <w:spacing w:lineRule="exact" w:line="360" w:before="0" w:after="160"/>
        <w:ind w:hanging="0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EMBARGADA: </w:t>
      </w:r>
      <w:r>
        <w:rPr>
          <w:rFonts w:eastAsia="Arial" w:cs="Arial"/>
          <w:sz w:val="22"/>
          <w:szCs w:val="22"/>
        </w:rPr>
        <w:t xml:space="preserve">[NOME DA PARTE EMBARGADA].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EMPRESA BRASILEIRA DE CORREIOS E TELÉGRAFOS – SUPERINTENDÊNCIA ESTADUAL DE MATO GROSSO DO SUL</w:t>
      </w:r>
      <w:r>
        <w:rPr>
          <w:rFonts w:eastAsia="Arial" w:cs="Arial"/>
          <w:sz w:val="22"/>
          <w:szCs w:val="22"/>
        </w:rPr>
        <w:t xml:space="preserve">, Empresa Pública Federal, instituída pelo Decreto-Lei nº 509/69, com sede na Avenida Calógeras nº 2.309, centro, Campo Grande/MS, telefone (67) 2109-1004, nos autos do </w:t>
      </w:r>
      <w:r>
        <w:rPr>
          <w:rFonts w:eastAsia="Arial" w:cs="Arial"/>
          <w:b/>
          <w:bCs/>
          <w:sz w:val="22"/>
          <w:szCs w:val="22"/>
        </w:rPr>
        <w:t xml:space="preserve">[RECLAMAÇÃO TRABALHISTA / RECURSO ORDINÁRIO TRABALHISTA]</w:t>
      </w:r>
      <w:r>
        <w:rPr>
          <w:rFonts w:eastAsia="Arial" w:cs="Arial"/>
          <w:sz w:val="22"/>
          <w:szCs w:val="22"/>
        </w:rPr>
        <w:t xml:space="preserve"> em epígrafe, que lhe move </w:t>
      </w:r>
      <w:r>
        <w:rPr>
          <w:rFonts w:eastAsia="Arial" w:cs="Arial"/>
          <w:b/>
          <w:bCs/>
          <w:sz w:val="22"/>
          <w:szCs w:val="22"/>
        </w:rPr>
        <w:t xml:space="preserve">[NOME DA PARTE EMBARGADA]</w:t>
      </w:r>
      <w:r>
        <w:rPr>
          <w:rFonts w:eastAsia="Arial" w:cs="Arial"/>
          <w:sz w:val="22"/>
          <w:szCs w:val="22"/>
        </w:rPr>
        <w:t xml:space="preserve">, por meio do procurador que esta subscreve, vem, respeitosamente, à presença de Vossa Excelência, com fundamento no art. 897-A da CLT c/c os arts. 1.022 e 1.025 do CPC, opor </w:t>
      </w:r>
      <w:r>
        <w:rPr>
          <w:rFonts w:eastAsia="Arial" w:cs="Arial"/>
          <w:b/>
          <w:bCs/>
          <w:sz w:val="22"/>
          <w:szCs w:val="22"/>
        </w:rPr>
        <w:t xml:space="preserve">EMBARGOS DE DECLARAÇÃO</w:t>
      </w:r>
      <w:r>
        <w:rPr>
          <w:rFonts w:eastAsia="Arial" w:cs="Arial"/>
          <w:sz w:val="22"/>
          <w:szCs w:val="22"/>
        </w:rPr>
        <w:t xml:space="preserve"> à [sentença / ao v. acórdão] de fls. [Nº], pelos motivos de fato e de direito que seguem.</w:t>
      </w:r>
    </w:p>
    <w:p>
      <w:pPr>
        <w:pStyle w:val="Normal"/>
        <w:keepNext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bidi w:val="0"/>
        <w:spacing w:lineRule="exact" w:line="240" w:before="320" w:after="260"/>
        <w:ind w:left="0" w:right="0" w:hanging="0"/>
        <w:jc w:val="center"/>
        <w:rPr>
          <w:b/>
          <w:bCs/>
        </w:rPr>
      </w:pPr>
      <w:r>
        <w:rPr>
          <w:rFonts w:eastAsia="Arial" w:cs="Arial"/>
          <w:b/>
          <w:bCs/>
          <w:sz w:val="22"/>
          <w:szCs w:val="22"/>
        </w:rPr>
        <w:t xml:space="preserve">DA TEMPESTIVIDADE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A decisão embargada foi disponibilizada no DEJT em [DATA], considerando-se publicada em [DATA], nos termos do art. 4º, §§ 3º e 4º, da Lei nº 11.419/2006.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O prazo para embargos de declaração é de 5 (cinco) dias (art. 897-A da CLT), contado em dias úteis (art. 775 da CLT) e em dobro, porque a embargante é empresa pública federal equiparada à Fazenda Pública para fins de prazo processual (art. 1º, III, do Decreto-Lei nº 779/69, c/c o art. 12 do Decreto-Lei nº 509/69, recepcionado pela Constituição de 1988 — STF, RE 220.906/DF). O termo final recai, assim, em [DATA].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Tempestivos, portanto, os presentes embargos. A embargante é dispensada de preparo e de depósito recursal, na condição de ente equiparado à Fazenda Pública.</w:t>
      </w:r>
    </w:p>
    <w:p>
      <w:pPr>
        <w:pStyle w:val="Normal"/>
        <w:keepNext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bidi w:val="0"/>
        <w:spacing w:lineRule="exact" w:line="240" w:before="320" w:after="260"/>
        <w:ind w:left="0" w:right="0" w:hanging="0"/>
        <w:jc w:val="center"/>
        <w:rPr>
          <w:b/>
          <w:bCs/>
        </w:rPr>
      </w:pPr>
      <w:r>
        <w:rPr>
          <w:rFonts w:eastAsia="Arial" w:cs="Arial"/>
          <w:b/>
          <w:bCs/>
          <w:sz w:val="22"/>
          <w:szCs w:val="22"/>
        </w:rPr>
        <w:t xml:space="preserve">DA SÍNTESE DO JULGADO E DA DELIMITAÇÃO DESTES EMBARGOS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[SÍNTESE — o que a decisão embargada decidiu, capítulo a capítulo, em um ou dois parágrafos, registrando o que foi acolhido e o que foi rejeitado.]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A embargante </w:t>
      </w:r>
      <w:r>
        <w:rPr>
          <w:rFonts w:eastAsia="Arial" w:cs="Arial"/>
          <w:b/>
          <w:bCs/>
          <w:sz w:val="22"/>
          <w:szCs w:val="22"/>
        </w:rPr>
        <w:t xml:space="preserve">não pretende, por esta via, rediscutir o mérito do julgado nem [a tese vinculante / o fundamento] adotado no voto condutor</w:t>
      </w:r>
      <w:r>
        <w:rPr>
          <w:rFonts w:eastAsia="Arial" w:cs="Arial"/>
          <w:sz w:val="22"/>
          <w:szCs w:val="22"/>
        </w:rPr>
        <w:t xml:space="preserve">. Os vícios a seguir apontados dizem respeito, exclusivamente, (i) a pedido recursal não apreciado; (ii) à ausência de definição do conteúdo, do prazo e da consequência de obrigação criada na própria decisão; e (iii) a questões jurídicas cujo enfrentamento explícito é pressuposto de admissibilidade de eventual recurso de revista (art. 896, § 1º-A, da CLT; Súmula 297 do TST; art. 1.025 do CPC).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[Este parágrafo de delimitação é o que separa embargos úteis de embargos protelatórios — manter sempre, ajustando o que se declara não estar sendo rediscutido.]</w:t>
      </w:r>
    </w:p>
    <w:p>
      <w:pPr>
        <w:pStyle w:val="Normal"/>
        <w:keepNext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bidi w:val="0"/>
        <w:spacing w:lineRule="exact" w:line="240" w:before="320" w:after="260"/>
        <w:ind w:left="0" w:right="0" w:hanging="0"/>
        <w:jc w:val="center"/>
        <w:rPr>
          <w:b/>
          <w:bCs/>
        </w:rPr>
      </w:pPr>
      <w:r>
        <w:rPr>
          <w:rFonts w:eastAsia="Arial" w:cs="Arial"/>
          <w:b/>
          <w:bCs/>
          <w:sz w:val="22"/>
          <w:szCs w:val="22"/>
        </w:rPr>
        <w:t xml:space="preserve">DAS OMISSÕES E OBSCURIDADES</w:t>
      </w:r>
    </w:p>
    <w:p>
      <w:pPr>
        <w:pStyle w:val="Normal"/>
        <w:keepNext/>
        <w:widowControl/>
        <w:spacing w:lineRule="exact" w:line="360" w:before="240" w:after="160"/>
        <w:ind w:left="0" w:right="0" w:firstLine="0"/>
        <w:jc w:val="both"/>
        <w:rPr>
          <w:b/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1 – DA OMISSÃO QUANTO A [PEDIDO RECURSAL NÃO APRECIADO]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[1º movimento — transcrever o trecho da decisão que registra o pedido, ou apontar o silêncio dela a respeito:]</w:t>
      </w:r>
    </w:p>
    <w:p>
      <w:pPr>
        <w:pStyle w:val="Normal"/>
        <w:widowControl/>
        <w:spacing w:lineRule="exact" w:line="280" w:before="120" w:after="200"/>
        <w:ind w:left="1701" w:right="0" w:firstLine="0"/>
        <w:jc w:val="both"/>
        <w:rPr>
          <w:i/>
        </w:rPr>
      </w:pPr>
      <w:r>
        <w:rPr>
          <w:rFonts w:eastAsia="Arial" w:cs="Arial"/>
          <w:i/>
          <w:sz w:val="20"/>
          <w:szCs w:val="20"/>
        </w:rPr>
        <w:t xml:space="preserve">“[TRECHO EXATO DA DECISÃO EMBARGADA.]”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[2º movimento — apontar o que faltou decidir:] Sobre esse pedido a decisão não emitiu tese alguma: não o acolheu expressamente, não o rejeitou, nem fixou [os parâmetros / o prazo / o termo inicial] correspondentes.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[3º movimento — enquadrar e requerer:] A omissão é juridicamente relevante porque [consequência prática do vício para o cumprimento da decisão]. Requer-se pronunciamento expresso (arts. 489, § 1º, IV, e 1.022, II, do CPC).</w:t>
      </w:r>
    </w:p>
    <w:p>
      <w:pPr>
        <w:pStyle w:val="Normal"/>
        <w:keepNext/>
        <w:widowControl/>
        <w:spacing w:lineRule="exact" w:line="360" w:before="240" w:after="160"/>
        <w:ind w:left="0" w:right="0" w:firstLine="0"/>
        <w:jc w:val="both"/>
        <w:rPr>
          <w:b/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2 – DA OBSCURIDADE QUANTO A [OBRIGAÇÃO CRIADA NA DECISÃO SEM PRAZO, FORMA OU CONSEQUÊNCIA]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A decisão criou obrigação nova, a cargo de [parte], nos seguintes termos:</w:t>
      </w:r>
    </w:p>
    <w:p>
      <w:pPr>
        <w:pStyle w:val="Normal"/>
        <w:widowControl/>
        <w:spacing w:lineRule="exact" w:line="280" w:before="120" w:after="200"/>
        <w:ind w:left="1701" w:right="0" w:firstLine="0"/>
        <w:jc w:val="both"/>
        <w:rPr>
          <w:i/>
        </w:rPr>
      </w:pPr>
      <w:r>
        <w:rPr>
          <w:rFonts w:eastAsia="Arial" w:cs="Arial"/>
          <w:i/>
          <w:sz w:val="20"/>
          <w:szCs w:val="20"/>
        </w:rPr>
        <w:t xml:space="preserve">“[TRECHO EXATO DA OBRIGAÇÃO CRIADA.]”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O julgado, contudo, não esclarece: (i) qual a </w:t>
      </w:r>
      <w:r>
        <w:rPr>
          <w:rFonts w:eastAsia="Arial" w:cs="Arial"/>
          <w:b/>
          <w:bCs/>
          <w:sz w:val="22"/>
          <w:szCs w:val="22"/>
        </w:rPr>
        <w:t xml:space="preserve">consequência do descumprimento</w:t>
      </w:r>
      <w:r>
        <w:rPr>
          <w:rFonts w:eastAsia="Arial" w:cs="Arial"/>
          <w:sz w:val="22"/>
          <w:szCs w:val="22"/>
        </w:rPr>
        <w:t xml:space="preserve">; (ii) </w:t>
      </w:r>
      <w:r>
        <w:rPr>
          <w:rFonts w:eastAsia="Arial" w:cs="Arial"/>
          <w:b/>
          <w:bCs/>
          <w:sz w:val="22"/>
          <w:szCs w:val="22"/>
        </w:rPr>
        <w:t xml:space="preserve">qual o prazo</w:t>
      </w:r>
      <w:r>
        <w:rPr>
          <w:rFonts w:eastAsia="Arial" w:cs="Arial"/>
          <w:sz w:val="22"/>
          <w:szCs w:val="22"/>
        </w:rPr>
        <w:t xml:space="preserve"> para o cumprimento; e (iii) </w:t>
      </w:r>
      <w:r>
        <w:rPr>
          <w:rFonts w:eastAsia="Arial" w:cs="Arial"/>
          <w:b/>
          <w:bCs/>
          <w:sz w:val="22"/>
          <w:szCs w:val="22"/>
        </w:rPr>
        <w:t xml:space="preserve">a quem incumbe a iniciativa</w:t>
      </w:r>
      <w:r>
        <w:rPr>
          <w:rFonts w:eastAsia="Arial" w:cs="Arial"/>
          <w:sz w:val="22"/>
          <w:szCs w:val="22"/>
        </w:rPr>
        <w:t xml:space="preserve">. Sem essa definição, a obrigação é inexequível e o capítulo em que a embargante foi vitoriosa não produz efeito prático algum, o que caracteriza obscuridade (art. 1.022, I, do CPC) e omissão quanto ao próprio conteúdo da obrigação criada.</w:t>
      </w:r>
    </w:p>
    <w:p>
      <w:pPr>
        <w:pStyle w:val="Normal"/>
        <w:keepNext/>
        <w:widowControl/>
        <w:spacing w:lineRule="exact" w:line="360" w:before="240" w:after="160"/>
        <w:ind w:left="0" w:right="0" w:firstLine="0"/>
        <w:jc w:val="both"/>
        <w:rPr>
          <w:b/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3 – DA OMISSÃO QUANTO A [QUESTÃO JURÍDICA DEDUZIDA E NÃO ENFRENTADA]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A decisão [adotou solução X / afastou a tese Y] sem se manifestar sobre [dispositivo constitucional, dispositivo legal, súmula ou tema vinculante efetivamente invocado nos autos], expressamente deduzido em [peça e fls.]. Requer-se tese expressa a respeito, indispensável ao prequestionamento da matéria (Súmula 297 do TST; art. 896, § 1º-A, I, da CLT).</w:t>
      </w:r>
    </w:p>
    <w:p>
      <w:pPr>
        <w:pStyle w:val="Normal"/>
        <w:keepNext/>
        <w:widowControl/>
        <w:spacing w:lineRule="exact" w:line="360" w:before="240" w:after="160"/>
        <w:ind w:left="0" w:right="0" w:firstLine="0"/>
        <w:jc w:val="both"/>
        <w:rPr>
          <w:b/>
          <w:u w:val="single"/>
        </w:rPr>
      </w:pPr>
      <w:r>
        <w:rPr>
          <w:rFonts w:eastAsia="Arial" w:cs="Arial"/>
          <w:b/>
          <w:bCs/>
          <w:u w:val="single"/>
          <w:sz w:val="22"/>
          <w:szCs w:val="22"/>
        </w:rPr>
        <w:t xml:space="preserve">4 – [BLOCO CONDICIONAL] DA OMISSÃO QUANTO A [VÍCIO QUE DEPENDE DE CONFERÊNCIA NOS AUTOS]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[REVISAR: manter este item apenas se a conferência nos autos confirmar que o pedido foi efetivamente formulado na peça anterior. Não sendo o caso, SUPRIMIR o item — alegar omissão sobre pedido inexistente atrai a multa por embargos protelatórios do art. 1.026, § 2º, do CPC.]</w:t>
      </w:r>
    </w:p>
    <w:p>
      <w:pPr>
        <w:pStyle w:val="Normal"/>
        <w:keepNext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bidi w:val="0"/>
        <w:spacing w:lineRule="exact" w:line="240" w:before="320" w:after="260"/>
        <w:ind w:left="0" w:right="0" w:hanging="0"/>
        <w:jc w:val="center"/>
        <w:rPr>
          <w:b/>
          <w:bCs/>
        </w:rPr>
      </w:pPr>
      <w:r>
        <w:rPr>
          <w:rFonts w:eastAsia="Arial" w:cs="Arial"/>
          <w:b/>
          <w:bCs/>
          <w:sz w:val="22"/>
          <w:szCs w:val="22"/>
        </w:rPr>
        <w:t xml:space="preserve">DO PREQUESTIONAMENTO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Para os fins do art. 896, § 1º-A, I e III, da CLT, da Súmula 297 do TST e do art. 1.025 do CPC, requer-se pronunciamento explícito sobre os seguintes dispositivos e teses: [RELACIONAR os dispositivos constitucionais e legais, as súmulas e os temas vinculantes efetivamente discutidos nos autos — não incluir dispositivo que não tenha sido deduzido].</w:t>
      </w:r>
    </w:p>
    <w:p>
      <w:pPr>
        <w:pStyle w:val="Normal"/>
        <w:keepNext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bidi w:val="0"/>
        <w:spacing w:lineRule="exact" w:line="240" w:before="320" w:after="260"/>
        <w:ind w:left="0" w:right="0" w:hanging="0"/>
        <w:jc w:val="center"/>
        <w:rPr>
          <w:b/>
          <w:bCs/>
        </w:rPr>
      </w:pPr>
      <w:r>
        <w:rPr>
          <w:rFonts w:eastAsia="Arial" w:cs="Arial"/>
          <w:b/>
          <w:bCs/>
          <w:sz w:val="22"/>
          <w:szCs w:val="22"/>
        </w:rPr>
        <w:t xml:space="preserve">DOS REQUERIMENTOS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Ante o exposto, requer a embargante: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a)</w:t>
      </w:r>
      <w:r>
        <w:rPr>
          <w:rFonts w:eastAsia="Arial" w:cs="Arial"/>
          <w:sz w:val="22"/>
          <w:szCs w:val="22"/>
        </w:rPr>
        <w:t xml:space="preserve"> o conhecimento e o provimento dos presentes embargos de declaração, para que sejam sanadas as omissões e as obscuridades apontadas no tópico DAS OMISSÕES E OBSCURIDADES, com pronunciamento expresso sobre cada um dos itens;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b)</w:t>
      </w:r>
      <w:r>
        <w:rPr>
          <w:rFonts w:eastAsia="Arial" w:cs="Arial"/>
          <w:sz w:val="22"/>
          <w:szCs w:val="22"/>
        </w:rPr>
        <w:t xml:space="preserve"> que se atribua aos embargos, no que couber, </w:t>
      </w:r>
      <w:r>
        <w:rPr>
          <w:rFonts w:eastAsia="Arial" w:cs="Arial"/>
          <w:b/>
          <w:bCs/>
          <w:sz w:val="22"/>
          <w:szCs w:val="22"/>
        </w:rPr>
        <w:t xml:space="preserve">efeito modificativo</w:t>
      </w:r>
      <w:r>
        <w:rPr>
          <w:rFonts w:eastAsia="Arial" w:cs="Arial"/>
          <w:sz w:val="22"/>
          <w:szCs w:val="22"/>
        </w:rPr>
        <w:t xml:space="preserve"> (art. 897-A, </w:t>
      </w:r>
      <w:r>
        <w:rPr>
          <w:rFonts w:eastAsia="Arial" w:cs="Arial"/>
          <w:b/>
          <w:bCs/>
          <w:sz w:val="22"/>
          <w:szCs w:val="22"/>
        </w:rPr>
        <w:t xml:space="preserve">caput</w:t>
      </w:r>
      <w:r>
        <w:rPr>
          <w:rFonts w:eastAsia="Arial" w:cs="Arial"/>
          <w:sz w:val="22"/>
          <w:szCs w:val="22"/>
        </w:rPr>
        <w:t xml:space="preserve"> e § 2º, da CLT), especialmente para que [DELIMITAR O QUE SE PRETENDE ALTERAR — o pedido de efeito modificativo precisa ser expresso e delimitado, nunca dirigido ao capítulo inteiro];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c)</w:t>
      </w:r>
      <w:r>
        <w:rPr>
          <w:rFonts w:eastAsia="Arial" w:cs="Arial"/>
          <w:sz w:val="22"/>
          <w:szCs w:val="22"/>
        </w:rPr>
        <w:t xml:space="preserve"> que se considerem prequestionadas as matérias e os dispositivos indicados no tópico DO PREQUESTIONAMENTO, para os efeitos do art. 1.025 do CPC;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b/>
          <w:bCs/>
          <w:sz w:val="22"/>
          <w:szCs w:val="22"/>
        </w:rPr>
        <w:t xml:space="preserve">d)</w:t>
      </w:r>
      <w:r>
        <w:rPr>
          <w:rFonts w:eastAsia="Arial" w:cs="Arial"/>
          <w:sz w:val="22"/>
          <w:szCs w:val="22"/>
        </w:rPr>
        <w:t xml:space="preserve"> o registro de que os presentes embargos interrompem o prazo para a interposição de outros recursos, por qualquer das partes (art. 897-A, § 3º, da CLT).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Nesses Termos,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Pede Deferimento.</w:t>
      </w:r>
    </w:p>
    <w:p>
      <w:pPr>
        <w:pStyle w:val="Normal"/>
        <w:widowControl/>
        <w:bidi w:val="0"/>
        <w:spacing w:lineRule="exact" w:line="360" w:before="0" w:after="160"/>
        <w:ind w:left="0" w:right="0" w:firstLine="1701"/>
        <w:jc w:val="both"/>
        <w:rPr/>
      </w:pPr>
      <w:r>
        <w:rPr>
          <w:rFonts w:eastAsia="Arial" w:cs="Arial"/>
          <w:sz w:val="22"/>
          <w:szCs w:val="22"/>
        </w:rPr>
        <w:t xml:space="preserve">Campo Grande/MS, data de assinatura eletrônica.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Marcos Hideki Kamibayashi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b/>
          <w:bCs/>
          <w:sz w:val="22"/>
          <w:szCs w:val="22"/>
        </w:rPr>
        <w:t xml:space="preserve">OAB/MS 14.580</w:t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397" w:top="1701" w:footer="397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0" w:after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______________________________________________________________________________________________________________________________________________</w:t>
    </w:r>
  </w:p>
  <w:p>
    <w:pPr>
      <w:pStyle w:val="Normal"/>
      <w:widowControl/>
      <w:tabs>
        <w:tab w:val="clear" w:pos="720"/>
        <w:tab w:val="right" w:pos="9071" w:leader="none"/>
      </w:tabs>
      <w:bidi w:val="0"/>
      <w:spacing w:lineRule="exact" w:line="200" w:before="0" w:after="0"/>
      <w:ind w:left="1814" w:right="0" w:hanging="0"/>
      <w:jc w:val="center"/>
      <w:rPr/>
    </w:pPr>
    <w:r>
      <w:rPr>
        <w:rFonts w:eastAsia="Arial Narrow" w:cs="Arial Narrow" w:ascii="Arial Narrow" w:hAnsi="Arial Narrow"/>
        <w:b/>
        <w:bCs/>
        <w:sz w:val="14"/>
        <w:szCs w:val="14"/>
      </w:rPr>
      <w:t>Avenida Calógeras nº 2309 – 2º andar – Centro – Campo Grande – MS – Fone 2109-1004.</w:t>
    </w:r>
    <w:r>
      <w:rPr>
        <w:rFonts w:eastAsia="Arial Narrow" w:cs="Arial Narrow" w:ascii="Arial Narrow" w:hAnsi="Arial Narrow"/>
        <w:sz w:val="14"/>
        <w:szCs w:val="14"/>
      </w:rPr>
      <w:tab/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71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850"/>
      <w:gridCol w:w="6220"/>
    </w:tblGrid>
    <w:tr>
      <w:trPr/>
      <w:tc>
        <w:tcPr>
          <w:tcW w:w="2850" w:type="dxa"/>
          <w:tcBorders/>
        </w:tcPr>
        <w:p>
          <w:pPr>
            <w:pStyle w:val="Normal"/>
            <w:widowControl w:val="false"/>
            <w:spacing w:before="0" w:after="0"/>
            <w:rPr/>
          </w:pPr>
          <w:r>
            <w:rPr/>
            <w:drawing>
              <wp:inline distT="0" distB="0" distL="0" distR="0">
                <wp:extent cx="1714500" cy="361950"/>
                <wp:effectExtent l="0" t="0" r="0" b="0"/>
                <wp:docPr id="1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tcBorders/>
        </w:tcPr>
        <w:p>
          <w:pPr>
            <w:pStyle w:val="Normal"/>
            <w:widowControl w:val="false"/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b/>
              <w:bCs/>
              <w:sz w:val="24"/>
              <w:szCs w:val="24"/>
            </w:rPr>
            <w:t>EMPRESA BRASILEIRA DE CORREIOS E TELÉGRAFOS</w:t>
          </w:r>
        </w:p>
        <w:p>
          <w:pPr>
            <w:pStyle w:val="Normal"/>
            <w:widowControl w:val="false"/>
            <w:pBdr>
              <w:bottom w:val="single" w:sz="6" w:space="2" w:color="000000"/>
            </w:pBdr>
            <w:spacing w:lineRule="exact" w:line="240" w:before="0" w:after="0"/>
            <w:jc w:val="center"/>
            <w:rPr/>
          </w:pPr>
          <w:r>
            <w:rPr>
              <w:rFonts w:eastAsia="Arial Narrow" w:cs="Arial Narrow" w:ascii="Arial Narrow" w:hAnsi="Arial Narrow"/>
              <w:sz w:val="24"/>
              <w:szCs w:val="24"/>
            </w:rPr>
            <w:t>Assessoria Jurídica MS/DEJUR/SEJUR</w:t>
          </w:r>
        </w:p>
      </w:tc>
    </w:tr>
  </w:tbl>
  <w:p>
    <w:pPr>
      <w:pStyle w:val="Normal"/>
      <w:spacing w:before="0" w:after="0"/>
      <w:rPr/>
    </w:pPr>
    <w:r>
      <w:rPr/>
      <w:t xml:space="preserve">                                            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nkdaInternet">
    <w:name w:val="Link da Internet"/>
    <w:uiPriority w:val="99"/>
    <w:unhideWhenUsed/>
    <w:rPr>
      <w:color w:val="0563C1"/>
      <w:u w:val="single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Ncoradanotadefim">
    <w:name w:val="Âncora da nota de fim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LibreOffice/7.2.5.2$Windows_X86_64 LibreOffice_project/499f9727c189e6ef3471021d6132d4c694f357e5</Application>
  <AppVersion>15.0000</AppVersion>
  <Pages>12</Pages>
  <Words>4146</Words>
  <Characters>23095</Characters>
  <CharactersWithSpaces>27288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2026-08-04T21:56:23Z</dcterms:created>
  <dc:creator>Un-named</dc:creator>
  <dc:description/>
  <dc:language>pt-BR</dc:language>
  <cp:lastModifiedBy/>
  <dcterms:modified xsi:type="dcterms:W3CDTF">2026-08-04T18:22:57Z</dcterms:modified>
  <cp:revision>35</cp:revision>
  <dc:subject/>
  <dc:title/>
</cp:coreProperties>
</file>