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EXCELENTÍSSIMO(A) SENHOR(A) DOUTOR(A) JUIZ(A) DO TRABALHO DA [Nº]ª VARA DO TRABALHO DE CAMPO GRANDE/MS.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200"/>
        <w:rPr/>
      </w:pP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Autos nº. [Nº DO PROCESSO].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RECORRENTE: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RECORRIDA: </w:t>
      </w:r>
      <w:r>
        <w:rPr>
          <w:rFonts w:eastAsia="Arial" w:cs="Arial"/>
          <w:sz w:val="22"/>
          <w:szCs w:val="22"/>
        </w:rPr>
        <w:t xml:space="preserve">[NOME DA PARTE ADVERSA].</w:t>
      </w:r>
    </w:p>
    <w:p>
      <w:pPr>
        <w:pStyle w:val="Normal"/>
        <w:spacing w:before="0" w:after="200"/>
        <w:rPr/>
      </w:pP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já qualificada nos autos da </w:t>
      </w:r>
      <w:r>
        <w:rPr>
          <w:rFonts w:eastAsia="Arial" w:cs="Arial"/>
          <w:b/>
          <w:bCs/>
          <w:sz w:val="22"/>
          <w:szCs w:val="22"/>
        </w:rPr>
        <w:t xml:space="preserve">RECLAMAÇÃO TRABALHISTA</w:t>
      </w:r>
      <w:r>
        <w:rPr>
          <w:rFonts w:eastAsia="Arial" w:cs="Arial"/>
          <w:sz w:val="22"/>
          <w:szCs w:val="22"/>
        </w:rPr>
        <w:t xml:space="preserve"> em epígrafe, que lhe move [NOME DA PARTE ADVERSA], por meio do procurador que esta subscreve, inconformada com a r. sentença de Id. [ID], integrada pela r. decisão de embargos de declaração de Id. [ID], vem, respeitosamente, à presença de Vossa Excelência, com fundamento no </w:t>
      </w:r>
      <w:r>
        <w:rPr>
          <w:rFonts w:eastAsia="Arial" w:cs="Arial"/>
          <w:b/>
          <w:bCs/>
          <w:sz w:val="22"/>
          <w:szCs w:val="22"/>
        </w:rPr>
        <w:t xml:space="preserve">art. 895, I, da CLT</w:t>
      </w:r>
      <w:r>
        <w:rPr>
          <w:rFonts w:eastAsia="Arial" w:cs="Arial"/>
          <w:sz w:val="22"/>
          <w:szCs w:val="22"/>
        </w:rPr>
        <w:t xml:space="preserve">, interpor </w:t>
      </w:r>
      <w:r>
        <w:rPr>
          <w:rFonts w:eastAsia="Arial" w:cs="Arial"/>
          <w:b/>
          <w:bCs/>
          <w:sz w:val="22"/>
          <w:szCs w:val="22"/>
        </w:rPr>
        <w:t xml:space="preserve">RECURSO ORDINÁRIO</w:t>
      </w:r>
      <w:r>
        <w:rPr>
          <w:rFonts w:eastAsia="Arial" w:cs="Arial"/>
          <w:sz w:val="22"/>
          <w:szCs w:val="22"/>
        </w:rPr>
        <w:t xml:space="preserve">, pelas razões anexas, que integram esta petição.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decisão de embargos de declaração foi publicada em [DATA], iniciando-se o prazo recursal em [DATA]. O prazo é de 8 (oito) dias (art. 895, I, da CLT), computado em dias úteis (art. 775 da CLT) e contado </w:t>
      </w:r>
      <w:r>
        <w:rPr>
          <w:rFonts w:eastAsia="Arial" w:cs="Arial"/>
          <w:b/>
          <w:bCs/>
          <w:sz w:val="22"/>
          <w:szCs w:val="22"/>
        </w:rPr>
        <w:t xml:space="preserve">em dobro</w:t>
      </w:r>
      <w:r>
        <w:rPr>
          <w:rFonts w:eastAsia="Arial" w:cs="Arial"/>
          <w:sz w:val="22"/>
          <w:szCs w:val="22"/>
        </w:rPr>
        <w:t xml:space="preserve"> em favor da Recorrente (art. 1º, III, do Decreto-Lei nº 779/69). É, pois, tempestivo o presente recurso.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Quanto ao preparo, a Recorrente é </w:t>
      </w:r>
      <w:r>
        <w:rPr>
          <w:rFonts w:eastAsia="Arial" w:cs="Arial"/>
          <w:b/>
          <w:bCs/>
          <w:sz w:val="22"/>
          <w:szCs w:val="22"/>
        </w:rPr>
        <w:t xml:space="preserve">isenta de custas e de depósito recursal</w:t>
      </w:r>
      <w:r>
        <w:rPr>
          <w:rFonts w:eastAsia="Arial" w:cs="Arial"/>
          <w:sz w:val="22"/>
          <w:szCs w:val="22"/>
        </w:rPr>
        <w:t xml:space="preserve"> (art. 1º, IV e VI, do Decreto-Lei nº 779/69), por equiparar-se à Fazenda Pública. [SE A DECISÃO DE ED OU A SENTENÇA TIVER RECONHECIDO A PRERROGATIVA, TRANSCREVER AQUI — é a blindagem mais forte do pressuposto extrínseco.] As custas já foram dispensadas na r. sentença.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assim, o recebimento do recurso e, após as formalidades legais, a remessa dos autos ao E. Tribunal Regional do Trabalho da 24ª Região.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p>
      <w:pPr>
        <w:pStyle w:val="Normal"/>
        <w:pageBreakBefore/>
        <w:spacing w:lineRule="exact" w:line="240" w:before="0" w:after="1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EGRÉGIO TRIBUNAL REGIONAL DO TRABALHO DA 24ª REGIÃO</w:t>
      </w:r>
    </w:p>
    <w:p>
      <w:pPr>
        <w:pStyle w:val="Normal"/>
        <w:spacing w:lineRule="exact" w:line="240" w:before="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COLENDA TURMA — ÍNCLITOS JULGADORES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Autos nº. [Nº DO PROCESSO].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RECORRENTE: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RECORRIDA: </w:t>
      </w:r>
      <w:r>
        <w:rPr>
          <w:rFonts w:eastAsia="Arial" w:cs="Arial"/>
          <w:sz w:val="22"/>
          <w:szCs w:val="22"/>
        </w:rPr>
        <w:t xml:space="preserve">[NOME DA PARTE ADVERSA].</w:t>
      </w:r>
    </w:p>
    <w:p>
      <w:pPr>
        <w:pStyle w:val="Normal"/>
        <w:spacing w:before="0" w:after="200"/>
        <w:rPr/>
      </w:pPr>
    </w:p>
    <w:p>
      <w:pPr>
        <w:pStyle w:val="Normal"/>
        <w:spacing w:lineRule="exact" w:line="240" w:before="20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RAZÕES DE RECURSO ORDINÁRIO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I – DA SÍNTESE DA DEMANDA E DA DECISÃO RECORRIDA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[ORIENTAÇÃO — APAGAR ANTES DO PROTOCOLO: três parágrafos, nesta ordem. (1) o que a inicial postulou; (2) o que a sentença decidiu — </w:t>
      </w:r>
      <w:r>
        <w:rPr>
          <w:rFonts w:eastAsia="Arial" w:cs="Arial"/>
          <w:b/>
          <w:bCs/>
          <w:sz w:val="22"/>
          <w:szCs w:val="22"/>
        </w:rPr>
        <w:t xml:space="preserve">começando pelo que foi favorável à ECT</w:t>
      </w:r>
      <w:r>
        <w:rPr>
          <w:rFonts w:eastAsia="Arial" w:cs="Arial"/>
          <w:sz w:val="22"/>
          <w:szCs w:val="22"/>
        </w:rPr>
        <w:t xml:space="preserve">, porque delimita a sucumbência e prepara o capítulo de honorários; (3) o que a decisão de embargos sanou e o que deixou de sanar. Fechar anunciando o vício que sustenta a preliminar.]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Recorrida ajuizou a presente reclamação postulando [PEDIDOS].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julgou </w:t>
      </w:r>
      <w:r>
        <w:rPr>
          <w:rFonts w:eastAsia="Arial" w:cs="Arial"/>
          <w:b/>
          <w:bCs/>
          <w:sz w:val="22"/>
          <w:szCs w:val="22"/>
        </w:rPr>
        <w:t xml:space="preserve">parcialmente procedente</w:t>
      </w:r>
      <w:r>
        <w:rPr>
          <w:rFonts w:eastAsia="Arial" w:cs="Arial"/>
          <w:sz w:val="22"/>
          <w:szCs w:val="22"/>
        </w:rPr>
        <w:t xml:space="preserve"> a pretensão. Reconheceu [PONTOS FAVORÁVEIS À ECT] e afastou [PEDIDOS REJEITADOS]. Condenou a Recorrente, contudo, a [CONDENAÇÕES IMPUGNADAS].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Opostos embargos de declaração, a r. decisão integrativa [RESULTADO — o que sanou e o que negou, com transcrição literal do que interessa].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Subsistem, todavia, os pontos adiante impugnados — e [um deles / alguns deles], </w:t>
      </w:r>
      <w:r>
        <w:rPr>
          <w:rFonts w:eastAsia="Arial" w:cs="Arial"/>
          <w:i/>
          <w:iCs/>
          <w:sz w:val="22"/>
          <w:szCs w:val="22"/>
        </w:rPr>
        <w:t xml:space="preserve">data maxima venia</w:t>
      </w:r>
      <w:r>
        <w:rPr>
          <w:rFonts w:eastAsia="Arial" w:cs="Arial"/>
          <w:sz w:val="22"/>
          <w:szCs w:val="22"/>
        </w:rPr>
        <w:t xml:space="preserve">, [permanece / permanecem] sem qualquer exame de mérito, o que impõe o reconhecimento de nulidade, como se passa a demonstrar.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II – PRELIMINARMENTE: DA NULIDADE POR NEGATIVA DE PRESTAÇÃO JURISDICIONAL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[QUANDO CABE: só se houve embargos de declaração apontando a omissão e a decisão integrativa não a sanou. Sem esse par, o capítulo não existe — e a matéria pode nem estar devolvida ao Tribunal. Se não couber, EXCLUIR esta seção inteira e renumerar.]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Em que pese os usuais brilhantismo e clareza ínsitos às decisões proferidas pelo d. Juízo de origem, tem-se, </w:t>
      </w:r>
      <w:r>
        <w:rPr>
          <w:rFonts w:eastAsia="Arial" w:cs="Arial"/>
          <w:i/>
          <w:iCs/>
          <w:sz w:val="22"/>
          <w:szCs w:val="22"/>
        </w:rPr>
        <w:t xml:space="preserve">data maxima venia</w:t>
      </w:r>
      <w:r>
        <w:rPr>
          <w:rFonts w:eastAsia="Arial" w:cs="Arial"/>
          <w:sz w:val="22"/>
          <w:szCs w:val="22"/>
        </w:rPr>
        <w:t xml:space="preserve">, que subsiste vício insanável quanto a [Nº] [capítulo/capítulos], mesmo após a oposição de embargos de declaração.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Primeiro — [TESE NÃO ENFRENTADA].</w:t>
      </w:r>
      <w:r>
        <w:rPr>
          <w:rFonts w:eastAsia="Arial" w:cs="Arial"/>
          <w:sz w:val="22"/>
          <w:szCs w:val="22"/>
        </w:rPr>
        <w:t xml:space="preserve"> O tópico [Nº] do mérito da contestação demonstrou que [TESE, com a prova]. Opostos embargos, a r. decisão integrativa limitou-se a afirmar que “[TRANSCRIÇÃO LITERAL DA RESPOSTA]”.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resposta, </w:t>
      </w:r>
      <w:r>
        <w:rPr>
          <w:rFonts w:eastAsia="Arial" w:cs="Arial"/>
          <w:i/>
          <w:iCs/>
          <w:sz w:val="22"/>
          <w:szCs w:val="22"/>
        </w:rPr>
        <w:t xml:space="preserve">venia concessa</w:t>
      </w:r>
      <w:r>
        <w:rPr>
          <w:rFonts w:eastAsia="Arial" w:cs="Arial"/>
          <w:sz w:val="22"/>
          <w:szCs w:val="22"/>
        </w:rPr>
        <w:t xml:space="preserve">, não enfrenta a tese. [DEMONSTRAR POR QUÊ — a técnica mais eficaz é mostrar que a resposta </w:t>
      </w:r>
      <w:r>
        <w:rPr>
          <w:rFonts w:eastAsia="Arial" w:cs="Arial"/>
          <w:b/>
          <w:bCs/>
          <w:sz w:val="22"/>
          <w:szCs w:val="22"/>
        </w:rPr>
        <w:t xml:space="preserve">pressupõe</w:t>
      </w:r>
      <w:r>
        <w:rPr>
          <w:rFonts w:eastAsia="Arial" w:cs="Arial"/>
          <w:sz w:val="22"/>
          <w:szCs w:val="22"/>
        </w:rPr>
        <w:t xml:space="preserve"> exatamente o fato controvertido e negado pela defesa.] O juízo não examinou [PROVA], não declarou provado [FATO], não indicou o documento que o comprovaria e não enfrentou [ARGUMENTO].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HOUVER SEGUNDO VÍCIO — em especial o padrão “reconhece a omissão e nega provimento”, que é contradição interna evidente:] </w:t>
      </w:r>
      <w:r>
        <w:rPr>
          <w:rFonts w:eastAsia="Arial" w:cs="Arial"/>
          <w:b/>
          <w:bCs/>
          <w:sz w:val="22"/>
          <w:szCs w:val="22"/>
        </w:rPr>
        <w:t xml:space="preserve">Segundo — [TEMA].</w:t>
      </w:r>
      <w:r>
        <w:rPr>
          <w:rFonts w:eastAsia="Arial" w:cs="Arial"/>
          <w:sz w:val="22"/>
          <w:szCs w:val="22"/>
        </w:rPr>
        <w:t xml:space="preserve"> A r. decisão integrativa afirmou, textualmente: “[TRANSCRIÇÃO]”. Reconheceu-se a omissão e anunciou-se o saneamento — para, na mesma proposição, negar-lhe provimento. A omissão, portanto, </w:t>
      </w:r>
      <w:r>
        <w:rPr>
          <w:rFonts w:eastAsia="Arial" w:cs="Arial"/>
          <w:b/>
          <w:bCs/>
          <w:sz w:val="22"/>
          <w:szCs w:val="22"/>
        </w:rPr>
        <w:t xml:space="preserve">não foi sanada</w:t>
      </w:r>
      <w:r>
        <w:rPr>
          <w:rFonts w:eastAsia="Arial" w:cs="Arial"/>
          <w:sz w:val="22"/>
          <w:szCs w:val="22"/>
        </w:rPr>
        <w:t xml:space="preserve"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Em [ambos os casos / todos os casos], a prestação jurisdicional restou incompleta, com afronta aos arts. 832 da CLT, 489, §1º, e 1.022 do CPC, e aos arts. 93, IX, e 5º, LIV e LV, da Constituição Federal.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o acolhimento da preliminar, com a </w:t>
      </w:r>
      <w:r>
        <w:rPr>
          <w:rFonts w:eastAsia="Arial" w:cs="Arial"/>
          <w:b/>
          <w:bCs/>
          <w:sz w:val="22"/>
          <w:szCs w:val="22"/>
        </w:rPr>
        <w:t xml:space="preserve">anulação</w:t>
      </w:r>
      <w:r>
        <w:rPr>
          <w:rFonts w:eastAsia="Arial" w:cs="Arial"/>
          <w:sz w:val="22"/>
          <w:szCs w:val="22"/>
        </w:rPr>
        <w:t xml:space="preserve"> da r. sentença para que outra seja proferida com o enfrentamento das teses; ou, entendendo esse E. Tribunal estar a causa madura, o julgamento desde logo do mérito, na forma do art. 1.013, §3º, IV, do CPC, nos termos dos tópicos seguintes.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III – DO MÉRITO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[ORIENTAÇÃO — APAGAR: numeração corrida. O capítulo 1 abaixo é o </w:t>
      </w:r>
      <w:r>
        <w:rPr>
          <w:rFonts w:eastAsia="Arial" w:cs="Arial"/>
          <w:b/>
          <w:bCs/>
          <w:sz w:val="22"/>
          <w:szCs w:val="22"/>
        </w:rPr>
        <w:t xml:space="preserve">padrão de capítulo de mérito</w:t>
      </w:r>
      <w:r>
        <w:rPr>
          <w:rFonts w:eastAsia="Arial" w:cs="Arial"/>
          <w:sz w:val="22"/>
          <w:szCs w:val="22"/>
        </w:rPr>
        <w:t xml:space="preserve"> (quatro movimentos), a repetir por tema. Os capítulos 2 a 4 são o </w:t>
      </w:r>
      <w:r>
        <w:rPr>
          <w:rFonts w:eastAsia="Arial" w:cs="Arial"/>
          <w:b/>
          <w:bCs/>
          <w:sz w:val="22"/>
          <w:szCs w:val="22"/>
        </w:rPr>
        <w:t xml:space="preserve">bloco recorrente da ECT</w:t>
      </w:r>
      <w:r>
        <w:rPr>
          <w:rFonts w:eastAsia="Arial" w:cs="Arial"/>
          <w:sz w:val="22"/>
          <w:szCs w:val="22"/>
        </w:rPr>
        <w:t xml:space="preserve">. Ordene do mais forte para o mais fraco e </w:t>
      </w:r>
      <w:r>
        <w:rPr>
          <w:rFonts w:eastAsia="Arial" w:cs="Arial"/>
          <w:b/>
          <w:bCs/>
          <w:sz w:val="22"/>
          <w:szCs w:val="22"/>
        </w:rPr>
        <w:t xml:space="preserve">não recorra do que está perdido</w:t>
      </w:r>
      <w:r>
        <w:rPr>
          <w:rFonts w:eastAsia="Arial" w:cs="Arial"/>
          <w:sz w:val="22"/>
          <w:szCs w:val="22"/>
        </w:rPr>
        <w:t xml:space="preserve"> — capítulo fraco contamina a leitura dos bons.]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[DO TEMA]: [A TESE EM UMA LINHA]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1 — o que a sentença decidiu.]</w:t>
      </w:r>
      <w:r>
        <w:rPr>
          <w:rFonts w:eastAsia="Arial" w:cs="Arial"/>
          <w:sz w:val="22"/>
          <w:szCs w:val="22"/>
        </w:rPr>
        <w:t xml:space="preserve"> A r. sentença condenou a Recorrente a [OBJETO], ao fundamento de que “[TRANSCRIÇÃO LITERAL]”.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2 — por que está errada: fato, prova e norma.]</w:t>
      </w:r>
      <w:r>
        <w:rPr>
          <w:rFonts w:eastAsia="Arial" w:cs="Arial"/>
          <w:sz w:val="22"/>
          <w:szCs w:val="22"/>
        </w:rPr>
        <w:t xml:space="preserve"> [DEMONSTRAÇÃO. Sempre que possível, apoiar-se em documento juntado pela própria parte adversa, e nomear o ônus da prova: o fato é constitutivo do direito alegado (arts. 818, I, da CLT, e 373, I, do CPC) e não foi provado.]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3 — a consequência concreta.]</w:t>
      </w:r>
      <w:r>
        <w:rPr>
          <w:rFonts w:eastAsia="Arial" w:cs="Arial"/>
          <w:sz w:val="22"/>
          <w:szCs w:val="22"/>
        </w:rPr>
        <w:t xml:space="preserve"> [O que acontece se o capítulo subsistir: pagamento em duplicidade, </w:t>
      </w:r>
      <w:r>
        <w:rPr>
          <w:rFonts w:eastAsia="Arial" w:cs="Arial"/>
          <w:i/>
          <w:iCs/>
          <w:sz w:val="22"/>
          <w:szCs w:val="22"/>
        </w:rPr>
        <w:t xml:space="preserve">bis in idem</w:t>
      </w:r>
      <w:r>
        <w:rPr>
          <w:rFonts w:eastAsia="Arial" w:cs="Arial"/>
          <w:sz w:val="22"/>
          <w:szCs w:val="22"/>
        </w:rPr>
        <w:t xml:space="preserve">, enriquecimento sem causa, título ilíquido, execução sobre parcela quitada. Rebater aqui a ressalva genérica de liquidação, se houver.]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4 — o pedido de reforma, específico.]</w:t>
      </w:r>
      <w:r>
        <w:rPr>
          <w:rFonts w:eastAsia="Arial" w:cs="Arial"/>
          <w:sz w:val="22"/>
          <w:szCs w:val="22"/>
        </w:rPr>
        <w:t xml:space="preserve"> Respeitosamente requer-se, pois, a reforma da r. sentença para </w:t>
      </w:r>
      <w:r>
        <w:rPr>
          <w:rFonts w:eastAsia="Arial" w:cs="Arial"/>
          <w:b/>
          <w:bCs/>
          <w:sz w:val="22"/>
          <w:szCs w:val="22"/>
        </w:rPr>
        <w:t xml:space="preserve">excluir da condenação</w:t>
      </w:r>
      <w:r>
        <w:rPr>
          <w:rFonts w:eastAsia="Arial" w:cs="Arial"/>
          <w:sz w:val="22"/>
          <w:szCs w:val="22"/>
        </w:rPr>
        <w:t xml:space="preserve"> [OBJETO], julgando-se improcedente o pedido.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2 – DAS OBRIGAÇÕES DE FAZER: AUSÊNCIA DE FUNDAMENTAÇÃO E INDETERMINAÇÃO DO OBJETO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determinou que a Recorrente [OBRIGAÇÕES DE FAZER]. Nenhuma das obrigações tem objeto determinado.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O CAPÍTULO NÃO TEM FUNDAMENTAÇÃO ALGUMA:] A fundamentação não contém uma única linha sobre o tema. Não indica a norma de regência, não define a base de cálculo, não fixa o percentual e não enfrenta a circunstância de que [TERCEIRO] </w:t>
      </w:r>
      <w:r>
        <w:rPr>
          <w:rFonts w:eastAsia="Arial" w:cs="Arial"/>
          <w:b/>
          <w:bCs/>
          <w:sz w:val="22"/>
          <w:szCs w:val="22"/>
        </w:rPr>
        <w:t xml:space="preserve">não integra a relação processual</w:t>
      </w:r>
      <w:r>
        <w:rPr>
          <w:rFonts w:eastAsia="Arial" w:cs="Arial"/>
          <w:sz w:val="22"/>
          <w:szCs w:val="22"/>
        </w:rPr>
        <w:t xml:space="preserve">. Trata-se de capítulo condenatório </w:t>
      </w:r>
      <w:r>
        <w:rPr>
          <w:rFonts w:eastAsia="Arial" w:cs="Arial"/>
          <w:b/>
          <w:bCs/>
          <w:sz w:val="22"/>
          <w:szCs w:val="22"/>
        </w:rPr>
        <w:t xml:space="preserve">sem fundamentação alguma</w:t>
      </w:r>
      <w:r>
        <w:rPr>
          <w:rFonts w:eastAsia="Arial" w:cs="Arial"/>
          <w:sz w:val="22"/>
          <w:szCs w:val="22"/>
        </w:rPr>
        <w:t xml:space="preserve">, em afronta ao art. 489, §1º, do CPC, ao art. 832 da CLT e ao art. 93, IX, da Constituição Federal.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A OBRIGAÇÃO DEPENDE DE ATO DE TERCEIRO — ex.: registro mantido por autarquia:] O [REGISTRO] é mantido [POR TERCEIRO], estranho a esta lide, cabendo ao empregador apenas a prestação de informações pelos sistemas de escrituração digital. A r. sentença não indica </w:t>
      </w:r>
      <w:r>
        <w:rPr>
          <w:rFonts w:eastAsia="Arial" w:cs="Arial"/>
          <w:b/>
          <w:bCs/>
          <w:sz w:val="22"/>
          <w:szCs w:val="22"/>
        </w:rPr>
        <w:t xml:space="preserve">qual</w:t>
      </w:r>
      <w:r>
        <w:rPr>
          <w:rFonts w:eastAsia="Arial" w:cs="Arial"/>
          <w:sz w:val="22"/>
          <w:szCs w:val="22"/>
        </w:rPr>
        <w:t xml:space="preserve"> informação deve ser retificada nem </w:t>
      </w:r>
      <w:r>
        <w:rPr>
          <w:rFonts w:eastAsia="Arial" w:cs="Arial"/>
          <w:b/>
          <w:bCs/>
          <w:sz w:val="22"/>
          <w:szCs w:val="22"/>
        </w:rPr>
        <w:t xml:space="preserve">por qual via</w:t>
      </w:r>
      <w:r>
        <w:rPr>
          <w:rFonts w:eastAsia="Arial" w:cs="Arial"/>
          <w:sz w:val="22"/>
          <w:szCs w:val="22"/>
        </w:rPr>
        <w:t xml:space="preserve">, e tampouco concilia a determinação com [DOCUMENTO DOS AUTOS QUE A CONTRADIZ].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Sem esses parâmetros, as obrigações são </w:t>
      </w:r>
      <w:r>
        <w:rPr>
          <w:rFonts w:eastAsia="Arial" w:cs="Arial"/>
          <w:b/>
          <w:bCs/>
          <w:sz w:val="22"/>
          <w:szCs w:val="22"/>
        </w:rPr>
        <w:t xml:space="preserve">inexequíveis</w:t>
      </w:r>
      <w:r>
        <w:rPr>
          <w:rFonts w:eastAsia="Arial" w:cs="Arial"/>
          <w:sz w:val="22"/>
          <w:szCs w:val="22"/>
        </w:rPr>
        <w:t xml:space="preserve"> e expõem a Recorrente a incidentes de cumprimento sobre obrigação de conteúdo indeterminado, em afronta ao art. 492 do CPC.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a reforma da r. sentença para </w:t>
      </w:r>
      <w:r>
        <w:rPr>
          <w:rFonts w:eastAsia="Arial" w:cs="Arial"/>
          <w:b/>
          <w:bCs/>
          <w:sz w:val="22"/>
          <w:szCs w:val="22"/>
        </w:rPr>
        <w:t xml:space="preserve">excluir</w:t>
      </w:r>
      <w:r>
        <w:rPr>
          <w:rFonts w:eastAsia="Arial" w:cs="Arial"/>
          <w:sz w:val="22"/>
          <w:szCs w:val="22"/>
        </w:rPr>
        <w:t xml:space="preserve"> [CAPÍTULO] e, quanto a [OUTRO], para </w:t>
      </w:r>
      <w:r>
        <w:rPr>
          <w:rFonts w:eastAsia="Arial" w:cs="Arial"/>
          <w:b/>
          <w:bCs/>
          <w:sz w:val="22"/>
          <w:szCs w:val="22"/>
        </w:rPr>
        <w:t xml:space="preserve">delimitar</w:t>
      </w:r>
      <w:r>
        <w:rPr>
          <w:rFonts w:eastAsia="Arial" w:cs="Arial"/>
          <w:sz w:val="22"/>
          <w:szCs w:val="22"/>
        </w:rPr>
        <w:t xml:space="preserve"> precisamente o objeto da obrigação e a sua exigibilidade, que não pode anteceder a liquidação e o trânsito em julgado.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3 – DO DANO MORAL: INEXISTÊNCIA DE LESÃO A DIREITO DA PERSONALIDADE E AUSÊNCIA DE GRADAÇÃO LEGAL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deferiu compensação por dano moral ao fundamento de que “[TRANSCRIÇÃO]”.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ilícito reconhecido, porém, foi [O QUE DE FATO SE APUROU] — não conduta atentatória à dignidade da parte. Divergência sobre a exata extensão de verbas contratuais configura, quando muito, </w:t>
      </w:r>
      <w:r>
        <w:rPr>
          <w:rFonts w:eastAsia="Arial" w:cs="Arial"/>
          <w:b/>
          <w:bCs/>
          <w:sz w:val="22"/>
          <w:szCs w:val="22"/>
        </w:rPr>
        <w:t xml:space="preserve">inadimplemento contratual</w:t>
      </w:r>
      <w:r>
        <w:rPr>
          <w:rFonts w:eastAsia="Arial" w:cs="Arial"/>
          <w:sz w:val="22"/>
          <w:szCs w:val="22"/>
        </w:rPr>
        <w:t xml:space="preserve">, e não lesão a direito da personalidade. O mero aborrecimento decorrente de controvérsia patrimonial não constitui dano moral indenizável.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[TÉCNICA — usar contra a decisão as suas próprias palavras: se a sentença qualificou o fato como de pouca gravidade, extensão ou duração ao dosar o valor, transcrever essa passagem: ela milita contra a caracterização do abalo, e não a favor dela.]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Ainda que assim não se entenda</w:t>
      </w:r>
      <w:r>
        <w:rPr>
          <w:rFonts w:eastAsia="Arial" w:cs="Arial"/>
          <w:sz w:val="22"/>
          <w:szCs w:val="22"/>
        </w:rPr>
        <w:t xml:space="preserve">, o arbitramento não observou o regime legal. A r. sentença invocou os arts. 223-F e 223-G da CLT, mas fixou o valor [em juízo de equidade / sem critério explícito], </w:t>
      </w:r>
      <w:r>
        <w:rPr>
          <w:rFonts w:eastAsia="Arial" w:cs="Arial"/>
          <w:b/>
          <w:bCs/>
          <w:sz w:val="22"/>
          <w:szCs w:val="22"/>
        </w:rPr>
        <w:t xml:space="preserve">sem enquadrar a ofensa em nenhum dos graus</w:t>
      </w:r>
      <w:r>
        <w:rPr>
          <w:rFonts w:eastAsia="Arial" w:cs="Arial"/>
          <w:sz w:val="22"/>
          <w:szCs w:val="22"/>
        </w:rPr>
        <w:t xml:space="preserve"> — leve, média, grave ou gravíssima — do art. 223-G, §1º, da CLT. O dispositivo instituiu sistema de </w:t>
      </w:r>
      <w:r>
        <w:rPr>
          <w:rFonts w:eastAsia="Arial" w:cs="Arial"/>
          <w:b/>
          <w:bCs/>
          <w:sz w:val="22"/>
          <w:szCs w:val="22"/>
        </w:rPr>
        <w:t xml:space="preserve">tarifação legal</w:t>
      </w:r>
      <w:r>
        <w:rPr>
          <w:rFonts w:eastAsia="Arial" w:cs="Arial"/>
          <w:sz w:val="22"/>
          <w:szCs w:val="22"/>
        </w:rPr>
        <w:t xml:space="preserve">, no qual o valor decorre do enquadramento da ofensa e da aplicação do correspondente multiplicador do salário contratual. Ou se aplica o sistema tarifado — e o grau há de ser declarado —, ou se arbitra por equidade — e então não se observa o art. 223-G. Ambos, simultaneamente, não.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a reforma da r. sentença para </w:t>
      </w:r>
      <w:r>
        <w:rPr>
          <w:rFonts w:eastAsia="Arial" w:cs="Arial"/>
          <w:b/>
          <w:bCs/>
          <w:sz w:val="22"/>
          <w:szCs w:val="22"/>
        </w:rPr>
        <w:t xml:space="preserve">excluir</w:t>
      </w:r>
      <w:r>
        <w:rPr>
          <w:rFonts w:eastAsia="Arial" w:cs="Arial"/>
          <w:sz w:val="22"/>
          <w:szCs w:val="22"/>
        </w:rPr>
        <w:t xml:space="preserve"> a condenação por dano moral; subsidiariamente, e apenas pelo princípio da eventualidade, para que o valor seja </w:t>
      </w:r>
      <w:r>
        <w:rPr>
          <w:rFonts w:eastAsia="Arial" w:cs="Arial"/>
          <w:b/>
          <w:bCs/>
          <w:sz w:val="22"/>
          <w:szCs w:val="22"/>
        </w:rPr>
        <w:t xml:space="preserve">reduzido</w:t>
      </w:r>
      <w:r>
        <w:rPr>
          <w:rFonts w:eastAsia="Arial" w:cs="Arial"/>
          <w:sz w:val="22"/>
          <w:szCs w:val="22"/>
        </w:rPr>
        <w:t xml:space="preserve"> com observância da gradação e dos limites do art. 223-G, §1º, da CLT.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4 – DO REGIME DE EXECUÇÃO, DO TERMO DE CUMPRIMENTO E DA ATUALIZAÇÃO MONETÁRIA (ART. 3º DA EC Nº 113/2021)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Recorrente é empresa pública federal equiparada à Fazenda Pública, cujos pagamentos se sujeitam ao art. 100 da Constituição Federal. O Decreto-Lei nº 509/69 foi recepcionado pela Constituição de 1988, como decidiu o E. Supremo Tribunal Federal no RE 220.906/DF e no RE 220.699/SP, este último assim ementado, </w:t>
      </w:r>
      <w:r>
        <w:rPr>
          <w:rFonts w:eastAsia="Arial" w:cs="Arial"/>
          <w:i/>
          <w:iCs/>
          <w:sz w:val="22"/>
          <w:szCs w:val="22"/>
        </w:rPr>
        <w:t xml:space="preserve">verbis</w:t>
      </w:r>
      <w:r>
        <w:rPr>
          <w:rFonts w:eastAsia="Arial" w:cs="Arial"/>
          <w:sz w:val="22"/>
          <w:szCs w:val="22"/>
        </w:rPr>
        <w:t xml:space="preserve">:</w:t>
      </w:r>
    </w:p>
    <w:p>
      <w:pPr>
        <w:pStyle w:val="Normal"/>
        <w:spacing w:lineRule="exact" w:line="240" w:before="100" w:after="160"/>
        <w:ind w:left="2268" w:firstLine="0"/>
        <w:jc w:val="both"/>
        <w:rPr/>
      </w:pPr>
      <w:r>
        <w:rPr>
          <w:rFonts w:eastAsia="Arial" w:cs="Arial"/>
          <w:sz w:val="20"/>
          <w:szCs w:val="20"/>
        </w:rPr>
        <w:t xml:space="preserve">“Empresa Brasileira de Correios e Telégrafos. Execução – Recentemente, ao terminar o julgamento do RE 220.906, que versava a mesma questão, o Plenário desta Corte decidiu que foi recebido pela atual Constituição o Decreto-lei n. 509/69, que estendeu à Empresa Brasileira de Correios e Telégrafos os privilégios conferidos à Fazenda Pública, dentre os quais o da impenhorabilidade de seus bens, rendas e serviços, devendo a execução contra ela fazer-se mediante precatório, sob pena de ofensa ao disposto no artigo 100 da Carta Magna – Dessa orientação divergiu o acórdão recorrido. Recurso Extraordinário conhecido e provido.” (RE 220699/SP, Relator Ministro MOREIRA ALVES, DJ 16/03/2001, Primeira Turma).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O DISPOSITIVO FIXOU PRAZO DE CUMPRIMENTO:] Determinação de cumprimento em [Nº] dias é, portanto, incompatível com o regime constitucional de pagamento a que a Recorrente se sujeita, e igualmente incompatível com a natureza das obrigações de fazer deferidas, que pressupõem prévia liquidação.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Da atualização monetária.</w:t>
      </w:r>
      <w:r>
        <w:rPr>
          <w:rFonts w:eastAsia="Arial" w:cs="Arial"/>
          <w:sz w:val="22"/>
          <w:szCs w:val="22"/>
        </w:rPr>
        <w:t xml:space="preserve"> O item [Nº] da r. sentença determinou a observância de [CRITÉRIO GERAL], sem examinar o art. 3º da Emenda Constitucional nº 113/2021, expressamente invocado na contestação, </w:t>
      </w:r>
      <w:r>
        <w:rPr>
          <w:rFonts w:eastAsia="Arial" w:cs="Arial"/>
          <w:i/>
          <w:iCs/>
          <w:sz w:val="22"/>
          <w:szCs w:val="22"/>
        </w:rPr>
        <w:t xml:space="preserve">verbis</w:t>
      </w:r>
      <w:r>
        <w:rPr>
          <w:rFonts w:eastAsia="Arial" w:cs="Arial"/>
          <w:sz w:val="22"/>
          <w:szCs w:val="22"/>
        </w:rPr>
        <w:t xml:space="preserve">:</w:t>
      </w:r>
    </w:p>
    <w:p>
      <w:pPr>
        <w:pStyle w:val="Normal"/>
        <w:spacing w:lineRule="exact" w:line="240" w:before="100" w:after="160"/>
        <w:ind w:left="2268" w:firstLine="0"/>
        <w:jc w:val="both"/>
        <w:rPr/>
      </w:pPr>
      <w:r>
        <w:rPr>
          <w:rFonts w:eastAsia="Arial" w:cs="Arial"/>
          <w:sz w:val="20"/>
          <w:szCs w:val="20"/>
        </w:rPr>
        <w:t xml:space="preserve">“Art. 3º Nas discussões e nas condenações que envolvam a Fazenda Pública, independentemente de sua natureza e para fins de atualização monetária, de remuneração do capital e de compensação da mora, inclusive do precatório, haverá a incidência, uma única vez, até o efetivo pagamento, do índice da taxa referencial do Sistema Especial de Liquidação e de Custódia (Selic), acumulado mensalmente.”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A DECISÃO DE ED REMETEU O TEMA À FASE DE PRECATÓRIO:] </w:t>
      </w:r>
      <w:r>
        <w:rPr>
          <w:rFonts w:eastAsia="Arial" w:cs="Arial"/>
          <w:i/>
          <w:iCs/>
          <w:sz w:val="22"/>
          <w:szCs w:val="22"/>
        </w:rPr>
        <w:t xml:space="preserve">Data venia</w:t>
      </w:r>
      <w:r>
        <w:rPr>
          <w:rFonts w:eastAsia="Arial" w:cs="Arial"/>
          <w:sz w:val="22"/>
          <w:szCs w:val="22"/>
        </w:rPr>
        <w:t xml:space="preserve">, a norma não comporta essa leitura: ela alcança as “discussões e condenações” que envolvam a Fazenda Pública </w:t>
      </w:r>
      <w:r>
        <w:rPr>
          <w:rFonts w:eastAsia="Arial" w:cs="Arial"/>
          <w:b/>
          <w:bCs/>
          <w:sz w:val="22"/>
          <w:szCs w:val="22"/>
        </w:rPr>
        <w:t xml:space="preserve">“independentemente de sua natureza”</w:t>
      </w:r>
      <w:r>
        <w:rPr>
          <w:rFonts w:eastAsia="Arial" w:cs="Arial"/>
          <w:sz w:val="22"/>
          <w:szCs w:val="22"/>
        </w:rPr>
        <w:t xml:space="preserve"> e </w:t>
      </w:r>
      <w:r>
        <w:rPr>
          <w:rFonts w:eastAsia="Arial" w:cs="Arial"/>
          <w:b/>
          <w:bCs/>
          <w:sz w:val="22"/>
          <w:szCs w:val="22"/>
        </w:rPr>
        <w:t xml:space="preserve">“inclusive do precatório”</w:t>
      </w:r>
      <w:r>
        <w:rPr>
          <w:rFonts w:eastAsia="Arial" w:cs="Arial"/>
          <w:sz w:val="22"/>
          <w:szCs w:val="22"/>
        </w:rPr>
        <w:t xml:space="preserve"> — expressão que estende o seu âmbito ao precatório, e não o limita a ele. O critério de atualização compõe a própria condenação e deve ser definido na fase de conhecimento, sob pena de tornar-se fonte segura de novo litígio na liquidação.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a reforma da r. sentença para que se declare (i) que a execução observará o regime do art. 100 da Constituição Federal, afastada a determinação de cumprimento em [Nº] dias; e (ii) que a atualização monetária e os juros observarão o art. 3º da Emenda Constitucional nº 113/2021, com incidência única da taxa SELIC.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IV – DO PREQUESTIONAMENTO EXPLÍCITO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[AQUI SIM — no recurso, e não nos embargos. Listar </w:t>
      </w:r>
      <w:r>
        <w:rPr>
          <w:rFonts w:eastAsia="Arial" w:cs="Arial"/>
          <w:b/>
          <w:bCs/>
          <w:sz w:val="22"/>
          <w:szCs w:val="22"/>
        </w:rPr>
        <w:t xml:space="preserve">apenas</w:t>
      </w:r>
      <w:r>
        <w:rPr>
          <w:rFonts w:eastAsia="Arial" w:cs="Arial"/>
          <w:sz w:val="22"/>
          <w:szCs w:val="22"/>
        </w:rPr>
        <w:t xml:space="preserve"> o que foi efetivamente debatido nesta peça: dispositivo não desenvolvido no corpo não se prequestiona, e a lista inflada enfraquece o pedido.]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Para os fins da Súmula 297 do TST, e considerando que, no rito sumaríssimo, o recurso de revista somente se admite por ofensa direta à Constituição Federal ou por contrariedade a súmula do TST ou a súmula vinculante (art. 896, §9º, da CLT), requer a Recorrente o </w:t>
      </w:r>
      <w:r>
        <w:rPr>
          <w:rFonts w:eastAsia="Arial" w:cs="Arial"/>
          <w:b/>
          <w:bCs/>
          <w:sz w:val="22"/>
          <w:szCs w:val="22"/>
        </w:rPr>
        <w:t xml:space="preserve">pronunciamento explícito</w:t>
      </w:r>
      <w:r>
        <w:rPr>
          <w:rFonts w:eastAsia="Arial" w:cs="Arial"/>
          <w:sz w:val="22"/>
          <w:szCs w:val="22"/>
        </w:rPr>
        <w:t xml:space="preserve"> sobre os seguintes dispositivos, todos debatidos nesta peça: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(a) arts. 5º, LIV e LV; 93, IX; e 100 da </w:t>
      </w:r>
      <w:r>
        <w:rPr>
          <w:rFonts w:eastAsia="Arial" w:cs="Arial"/>
          <w:b/>
          <w:bCs/>
          <w:sz w:val="22"/>
          <w:szCs w:val="22"/>
        </w:rPr>
        <w:t xml:space="preserve">Constituição Federal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(b) art. 3º da </w:t>
      </w:r>
      <w:r>
        <w:rPr>
          <w:rFonts w:eastAsia="Arial" w:cs="Arial"/>
          <w:b/>
          <w:bCs/>
          <w:sz w:val="22"/>
          <w:szCs w:val="22"/>
        </w:rPr>
        <w:t xml:space="preserve">Emenda Constitucional nº 113/2021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(c) arts. 223-F, §2º, e 223-G,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, §1º e incisos, da </w:t>
      </w:r>
      <w:r>
        <w:rPr>
          <w:rFonts w:eastAsia="Arial" w:cs="Arial"/>
          <w:b/>
          <w:bCs/>
          <w:sz w:val="22"/>
          <w:szCs w:val="22"/>
        </w:rPr>
        <w:t xml:space="preserve">CLT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(d) arts. 818, I, e 832 da </w:t>
      </w:r>
      <w:r>
        <w:rPr>
          <w:rFonts w:eastAsia="Arial" w:cs="Arial"/>
          <w:b/>
          <w:bCs/>
          <w:sz w:val="22"/>
          <w:szCs w:val="22"/>
        </w:rPr>
        <w:t xml:space="preserve">CLT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(e) arts. 373, I; 489, §1º; 492; 1.013, §3º; e 1.022 do </w:t>
      </w:r>
      <w:r>
        <w:rPr>
          <w:rFonts w:eastAsia="Arial" w:cs="Arial"/>
          <w:b/>
          <w:bCs/>
          <w:sz w:val="22"/>
          <w:szCs w:val="22"/>
        </w:rPr>
        <w:t xml:space="preserve">CPC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(f) art. 12 do </w:t>
      </w:r>
      <w:r>
        <w:rPr>
          <w:rFonts w:eastAsia="Arial" w:cs="Arial"/>
          <w:b/>
          <w:bCs/>
          <w:sz w:val="22"/>
          <w:szCs w:val="22"/>
        </w:rPr>
        <w:t xml:space="preserve">Decreto-Lei nº 509/69</w:t>
      </w:r>
      <w:r>
        <w:rPr>
          <w:rFonts w:eastAsia="Arial" w:cs="Arial"/>
          <w:sz w:val="22"/>
          <w:szCs w:val="22"/>
        </w:rPr>
        <w:t xml:space="preserve"> e art. 1º do </w:t>
      </w:r>
      <w:r>
        <w:rPr>
          <w:rFonts w:eastAsia="Arial" w:cs="Arial"/>
          <w:b/>
          <w:bCs/>
          <w:sz w:val="22"/>
          <w:szCs w:val="22"/>
        </w:rPr>
        <w:t xml:space="preserve">Decreto-Lei nº 779/69</w:t>
      </w:r>
      <w:r>
        <w:rPr>
          <w:rFonts w:eastAsia="Arial" w:cs="Arial"/>
          <w:sz w:val="22"/>
          <w:szCs w:val="22"/>
        </w:rPr>
        <w:t xml:space="preserve">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(g) [DEMAIS DISPOSITIVOS ESPECÍFICOS DO TEMA DESTE PROCESSO].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V – DOS REQUERIMENTOS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Ante o exposto, respeitosamente requer a Recorrente: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a)</w:t>
      </w:r>
      <w:r>
        <w:rPr>
          <w:rFonts w:eastAsia="Arial" w:cs="Arial"/>
          <w:sz w:val="22"/>
          <w:szCs w:val="22"/>
        </w:rPr>
        <w:t xml:space="preserve"> o </w:t>
      </w:r>
      <w:r>
        <w:rPr>
          <w:rFonts w:eastAsia="Arial" w:cs="Arial"/>
          <w:b/>
          <w:bCs/>
          <w:sz w:val="22"/>
          <w:szCs w:val="22"/>
        </w:rPr>
        <w:t xml:space="preserve">conhecimento e o provimento</w:t>
      </w:r>
      <w:r>
        <w:rPr>
          <w:rFonts w:eastAsia="Arial" w:cs="Arial"/>
          <w:sz w:val="22"/>
          <w:szCs w:val="22"/>
        </w:rPr>
        <w:t xml:space="preserve"> do presente recurso ordinário;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b)</w:t>
      </w: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b/>
          <w:bCs/>
          <w:sz w:val="22"/>
          <w:szCs w:val="22"/>
        </w:rPr>
        <w:t xml:space="preserve">preliminarmente</w:t>
      </w:r>
      <w:r>
        <w:rPr>
          <w:rFonts w:eastAsia="Arial" w:cs="Arial"/>
          <w:sz w:val="22"/>
          <w:szCs w:val="22"/>
        </w:rPr>
        <w:t xml:space="preserve">, o acolhimento da nulidade por negativa de prestação jurisdicional, com a anulação da r. sentença para que outra seja proferida; ou, estando madura a causa, o julgamento imediato do mérito na forma do art. 1.013, §3º, IV, do CPC;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c)</w:t>
      </w: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b/>
          <w:bCs/>
          <w:sz w:val="22"/>
          <w:szCs w:val="22"/>
        </w:rPr>
        <w:t xml:space="preserve">no mérito</w:t>
      </w:r>
      <w:r>
        <w:rPr>
          <w:rFonts w:eastAsia="Arial" w:cs="Arial"/>
          <w:sz w:val="22"/>
          <w:szCs w:val="22"/>
        </w:rPr>
        <w:t xml:space="preserve">, a reforma da r. sentença para: (i) [PEDIDO]; (ii) [PEDIDO]; (iii) [PEDIDO];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d)</w:t>
      </w:r>
      <w:r>
        <w:rPr>
          <w:rFonts w:eastAsia="Arial" w:cs="Arial"/>
          <w:sz w:val="22"/>
          <w:szCs w:val="22"/>
        </w:rPr>
        <w:t xml:space="preserve"> o </w:t>
      </w:r>
      <w:r>
        <w:rPr>
          <w:rFonts w:eastAsia="Arial" w:cs="Arial"/>
          <w:b/>
          <w:bCs/>
          <w:sz w:val="22"/>
          <w:szCs w:val="22"/>
        </w:rPr>
        <w:t xml:space="preserve">prequestionamento explícito</w:t>
      </w:r>
      <w:r>
        <w:rPr>
          <w:rFonts w:eastAsia="Arial" w:cs="Arial"/>
          <w:sz w:val="22"/>
          <w:szCs w:val="22"/>
        </w:rPr>
        <w:t xml:space="preserve"> de todos os dispositivos relacionados no tópico IV supra;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e)</w:t>
      </w:r>
      <w:r>
        <w:rPr>
          <w:rFonts w:eastAsia="Arial" w:cs="Arial"/>
          <w:sz w:val="22"/>
          <w:szCs w:val="22"/>
        </w:rPr>
        <w:t xml:space="preserve"> a </w:t>
      </w:r>
      <w:r>
        <w:rPr>
          <w:rFonts w:eastAsia="Arial" w:cs="Arial"/>
          <w:b/>
          <w:bCs/>
          <w:sz w:val="22"/>
          <w:szCs w:val="22"/>
        </w:rPr>
        <w:t xml:space="preserve">readequação dos honorários de sucumbência</w:t>
      </w:r>
      <w:r>
        <w:rPr>
          <w:rFonts w:eastAsia="Arial" w:cs="Arial"/>
          <w:sz w:val="22"/>
          <w:szCs w:val="22"/>
        </w:rPr>
        <w:t xml:space="preserve"> à luz do resultado do julgamento, na forma do art. 791-A, §3º, da CLT, mantida a suspensão de exigibilidade em favor da parte adversa enquanto perdurar a condição de beneficiária da justiça gratuita (art. 791-A, §4º, da CLT).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por fim, que todas as intimações e publicações sejam realizadas exclusivamente em nome do procurador que esta subscreve, sob pena de nulidade.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LibreOffice/7.2.5.2$Windows_X86_64 LibreOffice_project/499f9727c189e6ef3471021d6132d4c694f357e5</Application>
  <AppVersion>15.0000</AppVersion>
  <Pages>12</Pages>
  <Words>4146</Words>
  <Characters>23095</Characters>
  <CharactersWithSpaces>27288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ASJUR MS</dc:creator>
  <dc:description/>
  <dc:language>pt-BR</dc:language>
  <cp:lastModifiedBy>ASJUR MS</cp:lastModifiedBy>
  <dcterms:modified xsi:type="dcterms:W3CDTF">2026-08-04T18:22:57Z</dcterms:modified>
  <cp:revision>1</cp:revision>
  <dc:subject/>
  <dc:title>Modelo - Recurso Ordinario - sentenca de 1o grau</dc:title>
</cp:coreProperties>
</file>