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exact" w:line="360" w:before="0" w:after="120"/>
        <w:ind w:hanging="0"/>
        <w:jc w:val="both"/>
        <w:rPr/>
      </w:pPr>
      <w:r>
        <w:rPr>
          <w:rFonts w:eastAsia="Arial" w:cs="Arial"/>
          <w:b/>
          <w:bCs/>
          <w:sz w:val="22"/>
          <w:szCs w:val="22"/>
        </w:rPr>
        <w:t xml:space="preserve">EXCELENTÍSSIMO(A) SENHOR(A) DESEMBARGADOR(A) PRESIDENTE DO TRIBUNAL REGIONAL DO TRABALHO DA 24ª REGIÃO.</w:t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lineRule="exact" w:line="360" w:before="0" w:after="120"/>
        <w:ind w:hanging="0"/>
        <w:jc w:val="both"/>
        <w:rPr/>
      </w:pPr>
      <w:r>
        <w:rPr>
          <w:rFonts w:eastAsia="Arial" w:cs="Arial"/>
          <w:b/>
          <w:bCs/>
          <w:sz w:val="22"/>
          <w:szCs w:val="22"/>
        </w:rPr>
        <w:t xml:space="preserve">Autos nº [Nº DO PROCESSO].</w:t>
      </w:r>
    </w:p>
    <w:p>
      <w:pPr>
        <w:pStyle w:val="Normal"/>
        <w:spacing w:lineRule="exact" w:line="360" w:before="0" w:after="120"/>
        <w:ind w:hanging="0"/>
        <w:jc w:val="both"/>
        <w:rPr/>
      </w:pPr>
      <w:r>
        <w:rPr>
          <w:rFonts w:eastAsia="Arial" w:cs="Arial"/>
          <w:b/>
          <w:bCs/>
          <w:sz w:val="22"/>
          <w:szCs w:val="22"/>
        </w:rPr>
        <w:t xml:space="preserve">RECORRENTE: </w:t>
      </w:r>
      <w:r>
        <w:rPr>
          <w:rFonts w:eastAsia="Arial" w:cs="Arial"/>
          <w:sz w:val="22"/>
          <w:szCs w:val="22"/>
        </w:rPr>
        <w:t xml:space="preserve">EMPRESA BRASILEIRA DE CORREIOS E TELÉGRAFOS.</w:t>
      </w:r>
    </w:p>
    <w:p>
      <w:pPr>
        <w:pStyle w:val="Normal"/>
        <w:spacing w:lineRule="exact" w:line="360" w:before="0" w:after="120"/>
        <w:ind w:hanging="0"/>
        <w:jc w:val="both"/>
        <w:rPr/>
      </w:pPr>
      <w:r>
        <w:rPr>
          <w:rFonts w:eastAsia="Arial" w:cs="Arial"/>
          <w:b/>
          <w:bCs/>
          <w:sz w:val="22"/>
          <w:szCs w:val="22"/>
        </w:rPr>
        <w:t xml:space="preserve">RECORRIDO(A): </w:t>
      </w:r>
      <w:r>
        <w:rPr>
          <w:rFonts w:eastAsia="Arial" w:cs="Arial"/>
          <w:sz w:val="22"/>
          <w:szCs w:val="22"/>
        </w:rPr>
        <w:t xml:space="preserve">[NOME DO RECORRIDO].</w:t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b/>
          <w:bCs/>
          <w:sz w:val="22"/>
          <w:szCs w:val="22"/>
        </w:rPr>
        <w:t xml:space="preserve">EMPRESA BRASILEIRA DE CORREIOS E TELÉGRAFOS – SUPERINTENDÊNCIA ESTADUAL DE MATO GROSSO DO SUL</w:t>
      </w:r>
      <w:r>
        <w:rPr>
          <w:rFonts w:eastAsia="Arial" w:cs="Arial"/>
          <w:sz w:val="22"/>
          <w:szCs w:val="22"/>
        </w:rPr>
        <w:t xml:space="preserve">, Empresa Pública Federal, instituída pelo Decreto-Lei nº 509/69, com sede na Avenida Calógeras nº 2.309, centro, Campo Grande/MS, telefone (67) 2109-1004, nos autos da </w:t>
      </w:r>
      <w:r>
        <w:rPr>
          <w:rFonts w:eastAsia="Arial" w:cs="Arial"/>
          <w:b/>
          <w:bCs/>
          <w:sz w:val="22"/>
          <w:szCs w:val="22"/>
        </w:rPr>
        <w:t xml:space="preserve">RECLAMAÇÃO TRABALHISTA</w:t>
      </w:r>
      <w:r>
        <w:rPr>
          <w:rFonts w:eastAsia="Arial" w:cs="Arial"/>
          <w:sz w:val="22"/>
          <w:szCs w:val="22"/>
        </w:rPr>
        <w:t xml:space="preserve">, em epígrafe, que lhe move </w:t>
      </w:r>
      <w:r>
        <w:rPr>
          <w:rFonts w:eastAsia="Arial" w:cs="Arial"/>
          <w:b/>
          <w:bCs/>
          <w:sz w:val="22"/>
          <w:szCs w:val="22"/>
        </w:rPr>
        <w:t xml:space="preserve">[NOME DO RECORRIDO]</w:t>
      </w:r>
      <w:r>
        <w:rPr>
          <w:rFonts w:eastAsia="Arial" w:cs="Arial"/>
          <w:sz w:val="22"/>
          <w:szCs w:val="22"/>
        </w:rPr>
        <w:t xml:space="preserve">, por meio do procurador que esta subscreve, vem, respeitosamente, à presença de Vossa Excelência, com fundamento no </w:t>
      </w:r>
      <w:r>
        <w:rPr>
          <w:rFonts w:eastAsia="Arial" w:cs="Arial"/>
          <w:b/>
          <w:bCs/>
          <w:sz w:val="22"/>
          <w:szCs w:val="22"/>
        </w:rPr>
        <w:t xml:space="preserve">art. 896, alínea “c”, e § 9º, da CLT</w:t>
      </w:r>
      <w:r>
        <w:rPr>
          <w:rFonts w:eastAsia="Arial" w:cs="Arial"/>
          <w:sz w:val="22"/>
          <w:szCs w:val="22"/>
        </w:rPr>
        <w:t xml:space="preserve">, interpor</w:t>
      </w:r>
    </w:p>
    <w:p>
      <w:pPr>
        <w:pStyle w:val="Normal"/>
        <w:spacing w:lineRule="exact" w:line="360" w:before="0" w:after="160"/>
        <w:jc w:val="center"/>
        <w:rPr/>
      </w:pPr>
      <w:r>
        <w:rPr>
          <w:rFonts w:eastAsia="Arial" w:cs="Arial"/>
          <w:b/>
          <w:bCs/>
          <w:sz w:val="22"/>
          <w:szCs w:val="22"/>
        </w:rPr>
        <w:t xml:space="preserve">RECURSO DE REVISTA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contra o v. acórdão de Id. [ID DO ACÓRDÃO], integrado pelo v. acórdão proferido nos embargos de declaração (Id. [ID DA DECISÃO DOS ED]), requerendo a juntada das razões recursais anexas e, após o juízo de admissibilidade, a remessa dos autos ao Colendo Tribunal Superior do Trabalho.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Requer, desde já, o reconhecimento das prerrogativas processuais decorrentes de sua equiparação à Fazenda Pública — </w:t>
      </w:r>
      <w:r>
        <w:rPr>
          <w:rFonts w:eastAsia="Arial" w:cs="Arial"/>
          <w:b/>
          <w:bCs/>
          <w:sz w:val="22"/>
          <w:szCs w:val="22"/>
        </w:rPr>
        <w:t xml:space="preserve">prazo em dobro para recorrer e dispensa de depósito recursal e de custas</w:t>
      </w:r>
      <w:r>
        <w:rPr>
          <w:rFonts w:eastAsia="Arial" w:cs="Arial"/>
          <w:sz w:val="22"/>
          <w:szCs w:val="22"/>
        </w:rPr>
        <w:t xml:space="preserve"> —, nos termos do art. 1º, incisos III, IV e VI, do Decreto-Lei nº 779/69, do art. 12 do Decreto-Lei nº 509/69 e do art. 790-A da CLT.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Nesses Termos,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Pede Deferimento.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Campo Grande/MS, data de assinatura eletrônica.</w:t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60"/>
        <w:jc w:val="center"/>
        <w:rPr/>
      </w:pPr>
      <w:r>
        <w:rPr>
          <w:rFonts w:eastAsia="Arial" w:cs="Arial"/>
          <w:b/>
          <w:bCs/>
          <w:sz w:val="22"/>
          <w:szCs w:val="22"/>
        </w:rPr>
        <w:t xml:space="preserve">Marcos Hideki Kamibayashi</w:t>
      </w:r>
    </w:p>
    <w:p>
      <w:pPr>
        <w:pStyle w:val="Normal"/>
        <w:spacing w:before="0" w:after="60"/>
        <w:jc w:val="center"/>
        <w:rPr/>
      </w:pPr>
      <w:r>
        <w:rPr>
          <w:rFonts w:eastAsia="Arial" w:cs="Arial"/>
          <w:b/>
          <w:bCs/>
          <w:sz w:val="22"/>
          <w:szCs w:val="22"/>
        </w:rPr>
        <w:t xml:space="preserve">OAB/MS 14.580</w:t>
      </w:r>
    </w:p>
    <w:p>
      <w:pPr>
        <w:pStyle w:val="Normal"/>
        <w:spacing w:before="0" w:after="0"/>
        <w:rPr/>
      </w:pPr>
      <w:r>
        <w:rPr/>
        <w:br w:type="page"/>
      </w:r>
    </w:p>
    <w:p>
      <w:pPr>
        <w:pStyle w:val="Normal"/>
        <w:spacing w:lineRule="exact" w:line="360" w:before="0" w:after="120"/>
        <w:ind w:hanging="0"/>
        <w:jc w:val="both"/>
        <w:rPr/>
      </w:pPr>
      <w:r>
        <w:rPr>
          <w:rFonts w:eastAsia="Arial" w:cs="Arial"/>
          <w:b/>
          <w:bCs/>
          <w:sz w:val="22"/>
          <w:szCs w:val="22"/>
        </w:rPr>
        <w:t xml:space="preserve">Egrégio Tribunal Superior do Trabalho</w:t>
      </w:r>
    </w:p>
    <w:p>
      <w:pPr>
        <w:pStyle w:val="Normal"/>
        <w:spacing w:lineRule="exact" w:line="360" w:before="0" w:after="120"/>
        <w:ind w:hanging="0"/>
        <w:jc w:val="both"/>
        <w:rPr/>
      </w:pPr>
      <w:r>
        <w:rPr>
          <w:rFonts w:eastAsia="Arial" w:cs="Arial"/>
          <w:b/>
          <w:bCs/>
          <w:sz w:val="22"/>
          <w:szCs w:val="22"/>
        </w:rPr>
        <w:t xml:space="preserve">Recorrente: </w:t>
      </w:r>
      <w:r>
        <w:rPr>
          <w:rFonts w:eastAsia="Arial" w:cs="Arial"/>
          <w:sz w:val="22"/>
          <w:szCs w:val="22"/>
        </w:rPr>
        <w:t xml:space="preserve">Empresa Brasileira de Correios e Telégrafos.</w:t>
      </w:r>
    </w:p>
    <w:p>
      <w:pPr>
        <w:pStyle w:val="Normal"/>
        <w:spacing w:lineRule="exact" w:line="360" w:before="0" w:after="120"/>
        <w:ind w:hanging="0"/>
        <w:jc w:val="both"/>
        <w:rPr/>
      </w:pPr>
      <w:r>
        <w:rPr>
          <w:rFonts w:eastAsia="Arial" w:cs="Arial"/>
          <w:b/>
          <w:bCs/>
          <w:sz w:val="22"/>
          <w:szCs w:val="22"/>
        </w:rPr>
        <w:t xml:space="preserve">Recorrido(a): </w:t>
      </w:r>
      <w:r>
        <w:rPr>
          <w:rFonts w:eastAsia="Arial" w:cs="Arial"/>
          <w:sz w:val="22"/>
          <w:szCs w:val="22"/>
        </w:rPr>
        <w:t xml:space="preserve">[NOME DO RECORRIDO].</w:t>
      </w:r>
    </w:p>
    <w:p>
      <w:pPr>
        <w:pStyle w:val="Normal"/>
        <w:spacing w:lineRule="exact" w:line="360" w:before="0" w:after="120"/>
        <w:ind w:hanging="0"/>
        <w:jc w:val="both"/>
        <w:rPr/>
      </w:pPr>
      <w:r>
        <w:rPr>
          <w:rFonts w:eastAsia="Arial" w:cs="Arial"/>
          <w:b/>
          <w:bCs/>
          <w:sz w:val="22"/>
          <w:szCs w:val="22"/>
        </w:rPr>
        <w:t xml:space="preserve">Autos nº </w:t>
      </w:r>
      <w:r>
        <w:rPr>
          <w:rFonts w:eastAsia="Arial" w:cs="Arial"/>
          <w:sz w:val="22"/>
          <w:szCs w:val="22"/>
        </w:rPr>
        <w:t xml:space="preserve">[Nº DO PROCESSO].</w:t>
      </w:r>
    </w:p>
    <w:p>
      <w:pPr>
        <w:pStyle w:val="Normal"/>
        <w:spacing w:lineRule="exact" w:line="360" w:before="0" w:after="120"/>
        <w:ind w:hanging="0"/>
        <w:jc w:val="both"/>
        <w:rPr/>
      </w:pPr>
      <w:r>
        <w:rPr>
          <w:rFonts w:eastAsia="Arial" w:cs="Arial"/>
          <w:b/>
          <w:bCs/>
          <w:sz w:val="22"/>
          <w:szCs w:val="22"/>
        </w:rPr>
        <w:t xml:space="preserve">Origem: </w:t>
      </w:r>
      <w:r>
        <w:rPr>
          <w:rFonts w:eastAsia="Arial" w:cs="Arial"/>
          <w:sz w:val="22"/>
          <w:szCs w:val="22"/>
        </w:rPr>
        <w:t xml:space="preserve">[Nº]ª Turma do Tribunal Regional do Trabalho da 24ª Região.</w:t>
      </w:r>
    </w:p>
    <w:p>
      <w:pPr>
        <w:pStyle w:val="Normal"/>
        <w:spacing w:lineRule="exact" w:line="360" w:before="0" w:after="120"/>
        <w:ind w:hanging="0"/>
        <w:jc w:val="both"/>
        <w:rPr/>
      </w:pPr>
      <w:r>
        <w:rPr>
          <w:rFonts w:eastAsia="Arial" w:cs="Arial"/>
          <w:b/>
          <w:bCs/>
          <w:sz w:val="22"/>
          <w:szCs w:val="22"/>
        </w:rPr>
        <w:t xml:space="preserve">Rito: </w:t>
      </w:r>
      <w:r>
        <w:rPr>
          <w:rFonts w:eastAsia="Arial" w:cs="Arial"/>
          <w:sz w:val="22"/>
          <w:szCs w:val="22"/>
        </w:rPr>
        <w:t xml:space="preserve">Sumaríssimo.</w:t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lineRule="exact" w:line="360" w:before="0" w:after="160"/>
        <w:jc w:val="center"/>
        <w:rPr/>
      </w:pPr>
      <w:r>
        <w:rPr>
          <w:rFonts w:eastAsia="Arial" w:cs="Arial"/>
          <w:b/>
          <w:bCs/>
          <w:sz w:val="22"/>
          <w:szCs w:val="22"/>
        </w:rPr>
        <w:t xml:space="preserve">RAZÕES DO RECURSO DE REVISTA</w:t>
      </w:r>
    </w:p>
    <w:p>
      <w:pPr>
        <w:pStyle w:val="Normal"/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  <w:spacing w:lineRule="exact" w:line="240" w:before="320" w:after="260"/>
        <w:ind w:left="0" w:right="0" w:hanging="0"/>
        <w:jc w:val="center"/>
        <w:rPr/>
      </w:pPr>
      <w:r>
        <w:rPr>
          <w:rFonts w:eastAsia="Arial" w:cs="Arial"/>
          <w:b/>
          <w:bCs/>
          <w:sz w:val="22"/>
          <w:szCs w:val="22"/>
        </w:rPr>
        <w:t xml:space="preserve">DA EQUIPARAÇÃO À FAZENDA PÚBLICA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De início, a Recorrente requer sejam-lhe aplicadas as prerrogativas processuais inerentes à Fazenda Pública, à qual foi equiparada pelo art. 12 do Decreto-Lei nº 509/69, dispositivo recepcionado pela Constituição de 1988 conforme decidiu o Excelso Supremo Tribunal Federal no </w:t>
      </w:r>
      <w:r>
        <w:rPr>
          <w:rFonts w:eastAsia="Arial" w:cs="Arial"/>
          <w:b/>
          <w:bCs/>
          <w:sz w:val="22"/>
          <w:szCs w:val="22"/>
        </w:rPr>
        <w:t xml:space="preserve">RE 220.906/DF</w:t>
      </w:r>
      <w:r>
        <w:rPr>
          <w:rFonts w:eastAsia="Arial" w:cs="Arial"/>
          <w:sz w:val="22"/>
          <w:szCs w:val="22"/>
        </w:rPr>
        <w:t xml:space="preserve">. Daí decorrem, no que interessa a este recurso, o </w:t>
      </w:r>
      <w:r>
        <w:rPr>
          <w:rFonts w:eastAsia="Arial" w:cs="Arial"/>
          <w:b/>
          <w:bCs/>
          <w:sz w:val="22"/>
          <w:szCs w:val="22"/>
        </w:rPr>
        <w:t xml:space="preserve">prazo em dobro para recorrer</w:t>
      </w:r>
      <w:r>
        <w:rPr>
          <w:rFonts w:eastAsia="Arial" w:cs="Arial"/>
          <w:sz w:val="22"/>
          <w:szCs w:val="22"/>
        </w:rPr>
        <w:t xml:space="preserve"> (art. 1º, inciso III, do Decreto-Lei nº 779/69), a </w:t>
      </w:r>
      <w:r>
        <w:rPr>
          <w:rFonts w:eastAsia="Arial" w:cs="Arial"/>
          <w:b/>
          <w:bCs/>
          <w:sz w:val="22"/>
          <w:szCs w:val="22"/>
        </w:rPr>
        <w:t xml:space="preserve">dispensa de depósito recursal</w:t>
      </w:r>
      <w:r>
        <w:rPr>
          <w:rFonts w:eastAsia="Arial" w:cs="Arial"/>
          <w:sz w:val="22"/>
          <w:szCs w:val="22"/>
        </w:rPr>
        <w:t xml:space="preserve"> (art. 1º, inciso IV, do mesmo diploma) e a </w:t>
      </w:r>
      <w:r>
        <w:rPr>
          <w:rFonts w:eastAsia="Arial" w:cs="Arial"/>
          <w:b/>
          <w:bCs/>
          <w:sz w:val="22"/>
          <w:szCs w:val="22"/>
        </w:rPr>
        <w:t xml:space="preserve">isenção de custas</w:t>
      </w:r>
      <w:r>
        <w:rPr>
          <w:rFonts w:eastAsia="Arial" w:cs="Arial"/>
          <w:sz w:val="22"/>
          <w:szCs w:val="22"/>
        </w:rPr>
        <w:t xml:space="preserve"> (art. 790-A da CLT).</w:t>
      </w:r>
    </w:p>
    <w:p>
      <w:pPr>
        <w:pStyle w:val="Normal"/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  <w:spacing w:lineRule="exact" w:line="240" w:before="320" w:after="260"/>
        <w:ind w:left="0" w:right="0" w:hanging="0"/>
        <w:jc w:val="center"/>
        <w:rPr/>
      </w:pPr>
      <w:r>
        <w:rPr>
          <w:rFonts w:eastAsia="Arial" w:cs="Arial"/>
          <w:b/>
          <w:bCs/>
          <w:sz w:val="22"/>
          <w:szCs w:val="22"/>
        </w:rPr>
        <w:t xml:space="preserve">DA ADMISSIBILIDADE DO RECURSO DE REVISTA</w:t>
      </w:r>
    </w:p>
    <w:p>
      <w:pPr>
        <w:pStyle w:val="Normal"/>
        <w:spacing w:lineRule="exact" w:line="360" w:before="200" w:after="120"/>
        <w:ind w:left="1701" w:hanging="0"/>
        <w:jc w:val="both"/>
        <w:rPr>
          <w:u w:val="single"/>
        </w:rPr>
      </w:pPr>
      <w:r>
        <w:rPr>
          <w:rFonts w:eastAsia="Arial" w:cs="Arial"/>
          <w:b/>
          <w:bCs/>
          <w:u w:val="single"/>
          <w:sz w:val="22"/>
          <w:szCs w:val="22"/>
        </w:rPr>
        <w:t xml:space="preserve">1 – DA TEMPESTIVIDADE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A Recorrente foi intimada do v. acórdão que rejeitou os embargos de declaração em [DATA DA INTIMAÇÃO], de modo que o prazo de 8 (oito) dias, contado em dobro na forma acima, encerra-se em [TERMO FINAL DO PRAZO]. O recurso é, portanto, tempestivo. A regularidade de representação está atendida pelo instrumento de mandato de Id. [ID DA PROCURAÇÃO].</w:t>
      </w:r>
    </w:p>
    <w:p>
      <w:pPr>
        <w:pStyle w:val="Normal"/>
        <w:spacing w:lineRule="exact" w:line="360" w:before="200" w:after="120"/>
        <w:ind w:left="1701" w:hanging="0"/>
        <w:jc w:val="both"/>
        <w:rPr>
          <w:u w:val="single"/>
        </w:rPr>
      </w:pPr>
      <w:r>
        <w:rPr>
          <w:rFonts w:eastAsia="Arial" w:cs="Arial"/>
          <w:b/>
          <w:bCs/>
          <w:u w:val="single"/>
          <w:sz w:val="22"/>
          <w:szCs w:val="22"/>
        </w:rPr>
        <w:t xml:space="preserve">2 – DAS VIAS DE ADMISSIBILIDADE NO RITO SUMARÍSSIMO – ART. 896, § 9º, DA CLT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b/>
          <w:bCs/>
          <w:i/>
          <w:iCs/>
          <w:sz w:val="22"/>
          <w:szCs w:val="22"/>
        </w:rPr>
        <w:t xml:space="preserve">- BLOCO OBRIGATÓRIO NO RITO SUMARÍSSIMO. Suprimir este subtópico inteiro se o processo tramitar pelo rito ordinário — ali cabem também violação de lei e divergência jurisprudencial, e a delimitação abaixo passa a ser contraproducente.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Tratando-se de causa submetida ao procedimento sumaríssimo, a Recorrente tem plena ciência de que o recurso de revista só se viabiliza por </w:t>
      </w:r>
      <w:r>
        <w:rPr>
          <w:rFonts w:eastAsia="Arial" w:cs="Arial"/>
          <w:b/>
          <w:bCs/>
          <w:sz w:val="22"/>
          <w:szCs w:val="22"/>
        </w:rPr>
        <w:t xml:space="preserve">contrariedade a súmula de jurisprudência uniforme do C. TST, contrariedade a súmula vinculante do Excelso STF ou violação direta da Constituição Federal</w:t>
      </w:r>
      <w:r>
        <w:rPr>
          <w:rFonts w:eastAsia="Arial" w:cs="Arial"/>
          <w:sz w:val="22"/>
          <w:szCs w:val="22"/>
        </w:rPr>
        <w:t xml:space="preserve">. Por essa razão, e em estrita observância ao art. 896, § 1º-A, II, da CLT, a Recorrente </w:t>
      </w:r>
      <w:r>
        <w:rPr>
          <w:rFonts w:eastAsia="Arial" w:cs="Arial"/>
          <w:b/>
          <w:bCs/>
          <w:sz w:val="22"/>
          <w:szCs w:val="22"/>
        </w:rPr>
        <w:t xml:space="preserve">não veicula neste recurso divergência jurisprudencial</w:t>
      </w:r>
      <w:r>
        <w:rPr>
          <w:rFonts w:eastAsia="Arial" w:cs="Arial"/>
          <w:sz w:val="22"/>
          <w:szCs w:val="22"/>
        </w:rPr>
        <w:t xml:space="preserve">, indicando, para cada tema, o verbete contrariado ou o dispositivo constitucional diretamente violado:</w:t>
      </w:r>
    </w:p>
    <w:p>
      <w:pPr>
        <w:pStyle w:val="Normal"/>
        <w:spacing w:lineRule="exact" w:line="240" w:before="100" w:after="160"/>
        <w:ind w:left="2268" w:hanging="0"/>
        <w:jc w:val="both"/>
        <w:rPr/>
      </w:pPr>
      <w:r>
        <w:rPr>
          <w:rFonts w:eastAsia="Arial" w:cs="Arial"/>
          <w:i w:val="false"/>
          <w:iCs w:val="false"/>
          <w:sz w:val="20"/>
          <w:szCs w:val="20"/>
        </w:rPr>
        <w:t xml:space="preserve">a) preliminar de nulidade por negativa de prestação jurisdicional: violação direta do art. 93, IX, da Constituição Federal (OJ nº 115 da SDI-1 do C. TST);</w:t>
      </w:r>
    </w:p>
    <w:p>
      <w:pPr>
        <w:pStyle w:val="Normal"/>
        <w:spacing w:lineRule="exact" w:line="240" w:before="100" w:after="160"/>
        <w:ind w:left="2268" w:hanging="0"/>
        <w:jc w:val="both"/>
        <w:rPr/>
      </w:pPr>
      <w:r>
        <w:rPr>
          <w:rFonts w:eastAsia="Arial" w:cs="Arial"/>
          <w:i w:val="false"/>
          <w:iCs w:val="false"/>
          <w:sz w:val="20"/>
          <w:szCs w:val="20"/>
        </w:rPr>
        <w:t xml:space="preserve">b) prejudicial de prescrição total: contrariedade à Súmula nº 294 do C. TST, parte final;</w:t>
      </w:r>
    </w:p>
    <w:p>
      <w:pPr>
        <w:pStyle w:val="Normal"/>
        <w:spacing w:lineRule="exact" w:line="240" w:before="100" w:after="160"/>
        <w:ind w:left="2268" w:hanging="0"/>
        <w:jc w:val="both"/>
        <w:rPr/>
      </w:pPr>
      <w:r>
        <w:rPr>
          <w:rFonts w:eastAsia="Arial" w:cs="Arial"/>
          <w:i w:val="false"/>
          <w:iCs w:val="false"/>
          <w:sz w:val="20"/>
          <w:szCs w:val="20"/>
        </w:rPr>
        <w:t xml:space="preserve">c) mérito — incorporação da gratificação de função: contrariedade à Súmula nº 51, I, do C. TST;</w:t>
      </w:r>
    </w:p>
    <w:p>
      <w:pPr>
        <w:pStyle w:val="Normal"/>
        <w:spacing w:lineRule="exact" w:line="240" w:before="100" w:after="160"/>
        <w:ind w:left="2268" w:hanging="0"/>
        <w:jc w:val="both"/>
        <w:rPr/>
      </w:pPr>
      <w:r>
        <w:rPr>
          <w:rFonts w:eastAsia="Arial" w:cs="Arial"/>
          <w:i w:val="false"/>
          <w:iCs w:val="false"/>
          <w:sz w:val="20"/>
          <w:szCs w:val="20"/>
        </w:rPr>
        <w:t xml:space="preserve">d) ad cautelam: violação direta dos arts. 37, caput e inciso X, e 169, § 1º, I, da Constituição Federal e contrariedade à Súmula Vinculante nº 37 do Excelso STF.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Os arestos transcritos ao longo destas razões prestam-se, exclusivamente, a </w:t>
      </w:r>
      <w:r>
        <w:rPr>
          <w:rFonts w:eastAsia="Arial" w:cs="Arial"/>
          <w:b/>
          <w:bCs/>
          <w:sz w:val="22"/>
          <w:szCs w:val="22"/>
        </w:rPr>
        <w:t xml:space="preserve">reforço argumentativo</w:t>
      </w:r>
      <w:r>
        <w:rPr>
          <w:rFonts w:eastAsia="Arial" w:cs="Arial"/>
          <w:sz w:val="22"/>
          <w:szCs w:val="22"/>
        </w:rPr>
        <w:t xml:space="preserve"> quanto à interpretação dos verbetes invocados, e não como fundamento autônomo de conhecimento, que a Recorrente reconhece vedado neste rito.</w:t>
      </w:r>
    </w:p>
    <w:p>
      <w:pPr>
        <w:pStyle w:val="Normal"/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  <w:spacing w:lineRule="exact" w:line="240" w:before="320" w:after="260"/>
        <w:ind w:left="0" w:right="0" w:hanging="0"/>
        <w:jc w:val="center"/>
        <w:rPr/>
      </w:pPr>
      <w:r>
        <w:rPr>
          <w:rFonts w:eastAsia="Arial" w:cs="Arial"/>
          <w:b/>
          <w:bCs/>
          <w:sz w:val="22"/>
          <w:szCs w:val="22"/>
        </w:rPr>
        <w:t xml:space="preserve">RESUMO DA DEMANDA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A r. sentença julgou procedente a pretensão do Recorrido e condenou a Recorrente a incorporar ao seu salário, a título de </w:t>
      </w:r>
      <w:r>
        <w:rPr>
          <w:rFonts w:eastAsia="Arial" w:cs="Arial"/>
          <w:b/>
          <w:bCs/>
          <w:sz w:val="22"/>
          <w:szCs w:val="22"/>
        </w:rPr>
        <w:t xml:space="preserve">[ITF / GPTF / FAT-FAO]</w:t>
      </w:r>
      <w:r>
        <w:rPr>
          <w:rFonts w:eastAsia="Arial" w:cs="Arial"/>
          <w:sz w:val="22"/>
          <w:szCs w:val="22"/>
        </w:rPr>
        <w:t xml:space="preserve">, [XX]% da média ponderada das parcelas gratificação de função convencional </w:t>
      </w:r>
      <w:r>
        <w:rPr>
          <w:rFonts w:eastAsia="Arial" w:cs="Arial"/>
          <w:b/>
          <w:bCs/>
          <w:i/>
          <w:iCs/>
          <w:sz w:val="22"/>
          <w:szCs w:val="22"/>
        </w:rPr>
        <w:t xml:space="preserve">[e CIP – Complemento de Incentivo à Produtividade, SE HOUVER pedido de CIP]</w:t>
      </w:r>
      <w:r>
        <w:rPr>
          <w:rFonts w:eastAsia="Arial" w:cs="Arial"/>
          <w:sz w:val="22"/>
          <w:szCs w:val="22"/>
        </w:rPr>
        <w:t xml:space="preserve">, com o pagamento das diferenças vencidas e vincendas e respectivos reflexos, </w:t>
      </w:r>
      <w:r>
        <w:rPr>
          <w:rFonts w:eastAsia="Arial" w:cs="Arial"/>
          <w:b/>
          <w:bCs/>
          <w:sz w:val="22"/>
          <w:szCs w:val="22"/>
        </w:rPr>
        <w:t xml:space="preserve">com fundamento exclusivo no [Módulo 36 / Módulo 55] do Manual de Pessoal da Recorrente (MANPES)</w:t>
      </w:r>
      <w:r>
        <w:rPr>
          <w:rFonts w:eastAsia="Arial" w:cs="Arial"/>
          <w:sz w:val="22"/>
          <w:szCs w:val="22"/>
        </w:rPr>
        <w:t xml:space="preserve">, tendo o d. Juízo de origem consignado expressamente que a controvérsia não compreende a Súmula 372 do C. TST nem a aplicação no tempo da Lei nº 13.467/2017.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A e. [Nº]ª Turma do TRT da 24ª Região negou provimento ao recurso ordinário da Recorrente, mantendo a sentença por seus próprios fundamentos (art. 895, § 1º, IV, da CLT), e, na sequência, rejeitou os embargos de declaração opostos para fins de prequestionamento.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O v. acórdão, todavia, </w:t>
      </w:r>
      <w:r>
        <w:rPr>
          <w:rFonts w:eastAsia="Arial" w:cs="Arial"/>
          <w:b/>
          <w:bCs/>
          <w:sz w:val="22"/>
          <w:szCs w:val="22"/>
        </w:rPr>
        <w:t xml:space="preserve">aplicou a norma interna contra o seu próprio texto</w:t>
      </w:r>
      <w:r>
        <w:rPr>
          <w:rFonts w:eastAsia="Arial" w:cs="Arial"/>
          <w:sz w:val="22"/>
          <w:szCs w:val="22"/>
        </w:rPr>
        <w:t xml:space="preserve">: o normativo condicionava a incorporação ao exercício de, no mínimo, </w:t>
      </w:r>
      <w:r>
        <w:rPr>
          <w:rFonts w:eastAsia="Arial" w:cs="Arial"/>
          <w:b/>
          <w:bCs/>
          <w:sz w:val="22"/>
          <w:szCs w:val="22"/>
        </w:rPr>
        <w:t xml:space="preserve">[10 anos, para a ITF / 5 anos, para a FAT-FAO e a GPTF]</w:t>
      </w:r>
      <w:r>
        <w:rPr>
          <w:rFonts w:eastAsia="Arial" w:cs="Arial"/>
          <w:sz w:val="22"/>
          <w:szCs w:val="22"/>
        </w:rPr>
        <w:t xml:space="preserve"> de função gerencial, técnica, de atividade especial, FAT/FAO ou de dirigente; e o próprio v. acórdão registrou que o Recorrido passou a exercer função gratificada em </w:t>
      </w:r>
      <w:r>
        <w:rPr>
          <w:rFonts w:eastAsia="Arial" w:cs="Arial"/>
          <w:b/>
          <w:bCs/>
          <w:sz w:val="22"/>
          <w:szCs w:val="22"/>
        </w:rPr>
        <w:t xml:space="preserve">[DATA DE INÍCIO DA FUNÇÃO]</w:t>
      </w:r>
      <w:r>
        <w:rPr>
          <w:rFonts w:eastAsia="Arial" w:cs="Arial"/>
          <w:sz w:val="22"/>
          <w:szCs w:val="22"/>
        </w:rPr>
        <w:t xml:space="preserve">, quando o normativo já estava revogado ou próximo de o ser — o que ocorreu em </w:t>
      </w:r>
      <w:r>
        <w:rPr>
          <w:rFonts w:eastAsia="Arial" w:cs="Arial"/>
          <w:b/>
          <w:bCs/>
          <w:sz w:val="22"/>
          <w:szCs w:val="22"/>
        </w:rPr>
        <w:t xml:space="preserve">[1º.5.2012, para o Módulo 55 / 5.5.2014, para o Módulo 36]</w:t>
      </w:r>
      <w:r>
        <w:rPr>
          <w:rFonts w:eastAsia="Arial" w:cs="Arial"/>
          <w:sz w:val="22"/>
          <w:szCs w:val="22"/>
        </w:rPr>
        <w:t xml:space="preserve">. Na data da revogação, portanto, o Recorrido contava </w:t>
      </w:r>
      <w:r>
        <w:rPr>
          <w:rFonts w:eastAsia="Arial" w:cs="Arial"/>
          <w:b/>
          <w:bCs/>
          <w:sz w:val="22"/>
          <w:szCs w:val="22"/>
        </w:rPr>
        <w:t xml:space="preserve">[TEMPO DE FUNÇÃO NA DATA DA REVOGAÇÃO]</w:t>
      </w:r>
      <w:r>
        <w:rPr>
          <w:rFonts w:eastAsia="Arial" w:cs="Arial"/>
          <w:sz w:val="22"/>
          <w:szCs w:val="22"/>
        </w:rPr>
        <w:t xml:space="preserve"> de exercício de função, contra os [10/5] anos exigidos pela norma cuja incidência o v. acórdão determinou.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Sobre essas premissas — todas extraídas do próprio v. acórdão e da r. sentença por ele mantida, sem necessidade de qualquer reexame de fatos e provas — assentam-se as razões que seguem.</w:t>
      </w:r>
    </w:p>
    <w:p>
      <w:pPr>
        <w:pStyle w:val="Normal"/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  <w:spacing w:lineRule="exact" w:line="240" w:before="320" w:after="260"/>
        <w:ind w:left="0" w:right="0" w:hanging="0"/>
        <w:jc w:val="center"/>
        <w:rPr/>
      </w:pPr>
      <w:r>
        <w:rPr>
          <w:rFonts w:eastAsia="Arial" w:cs="Arial"/>
          <w:b/>
          <w:bCs/>
          <w:sz w:val="22"/>
          <w:szCs w:val="22"/>
        </w:rPr>
        <w:t xml:space="preserve">PRELIMINARMENTE</w:t>
      </w:r>
    </w:p>
    <w:p>
      <w:pPr>
        <w:pStyle w:val="Normal"/>
        <w:spacing w:lineRule="exact" w:line="360" w:before="200" w:after="120"/>
        <w:ind w:left="1701" w:hanging="0"/>
        <w:jc w:val="both"/>
        <w:rPr>
          <w:u w:val="single"/>
        </w:rPr>
      </w:pPr>
      <w:r>
        <w:rPr>
          <w:rFonts w:eastAsia="Arial" w:cs="Arial"/>
          <w:b/>
          <w:bCs/>
          <w:u w:val="single"/>
          <w:sz w:val="22"/>
          <w:szCs w:val="22"/>
        </w:rPr>
        <w:t xml:space="preserve">1 – DA NULIDADE DO V. ACÓRDÃO POR NEGATIVA DE PRESTAÇÃO JURISDICIONAL – VIOLAÇÃO DO ART. 93, IX, DA CONSTITUIÇÃO FEDERAL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b/>
          <w:bCs/>
          <w:i/>
          <w:iCs/>
          <w:sz w:val="22"/>
          <w:szCs w:val="22"/>
        </w:rPr>
        <w:t xml:space="preserve">- SE HOUVER embargos de declaração opostos e NÃO respondidos quanto a algum capítulo. Se o e. TRT enfrentou explicitamente todas as teses embargadas, suprimir este subtópico inteiro: sem omissão real, a preliminar enfraquece o recurso.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Em observância ao art. 896, § 1º-A, incisos I e IV, da CLT, a Recorrente transcreve, para cotejo e verificação da omissão, </w:t>
      </w:r>
      <w:r>
        <w:rPr>
          <w:rFonts w:eastAsia="Arial" w:cs="Arial"/>
          <w:b/>
          <w:bCs/>
          <w:sz w:val="22"/>
          <w:szCs w:val="22"/>
        </w:rPr>
        <w:t xml:space="preserve">(a)</w:t>
      </w:r>
      <w:r>
        <w:rPr>
          <w:rFonts w:eastAsia="Arial" w:cs="Arial"/>
          <w:sz w:val="22"/>
          <w:szCs w:val="22"/>
        </w:rPr>
        <w:t xml:space="preserve"> o trecho do v. acórdão que decidiu o tema, </w:t>
      </w:r>
      <w:r>
        <w:rPr>
          <w:rFonts w:eastAsia="Arial" w:cs="Arial"/>
          <w:b/>
          <w:bCs/>
          <w:sz w:val="22"/>
          <w:szCs w:val="22"/>
        </w:rPr>
        <w:t xml:space="preserve">(b)</w:t>
      </w:r>
      <w:r>
        <w:rPr>
          <w:rFonts w:eastAsia="Arial" w:cs="Arial"/>
          <w:sz w:val="22"/>
          <w:szCs w:val="22"/>
        </w:rPr>
        <w:t xml:space="preserve"> o trecho dos embargos de declaração em que se pediu o pronunciamento do e. Tribunal Regional sobre a questão veiculada no recurso ordinário e </w:t>
      </w:r>
      <w:r>
        <w:rPr>
          <w:rFonts w:eastAsia="Arial" w:cs="Arial"/>
          <w:b/>
          <w:bCs/>
          <w:sz w:val="22"/>
          <w:szCs w:val="22"/>
        </w:rPr>
        <w:t xml:space="preserve">(c)</w:t>
      </w:r>
      <w:r>
        <w:rPr>
          <w:rFonts w:eastAsia="Arial" w:cs="Arial"/>
          <w:sz w:val="22"/>
          <w:szCs w:val="22"/>
        </w:rPr>
        <w:t xml:space="preserve"> o trecho do v. acórdão que rejeitou os embargos quanto a esse pedido.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b/>
          <w:bCs/>
          <w:sz w:val="22"/>
          <w:szCs w:val="22"/>
        </w:rPr>
        <w:t xml:space="preserve">(a) Trecho do v. acórdão (Id. [ID DO ACÓRDÃO], f. [Nº]):</w:t>
      </w:r>
    </w:p>
    <w:p>
      <w:pPr>
        <w:pStyle w:val="Normal"/>
        <w:spacing w:lineRule="exact" w:line="240" w:before="100" w:after="160"/>
        <w:ind w:left="2268" w:hanging="0"/>
        <w:jc w:val="both"/>
        <w:rPr/>
      </w:pPr>
      <w:r>
        <w:rPr>
          <w:rFonts w:eastAsia="Arial" w:cs="Arial"/>
          <w:i w:val="false"/>
          <w:iCs w:val="false"/>
          <w:sz w:val="20"/>
          <w:szCs w:val="20"/>
        </w:rPr>
        <w:t xml:space="preserve">[TRANSCREVER LITERALMENTE o parágrafo do acórdão que decidiu a incorporação — é a transcrição exigida pelo art. 896, § 1º-A, I, da CLT. Não parafrasear.]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b/>
          <w:bCs/>
          <w:sz w:val="22"/>
          <w:szCs w:val="22"/>
        </w:rPr>
        <w:t xml:space="preserve">(b) Trecho dos embargos de declaração (Id. [ID DOS ED], item [Nº]):</w:t>
      </w:r>
    </w:p>
    <w:p>
      <w:pPr>
        <w:pStyle w:val="Normal"/>
        <w:spacing w:lineRule="exact" w:line="240" w:before="100" w:after="160"/>
        <w:ind w:left="2268" w:hanging="0"/>
        <w:jc w:val="both"/>
        <w:rPr/>
      </w:pPr>
      <w:r>
        <w:rPr>
          <w:rFonts w:eastAsia="Arial" w:cs="Arial"/>
          <w:i w:val="false"/>
          <w:iCs w:val="false"/>
          <w:sz w:val="20"/>
          <w:szCs w:val="20"/>
        </w:rPr>
        <w:t xml:space="preserve">[TRANSCREVER LITERALMENTE o capítulo dos ED que pediu pronunciamento sobre o não preenchimento do requisito temporal na vigência da norma interna.]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b/>
          <w:bCs/>
          <w:sz w:val="22"/>
          <w:szCs w:val="22"/>
        </w:rPr>
        <w:t xml:space="preserve">(c) Trecho do v. acórdão que rejeitou os embargos (Id. [ID DA DECISÃO DOS ED], item [Nº]):</w:t>
      </w:r>
    </w:p>
    <w:p>
      <w:pPr>
        <w:pStyle w:val="Normal"/>
        <w:spacing w:lineRule="exact" w:line="240" w:before="100" w:after="160"/>
        <w:ind w:left="2268" w:hanging="0"/>
        <w:jc w:val="both"/>
        <w:rPr/>
      </w:pPr>
      <w:r>
        <w:rPr>
          <w:rFonts w:eastAsia="Arial" w:cs="Arial"/>
          <w:i w:val="false"/>
          <w:iCs w:val="false"/>
          <w:sz w:val="20"/>
          <w:szCs w:val="20"/>
        </w:rPr>
        <w:t xml:space="preserve">[TRANSCREVER LITERALMENTE o trecho da decisão dos ED, destacando a delimitação que revela a omissão — tipicamente, a decisão examina só um dos capítulos embargados e silencia sobre o outro.]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O cotejo dos três trechos revela a omissão. Os embargos de declaração veicularam capítulos autônomos, e o v. acórdão que os rejeitou delimitou o seu exame a </w:t>
      </w:r>
      <w:r>
        <w:rPr>
          <w:rFonts w:eastAsia="Arial" w:cs="Arial"/>
          <w:b/>
          <w:bCs/>
          <w:sz w:val="22"/>
          <w:szCs w:val="22"/>
        </w:rPr>
        <w:t xml:space="preserve">[CAPÍTULO EFETIVAMENTE EXAMINADO]</w:t>
      </w:r>
      <w:r>
        <w:rPr>
          <w:rFonts w:eastAsia="Arial" w:cs="Arial"/>
          <w:sz w:val="22"/>
          <w:szCs w:val="22"/>
        </w:rPr>
        <w:t xml:space="preserve">, nada dizendo sobre </w:t>
      </w:r>
      <w:r>
        <w:rPr>
          <w:rFonts w:eastAsia="Arial" w:cs="Arial"/>
          <w:b/>
          <w:bCs/>
          <w:sz w:val="22"/>
          <w:szCs w:val="22"/>
        </w:rPr>
        <w:t xml:space="preserve">[CAPÍTULO OMITIDO]</w:t>
      </w:r>
      <w:r>
        <w:rPr>
          <w:rFonts w:eastAsia="Arial" w:cs="Arial"/>
          <w:sz w:val="22"/>
          <w:szCs w:val="22"/>
        </w:rPr>
        <w:t xml:space="preserve">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Não se trata, portanto, de inconformismo com fundamentação desfavorável, mas de </w:t>
      </w:r>
      <w:r>
        <w:rPr>
          <w:rFonts w:eastAsia="Arial" w:cs="Arial"/>
          <w:b/>
          <w:bCs/>
          <w:sz w:val="22"/>
          <w:szCs w:val="22"/>
        </w:rPr>
        <w:t xml:space="preserve">ausência de qualquer fundamentação</w:t>
      </w:r>
      <w:r>
        <w:rPr>
          <w:rFonts w:eastAsia="Arial" w:cs="Arial"/>
          <w:sz w:val="22"/>
          <w:szCs w:val="22"/>
        </w:rPr>
        <w:t xml:space="preserve"> sobre o ponto decisivo da controvérsia. E o ponto é decisivo por uma razão aritmética: o v. acórdão condenou a Recorrente a incorporar a parcela nos moldes da norma interna, mas essa norma exigia [10/5] anos de exercício de função, e o próprio v. acórdão registrou que o Recorrido só assumiu função gratificada em [DATA DE INÍCIO DA FUNÇÃO]. Enfrentar essa objeção não era faculdade do julgador: dela dependia, integralmente, a subsistência da condenação.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b/>
          <w:bCs/>
          <w:i/>
          <w:iCs/>
          <w:sz w:val="22"/>
          <w:szCs w:val="22"/>
        </w:rPr>
        <w:t xml:space="preserve">- SE HOUVER, no acórdão, fundamento apoiado na data de EDIÇÃO do manual (e não na data da revogação). Este é o argumento lógico mais forte contra a aplicação da Súmula 51, I, e reaparece com frequência.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Acresce que a Súmula 51, I, do C. TST opera com a data da </w:t>
      </w:r>
      <w:r>
        <w:rPr>
          <w:rFonts w:eastAsia="Arial" w:cs="Arial"/>
          <w:b/>
          <w:bCs/>
          <w:sz w:val="22"/>
          <w:szCs w:val="22"/>
        </w:rPr>
        <w:t xml:space="preserve">revogação ou alteração</w:t>
      </w:r>
      <w:r>
        <w:rPr>
          <w:rFonts w:eastAsia="Arial" w:cs="Arial"/>
          <w:sz w:val="22"/>
          <w:szCs w:val="22"/>
        </w:rPr>
        <w:t xml:space="preserve"> do regulamento (“só atingirão os trabalhadores admitidos </w:t>
      </w:r>
      <w:r>
        <w:rPr>
          <w:rFonts w:eastAsia="Arial" w:cs="Arial"/>
          <w:i/>
          <w:iCs/>
          <w:sz w:val="22"/>
          <w:szCs w:val="22"/>
        </w:rPr>
        <w:t xml:space="preserve">após a revogação ou alteração</w:t>
      </w:r>
      <w:r>
        <w:rPr>
          <w:rFonts w:eastAsia="Arial" w:cs="Arial"/>
          <w:sz w:val="22"/>
          <w:szCs w:val="22"/>
        </w:rPr>
        <w:t xml:space="preserve"> do regulamento”), e não com a data de sua </w:t>
      </w:r>
      <w:r>
        <w:rPr>
          <w:rFonts w:eastAsia="Arial" w:cs="Arial"/>
          <w:b/>
          <w:bCs/>
          <w:sz w:val="22"/>
          <w:szCs w:val="22"/>
        </w:rPr>
        <w:t xml:space="preserve">edição</w:t>
      </w:r>
      <w:r>
        <w:rPr>
          <w:rFonts w:eastAsia="Arial" w:cs="Arial"/>
          <w:sz w:val="22"/>
          <w:szCs w:val="22"/>
        </w:rPr>
        <w:t xml:space="preserve">. Ao assentar a adesão contratual no fato de a admissão do Recorrido ser anterior à edição do manual, o v. acórdão inverteu a premissa: se o normativo foi editado </w:t>
      </w:r>
      <w:r>
        <w:rPr>
          <w:rFonts w:eastAsia="Arial" w:cs="Arial"/>
          <w:b/>
          <w:bCs/>
          <w:sz w:val="22"/>
          <w:szCs w:val="22"/>
        </w:rPr>
        <w:t xml:space="preserve">depois</w:t>
      </w:r>
      <w:r>
        <w:rPr>
          <w:rFonts w:eastAsia="Arial" w:cs="Arial"/>
          <w:sz w:val="22"/>
          <w:szCs w:val="22"/>
        </w:rPr>
        <w:t xml:space="preserve"> da admissão, então ele não existia ao tempo da contratação e, por definição, não podia ter aderido ao contrato </w:t>
      </w:r>
      <w:r>
        <w:rPr>
          <w:rFonts w:eastAsia="Arial" w:cs="Arial"/>
          <w:b/>
          <w:bCs/>
          <w:sz w:val="22"/>
          <w:szCs w:val="22"/>
        </w:rPr>
        <w:t xml:space="preserve">naquele momento</w:t>
      </w:r>
      <w:r>
        <w:rPr>
          <w:rFonts w:eastAsia="Arial" w:cs="Arial"/>
          <w:sz w:val="22"/>
          <w:szCs w:val="22"/>
        </w:rPr>
        <w:t xml:space="preserve">. A conclusão extraída contraria a premissa de que parte. Registre-se, ainda, que a data de edição indicada no v. acórdão </w:t>
      </w:r>
      <w:r>
        <w:rPr>
          <w:rFonts w:eastAsia="Arial" w:cs="Arial"/>
          <w:b/>
          <w:bCs/>
          <w:sz w:val="22"/>
          <w:szCs w:val="22"/>
        </w:rPr>
        <w:t xml:space="preserve">[CONFERIR: se não constar de nenhum documento dos autos, apontar que o acórdão não indica a fonte documental da premissa]</w:t>
      </w:r>
      <w:r>
        <w:rPr>
          <w:rFonts w:eastAsia="Arial" w:cs="Arial"/>
          <w:sz w:val="22"/>
          <w:szCs w:val="22"/>
        </w:rPr>
        <w:t xml:space="preserve">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b/>
          <w:bCs/>
          <w:i/>
          <w:iCs/>
          <w:sz w:val="22"/>
          <w:szCs w:val="22"/>
        </w:rPr>
        <w:t xml:space="preserve">- SE HOUVER divergência entre o fundamento da sentença e o fundamento acrescentado pelo acórdão que declara mantê-la “por seus próprios fundamentos”.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Por fim, o v. acórdão declarou manter a r. sentença “por seus próprios fundamentos”, nos termos do art. 895, § 1º, IV, da CLT, e, no mesmo ato, adotou fundamento </w:t>
      </w:r>
      <w:r>
        <w:rPr>
          <w:rFonts w:eastAsia="Arial" w:cs="Arial"/>
          <w:b/>
          <w:bCs/>
          <w:sz w:val="22"/>
          <w:szCs w:val="22"/>
        </w:rPr>
        <w:t xml:space="preserve">incompatível</w:t>
      </w:r>
      <w:r>
        <w:rPr>
          <w:rFonts w:eastAsia="Arial" w:cs="Arial"/>
          <w:sz w:val="22"/>
          <w:szCs w:val="22"/>
        </w:rPr>
        <w:t xml:space="preserve"> com o dela — [INDICAR a divergência entre os dois fundamentos]. Não se sabe, ao cabo, qual é a </w:t>
      </w:r>
      <w:r>
        <w:rPr>
          <w:rFonts w:eastAsia="Arial" w:cs="Arial"/>
          <w:i/>
          <w:iCs/>
          <w:sz w:val="22"/>
          <w:szCs w:val="22"/>
        </w:rPr>
        <w:t xml:space="preserve">ratio</w:t>
      </w:r>
      <w:r>
        <w:rPr>
          <w:rFonts w:eastAsia="Arial" w:cs="Arial"/>
          <w:sz w:val="22"/>
          <w:szCs w:val="22"/>
        </w:rPr>
        <w:t xml:space="preserve"> que sustenta a condenação, o que, por si, caracteriza deficiência de fundamentação.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Está configurada, pois, a negativa de prestação jurisdicional, com </w:t>
      </w:r>
      <w:r>
        <w:rPr>
          <w:rFonts w:eastAsia="Arial" w:cs="Arial"/>
          <w:b/>
          <w:bCs/>
          <w:sz w:val="22"/>
          <w:szCs w:val="22"/>
        </w:rPr>
        <w:t xml:space="preserve">violação direta e literal do art. 93, IX, da Constituição Federal</w:t>
      </w:r>
      <w:r>
        <w:rPr>
          <w:rFonts w:eastAsia="Arial" w:cs="Arial"/>
          <w:sz w:val="22"/>
          <w:szCs w:val="22"/>
        </w:rPr>
        <w:t xml:space="preserve">, único vetor de admissibilidade cabível no rito sumaríssimo para essa preliminar, na forma da Orientação Jurisprudencial nº 115 da SDI-1 do C. TST.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Requer, por isso, o conhecimento e o provimento do recurso para que se declare a nulidade do v. acórdão, com o retorno dos autos ao e. Tribunal Regional a fim de que complete a prestação jurisdicional.</w:t>
      </w:r>
    </w:p>
    <w:p>
      <w:pPr>
        <w:pStyle w:val="Normal"/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  <w:spacing w:lineRule="exact" w:line="240" w:before="320" w:after="260"/>
        <w:ind w:left="0" w:right="0" w:hanging="0"/>
        <w:jc w:val="center"/>
        <w:rPr/>
      </w:pPr>
      <w:r>
        <w:rPr>
          <w:rFonts w:eastAsia="Arial" w:cs="Arial"/>
          <w:b/>
          <w:bCs/>
          <w:sz w:val="22"/>
          <w:szCs w:val="22"/>
        </w:rPr>
        <w:t xml:space="preserve">PREJUDICIAL DE MÉRITO – PRESCRIÇÃO TOTAL</w:t>
      </w:r>
    </w:p>
    <w:p>
      <w:pPr>
        <w:pStyle w:val="Normal"/>
        <w:spacing w:lineRule="exact" w:line="360" w:before="200" w:after="120"/>
        <w:ind w:left="1701" w:hanging="0"/>
        <w:jc w:val="both"/>
        <w:rPr>
          <w:u w:val="single"/>
        </w:rPr>
      </w:pPr>
      <w:r>
        <w:rPr>
          <w:rFonts w:eastAsia="Arial" w:cs="Arial"/>
          <w:b/>
          <w:bCs/>
          <w:u w:val="single"/>
          <w:sz w:val="22"/>
          <w:szCs w:val="22"/>
        </w:rPr>
        <w:t xml:space="preserve">1 – DA CONTRARIEDADE À SÚMULA Nº 294 DO C. TST, PARTE FINAL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b/>
          <w:bCs/>
          <w:i/>
          <w:iCs/>
          <w:sz w:val="22"/>
          <w:szCs w:val="22"/>
        </w:rPr>
        <w:t xml:space="preserve">- SE HOUVER pedido fundado em norma interna revogada há mais de cinco anos do ajuizamento (FAT/FAO – Módulo 55, ou ITF/GPTF – Módulo 36).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b/>
          <w:bCs/>
          <w:sz w:val="22"/>
          <w:szCs w:val="22"/>
        </w:rPr>
        <w:t xml:space="preserve">Trecho do v. acórdão que consubstancia o prequestionamento (art. 896, § 1º-A, I, da CLT — Id. [ID DO ACÓRDÃO], f. [Nº]):</w:t>
      </w:r>
    </w:p>
    <w:p>
      <w:pPr>
        <w:pStyle w:val="Normal"/>
        <w:spacing w:lineRule="exact" w:line="240" w:before="100" w:after="160"/>
        <w:ind w:left="2268" w:hanging="0"/>
        <w:jc w:val="both"/>
        <w:rPr/>
      </w:pPr>
      <w:r>
        <w:rPr>
          <w:rFonts w:eastAsia="Arial" w:cs="Arial"/>
          <w:i w:val="false"/>
          <w:iCs w:val="false"/>
          <w:sz w:val="20"/>
          <w:szCs w:val="20"/>
        </w:rPr>
        <w:t xml:space="preserve">[TRANSCREVER LITERALMENTE o capítulo do acórdão sobre prescrição, com destaque para a tese de prescrição parcial — em geral, a fórmula de que a lesão “se renova mês a mês”.]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b/>
          <w:bCs/>
          <w:sz w:val="22"/>
          <w:szCs w:val="22"/>
        </w:rPr>
        <w:t xml:space="preserve">Verbete contrariado (art. 896, § 1º-A, II, da CLT):</w:t>
      </w:r>
    </w:p>
    <w:p>
      <w:pPr>
        <w:pStyle w:val="Normal"/>
        <w:spacing w:lineRule="exact" w:line="240" w:before="100" w:after="160"/>
        <w:ind w:left="2268" w:hanging="0"/>
        <w:jc w:val="both"/>
        <w:rPr/>
      </w:pPr>
      <w:r>
        <w:rPr>
          <w:rFonts w:eastAsia="Arial" w:cs="Arial"/>
          <w:i w:val="false"/>
          <w:iCs w:val="false"/>
          <w:sz w:val="20"/>
          <w:szCs w:val="20"/>
        </w:rPr>
        <w:t xml:space="preserve">“Súmula nº 294 do TST. PRESCRIÇÃO. ALTERAÇÃO CONTRATUAL. TRABALHADOR URBANO. Tratando-se de ação que envolva pedido de prestações sucessivas decorrente de alteração do pactuado, a prescrição é total, </w:t>
      </w:r>
      <w:r>
        <w:rPr>
          <w:rFonts w:eastAsia="Arial" w:cs="Arial"/>
          <w:b/>
          <w:bCs/>
          <w:i w:val="false"/>
          <w:iCs w:val="false"/>
          <w:sz w:val="20"/>
          <w:szCs w:val="20"/>
        </w:rPr>
        <w:t xml:space="preserve">exceto quando o direito à parcela esteja também assegurado por preceito de lei</w:t>
      </w:r>
      <w:r>
        <w:rPr>
          <w:rFonts w:eastAsia="Arial" w:cs="Arial"/>
          <w:i w:val="false"/>
          <w:iCs w:val="false"/>
          <w:sz w:val="20"/>
          <w:szCs w:val="20"/>
        </w:rPr>
        <w:t xml:space="preserve">.”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O v. acórdão aplicou a </w:t>
      </w:r>
      <w:r>
        <w:rPr>
          <w:rFonts w:eastAsia="Arial" w:cs="Arial"/>
          <w:b/>
          <w:bCs/>
          <w:sz w:val="22"/>
          <w:szCs w:val="22"/>
        </w:rPr>
        <w:t xml:space="preserve">exceção</w:t>
      </w:r>
      <w:r>
        <w:rPr>
          <w:rFonts w:eastAsia="Arial" w:cs="Arial"/>
          <w:sz w:val="22"/>
          <w:szCs w:val="22"/>
        </w:rPr>
        <w:t xml:space="preserve"> do verbete sem que o seu pressuposto estivesse presente, e o fez por fundamento que a Súmula 294 rejeita expressamente: a alegada renovação “mês a mês” da lesão.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A demonstração analítica se faz com as próprias palavras do v. acórdão. Ao afastar a análise da Súmula 372, I, do C. TST e da aplicação no tempo da Lei nº 13.467/2017, o e. Tribunal Regional endossou a premissa de que a questão debatida é a incorporação de </w:t>
      </w:r>
      <w:r>
        <w:rPr>
          <w:rFonts w:eastAsia="Arial" w:cs="Arial"/>
          <w:b/>
          <w:bCs/>
          <w:sz w:val="22"/>
          <w:szCs w:val="22"/>
        </w:rPr>
        <w:t xml:space="preserve">normas internas</w:t>
      </w:r>
      <w:r>
        <w:rPr>
          <w:rFonts w:eastAsia="Arial" w:cs="Arial"/>
          <w:sz w:val="22"/>
          <w:szCs w:val="22"/>
        </w:rPr>
        <w:t xml:space="preserve"> ao contrato de trabalho, e concluiu que o Recorrido tem direito à incorporação </w:t>
      </w:r>
      <w:r>
        <w:rPr>
          <w:rFonts w:eastAsia="Arial" w:cs="Arial"/>
          <w:b/>
          <w:bCs/>
          <w:sz w:val="22"/>
          <w:szCs w:val="22"/>
        </w:rPr>
        <w:t xml:space="preserve">nos moldes da norma interna</w:t>
      </w:r>
      <w:r>
        <w:rPr>
          <w:rFonts w:eastAsia="Arial" w:cs="Arial"/>
          <w:sz w:val="22"/>
          <w:szCs w:val="22"/>
        </w:rPr>
        <w:t xml:space="preserve">. O direito reconhecido, portanto, tem fonte </w:t>
      </w:r>
      <w:r>
        <w:rPr>
          <w:rFonts w:eastAsia="Arial" w:cs="Arial"/>
          <w:b/>
          <w:bCs/>
          <w:sz w:val="22"/>
          <w:szCs w:val="22"/>
        </w:rPr>
        <w:t xml:space="preserve">única e exclusivamente regulamentar</w:t>
      </w:r>
      <w:r>
        <w:rPr>
          <w:rFonts w:eastAsia="Arial" w:cs="Arial"/>
          <w:sz w:val="22"/>
          <w:szCs w:val="22"/>
        </w:rPr>
        <w:t xml:space="preserve"> — e não em preceito de lei.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Ora, se o direito não está assegurado por preceito de lei, </w:t>
      </w:r>
      <w:r>
        <w:rPr>
          <w:rFonts w:eastAsia="Arial" w:cs="Arial"/>
          <w:b/>
          <w:bCs/>
          <w:sz w:val="22"/>
          <w:szCs w:val="22"/>
        </w:rPr>
        <w:t xml:space="preserve">não incide a parte final da Súmula 294</w:t>
      </w:r>
      <w:r>
        <w:rPr>
          <w:rFonts w:eastAsia="Arial" w:cs="Arial"/>
          <w:sz w:val="22"/>
          <w:szCs w:val="22"/>
        </w:rPr>
        <w:t xml:space="preserve">, e a prescrição só pode ser </w:t>
      </w:r>
      <w:r>
        <w:rPr>
          <w:rFonts w:eastAsia="Arial" w:cs="Arial"/>
          <w:b/>
          <w:bCs/>
          <w:sz w:val="22"/>
          <w:szCs w:val="22"/>
        </w:rPr>
        <w:t xml:space="preserve">total</w:t>
      </w:r>
      <w:r>
        <w:rPr>
          <w:rFonts w:eastAsia="Arial" w:cs="Arial"/>
          <w:sz w:val="22"/>
          <w:szCs w:val="22"/>
        </w:rPr>
        <w:t xml:space="preserve">. O v. acórdão, no entanto, extraiu de uma premissa (fonte exclusivamente regulamentar) a consequência que o verbete reserva à premissa oposta (direito também assegurado em lei). É contradição de raciocínio, e não mera divergência de interpretação: o mesmo julgado que exclui a lei do horizonte da controvérsia, para dispensar o exame da Lei nº 13.467/2017, reintroduz a lesão continuada típica dos direitos legais para afastar a prescrição total.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A alteração do pactuado, no caso, é </w:t>
      </w:r>
      <w:r>
        <w:rPr>
          <w:rFonts w:eastAsia="Arial" w:cs="Arial"/>
          <w:b/>
          <w:bCs/>
          <w:sz w:val="22"/>
          <w:szCs w:val="22"/>
        </w:rPr>
        <w:t xml:space="preserve">ato único e datado</w:t>
      </w:r>
      <w:r>
        <w:rPr>
          <w:rFonts w:eastAsia="Arial" w:cs="Arial"/>
          <w:sz w:val="22"/>
          <w:szCs w:val="22"/>
        </w:rPr>
        <w:t xml:space="preserve">: a revogação do Módulo 55 do MANPES, a partir de 1º.5.2012 (Mem. 03019/2012-GCRP/CEGEP-Circular), e a revogação do Módulo 36 do MANPES, a partir de 5.5.2014 (Mem. Circular 00676-VIGEP) </w:t>
      </w:r>
      <w:r>
        <w:rPr>
          <w:rFonts w:eastAsia="Arial" w:cs="Arial"/>
          <w:b/>
          <w:bCs/>
          <w:sz w:val="22"/>
          <w:szCs w:val="22"/>
        </w:rPr>
        <w:t xml:space="preserve">[CONFERIR: a data correta do Módulo 36 é 05/05/2014; peças antigas da ECT indicam 15/05/2014, que é erro — uniformizar em toda a peça]</w:t>
      </w:r>
      <w:r>
        <w:rPr>
          <w:rFonts w:eastAsia="Arial" w:cs="Arial"/>
          <w:sz w:val="22"/>
          <w:szCs w:val="22"/>
        </w:rPr>
        <w:t xml:space="preserve">. Desses atos únicos flui o prazo prescricional de cinco anos (art. 7º, XXIX, da CF), e a ação só foi ajuizada em [DATA DO AJUIZAMENTO].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Nem se diga que a lesão seria a destituição da função. A destituição de função gratificada é </w:t>
      </w:r>
      <w:r>
        <w:rPr>
          <w:rFonts w:eastAsia="Arial" w:cs="Arial"/>
          <w:b/>
          <w:bCs/>
          <w:sz w:val="22"/>
          <w:szCs w:val="22"/>
        </w:rPr>
        <w:t xml:space="preserve">alteração lícita</w:t>
      </w:r>
      <w:r>
        <w:rPr>
          <w:rFonts w:eastAsia="Arial" w:cs="Arial"/>
          <w:sz w:val="22"/>
          <w:szCs w:val="22"/>
        </w:rPr>
        <w:t xml:space="preserve"> do contrato (art. 468, § 1º, da CLT) e não constitui, por si, violação de direito algum; o que o Recorrido persegue é a aplicação de </w:t>
      </w:r>
      <w:r>
        <w:rPr>
          <w:rFonts w:eastAsia="Arial" w:cs="Arial"/>
          <w:b/>
          <w:bCs/>
          <w:sz w:val="22"/>
          <w:szCs w:val="22"/>
        </w:rPr>
        <w:t xml:space="preserve">normas internas já revogadas</w:t>
      </w:r>
      <w:r>
        <w:rPr>
          <w:rFonts w:eastAsia="Arial" w:cs="Arial"/>
          <w:sz w:val="22"/>
          <w:szCs w:val="22"/>
        </w:rPr>
        <w:t xml:space="preserve">, e é a revogação dessas normas — não a destituição — o ato que teria suprimido a vantagem postulada. Foi esse o entendimento firmado pelo TRT da 24ª Região, em caso envolvendo os mesmos normativos da Recorrente, ao consignar que “a designação para a função que pretende ver incorporada ocorreu </w:t>
      </w:r>
      <w:r>
        <w:rPr>
          <w:rFonts w:eastAsia="Arial" w:cs="Arial"/>
          <w:b/>
          <w:bCs/>
          <w:sz w:val="22"/>
          <w:szCs w:val="22"/>
        </w:rPr>
        <w:t xml:space="preserve">após a revogação das normas internas que tratavam da incorporação</w:t>
      </w:r>
      <w:r>
        <w:rPr>
          <w:rFonts w:eastAsia="Arial" w:cs="Arial"/>
          <w:sz w:val="22"/>
          <w:szCs w:val="22"/>
        </w:rPr>
        <w:t xml:space="preserve">” e que, “nos termos da Súmula 294 do TST (...) não se aplica, no caso, a segunda parte, pois a parcela decorre apenas de norma interna da empresa, unilateralmente suprimida” (TRT da 24ª Região, RO 0024632-20.2019.5.24.0006, 1ª Turma, Rel. Des. Nery Sá e Silva de Azambuja, julgado em 30/06/2020).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Ainda como reforço interpretativo, e não como vetor autônomo de conhecimento, registre-se que a solução da Súmula 294 é hoje também a solução da lei: o art. 11, § 2º, da CLT dispõe que, “tratando-se de pretensão que envolva pedido de prestações sucessivas decorrente de alteração ou descumprimento do pactuado, a prescrição é total, exceto quando o direito à parcela esteja também assegurado por preceito de lei”.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Requer, pois, o conhecimento e o provimento do recurso para que se pronuncie a </w:t>
      </w:r>
      <w:r>
        <w:rPr>
          <w:rFonts w:eastAsia="Arial" w:cs="Arial"/>
          <w:b/>
          <w:bCs/>
          <w:sz w:val="22"/>
          <w:szCs w:val="22"/>
        </w:rPr>
        <w:t xml:space="preserve">prescrição total</w:t>
      </w:r>
      <w:r>
        <w:rPr>
          <w:rFonts w:eastAsia="Arial" w:cs="Arial"/>
          <w:sz w:val="22"/>
          <w:szCs w:val="22"/>
        </w:rPr>
        <w:t xml:space="preserve"> da pretensão de aplicação dos Módulos 55 e 36 do MANPES, com a extinção do processo com resolução do mérito (art. 487, II, do CPC).</w:t>
      </w:r>
    </w:p>
    <w:p>
      <w:pPr>
        <w:pStyle w:val="Normal"/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  <w:spacing w:lineRule="exact" w:line="240" w:before="320" w:after="260"/>
        <w:ind w:left="0" w:right="0" w:hanging="0"/>
        <w:jc w:val="center"/>
        <w:rPr/>
      </w:pPr>
      <w:r>
        <w:rPr>
          <w:rFonts w:eastAsia="Arial" w:cs="Arial"/>
          <w:b/>
          <w:bCs/>
          <w:sz w:val="22"/>
          <w:szCs w:val="22"/>
        </w:rPr>
        <w:t xml:space="preserve">DO MÉRITO</w:t>
      </w:r>
    </w:p>
    <w:p>
      <w:pPr>
        <w:pStyle w:val="Normal"/>
        <w:spacing w:lineRule="exact" w:line="360" w:before="200" w:after="120"/>
        <w:ind w:left="1701" w:hanging="0"/>
        <w:jc w:val="both"/>
        <w:rPr>
          <w:u w:val="single"/>
        </w:rPr>
      </w:pPr>
      <w:r>
        <w:rPr>
          <w:rFonts w:eastAsia="Arial" w:cs="Arial"/>
          <w:b/>
          <w:bCs/>
          <w:u w:val="single"/>
          <w:sz w:val="22"/>
          <w:szCs w:val="22"/>
        </w:rPr>
        <w:t xml:space="preserve">1 – DA INCORPORAÇÃO DA GRATIFICAÇÃO DE FUNÇÃO – REQUISITO TEMPORAL NÃO IMPLEMENTADO NA VIGÊNCIA DA NORMA INTERNA – CONTRARIEDADE À SÚMULA Nº 51, I, DO C. TST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b/>
          <w:bCs/>
          <w:i/>
          <w:iCs/>
          <w:sz w:val="22"/>
          <w:szCs w:val="22"/>
        </w:rPr>
        <w:t xml:space="preserve">- NÚCLEO DO RECURSO. Só usar esta variante quando o requisito temporal NÃO havia sido implementado até a revogação do normativo. Se o Recorrido já o havia implementado antes da revogação, esta tese não se sustenta: nesse caso o eixo passa ao art. 468, §2º, da CLT e ao Tema 23 — nunca à Súmula 372, cujo item I foi CANCELADO pela Res. nº 225/2025 do TST (ver Variações no .md).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b/>
          <w:bCs/>
          <w:sz w:val="22"/>
          <w:szCs w:val="22"/>
        </w:rPr>
        <w:t xml:space="preserve">Trechos que consubstanciam o prequestionamento (art. 896, § 1º-A, I, da CLT). Do v. acórdão (Id. [ID DO ACÓRDÃO], f. [Nº]):</w:t>
      </w:r>
    </w:p>
    <w:p>
      <w:pPr>
        <w:pStyle w:val="Normal"/>
        <w:spacing w:lineRule="exact" w:line="240" w:before="100" w:after="160"/>
        <w:ind w:left="2268" w:hanging="0"/>
        <w:jc w:val="both"/>
        <w:rPr/>
      </w:pPr>
      <w:r>
        <w:rPr>
          <w:rFonts w:eastAsia="Arial" w:cs="Arial"/>
          <w:i w:val="false"/>
          <w:iCs w:val="false"/>
          <w:sz w:val="20"/>
          <w:szCs w:val="20"/>
        </w:rPr>
        <w:t xml:space="preserve">[TRANSCREVER LITERALMENTE o parágrafo do acórdão que aplicou a Súmula 51 / o art. 468 da CLT e deferiu a incorporação nos moldes da norma interna.]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b/>
          <w:bCs/>
          <w:sz w:val="22"/>
          <w:szCs w:val="22"/>
        </w:rPr>
        <w:t xml:space="preserve">Da r. sentença, mantida por seus próprios fundamentos (art. 895, § 1º, IV, da CLT) e, por isso, integrante do v. acórdão recorrido:</w:t>
      </w:r>
    </w:p>
    <w:p>
      <w:pPr>
        <w:pStyle w:val="Normal"/>
        <w:spacing w:lineRule="exact" w:line="240" w:before="100" w:after="160"/>
        <w:ind w:left="2268" w:hanging="0"/>
        <w:jc w:val="both"/>
        <w:rPr/>
      </w:pPr>
      <w:r>
        <w:rPr>
          <w:rFonts w:eastAsia="Arial" w:cs="Arial"/>
          <w:i w:val="false"/>
          <w:iCs w:val="false"/>
          <w:sz w:val="20"/>
          <w:szCs w:val="20"/>
        </w:rPr>
        <w:t xml:space="preserve">[TRANSCREVER LITERALMENTE o trecho da sentença que registra (i) o requisito temporal da norma interna, (ii) a data da revogação e (iii) o período de exercício da função pelo Recorrido. São as três datas de que depende toda a demonstração analítica.]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b/>
          <w:bCs/>
          <w:sz w:val="22"/>
          <w:szCs w:val="22"/>
        </w:rPr>
        <w:t xml:space="preserve">Verbete contrariado (art. 896, § 1º-A, II, da CLT):</w:t>
      </w:r>
    </w:p>
    <w:p>
      <w:pPr>
        <w:pStyle w:val="Normal"/>
        <w:spacing w:lineRule="exact" w:line="240" w:before="100" w:after="160"/>
        <w:ind w:left="2268" w:hanging="0"/>
        <w:jc w:val="both"/>
        <w:rPr/>
      </w:pPr>
      <w:r>
        <w:rPr>
          <w:rFonts w:eastAsia="Arial" w:cs="Arial"/>
          <w:i w:val="false"/>
          <w:iCs w:val="false"/>
          <w:sz w:val="20"/>
          <w:szCs w:val="20"/>
        </w:rPr>
        <w:t xml:space="preserve">“Súmula nº 51, I, do TST. As cláusulas regulamentares, que revoguem ou alterem </w:t>
      </w:r>
      <w:r>
        <w:rPr>
          <w:rFonts w:eastAsia="Arial" w:cs="Arial"/>
          <w:b/>
          <w:bCs/>
          <w:i w:val="false"/>
          <w:iCs w:val="false"/>
          <w:sz w:val="20"/>
          <w:szCs w:val="20"/>
        </w:rPr>
        <w:t xml:space="preserve">vantagens deferidas anteriormente</w:t>
      </w:r>
      <w:r>
        <w:rPr>
          <w:rFonts w:eastAsia="Arial" w:cs="Arial"/>
          <w:i w:val="false"/>
          <w:iCs w:val="false"/>
          <w:sz w:val="20"/>
          <w:szCs w:val="20"/>
        </w:rPr>
        <w:t xml:space="preserve">, só atingirão os trabalhadores admitidos após a revogação ou alteração do regulamento.”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A demonstração analítica do conflito (art. 896, § 1º-A, III, da CLT) dispensa qualquer incursão em fatos e provas, porque se faz com as </w:t>
      </w:r>
      <w:r>
        <w:rPr>
          <w:rFonts w:eastAsia="Arial" w:cs="Arial"/>
          <w:b/>
          <w:bCs/>
          <w:sz w:val="22"/>
          <w:szCs w:val="22"/>
        </w:rPr>
        <w:t xml:space="preserve">três datas que o próprio v. acórdão e a r. sentença registraram</w:t>
      </w:r>
      <w:r>
        <w:rPr>
          <w:rFonts w:eastAsia="Arial" w:cs="Arial"/>
          <w:sz w:val="22"/>
          <w:szCs w:val="22"/>
        </w:rPr>
        <w:t xml:space="preserve">: </w:t>
      </w:r>
      <w:r>
        <w:rPr>
          <w:rFonts w:eastAsia="Arial" w:cs="Arial"/>
          <w:b/>
          <w:bCs/>
          <w:sz w:val="22"/>
          <w:szCs w:val="22"/>
        </w:rPr>
        <w:t xml:space="preserve">(i)</w:t>
      </w:r>
      <w:r>
        <w:rPr>
          <w:rFonts w:eastAsia="Arial" w:cs="Arial"/>
          <w:sz w:val="22"/>
          <w:szCs w:val="22"/>
        </w:rPr>
        <w:t xml:space="preserve"> o Recorrido passou a exercer função gratificada em [DATA DE INÍCIO DA FUNÇÃO]; </w:t>
      </w:r>
      <w:r>
        <w:rPr>
          <w:rFonts w:eastAsia="Arial" w:cs="Arial"/>
          <w:b/>
          <w:bCs/>
          <w:sz w:val="22"/>
          <w:szCs w:val="22"/>
        </w:rPr>
        <w:t xml:space="preserve">(ii)</w:t>
      </w:r>
      <w:r>
        <w:rPr>
          <w:rFonts w:eastAsia="Arial" w:cs="Arial"/>
          <w:sz w:val="22"/>
          <w:szCs w:val="22"/>
        </w:rPr>
        <w:t xml:space="preserve"> o normativo foi revogado a partir de [DATA DA REVOGAÇÃO]; </w:t>
      </w:r>
      <w:r>
        <w:rPr>
          <w:rFonts w:eastAsia="Arial" w:cs="Arial"/>
          <w:b/>
          <w:bCs/>
          <w:sz w:val="22"/>
          <w:szCs w:val="22"/>
        </w:rPr>
        <w:t xml:space="preserve">(iii)</w:t>
      </w:r>
      <w:r>
        <w:rPr>
          <w:rFonts w:eastAsia="Arial" w:cs="Arial"/>
          <w:sz w:val="22"/>
          <w:szCs w:val="22"/>
        </w:rPr>
        <w:t xml:space="preserve"> o normativo exigia, para a aquisição do direito, tempo igual ou superior a [10/5] anos de exercício de função de confiança.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Confrontadas as datas, o resultado é aritmético e incontornável: </w:t>
      </w:r>
      <w:r>
        <w:rPr>
          <w:rFonts w:eastAsia="Arial" w:cs="Arial"/>
          <w:b/>
          <w:bCs/>
          <w:sz w:val="22"/>
          <w:szCs w:val="22"/>
        </w:rPr>
        <w:t xml:space="preserve">na data da revogação do normativo, o Recorrido contava [TEMPO DE FUNÇÃO NA DATA DA REVOGAÇÃO] de exercício de função gratificada</w:t>
      </w:r>
      <w:r>
        <w:rPr>
          <w:rFonts w:eastAsia="Arial" w:cs="Arial"/>
          <w:sz w:val="22"/>
          <w:szCs w:val="22"/>
        </w:rPr>
        <w:t xml:space="preserve">, quando a própria norma exigia [10/5] anos. O requisito temporal só veio a ser alcançado, na melhor das hipóteses para o Recorrido, em </w:t>
      </w:r>
      <w:r>
        <w:rPr>
          <w:rFonts w:eastAsia="Arial" w:cs="Arial"/>
          <w:b/>
          <w:bCs/>
          <w:sz w:val="22"/>
          <w:szCs w:val="22"/>
        </w:rPr>
        <w:t xml:space="preserve">[DATA EM QUE O REQUISITO SE COMPLETARIA]</w:t>
      </w:r>
      <w:r>
        <w:rPr>
          <w:rFonts w:eastAsia="Arial" w:cs="Arial"/>
          <w:sz w:val="22"/>
          <w:szCs w:val="22"/>
        </w:rPr>
        <w:t xml:space="preserve"> — ou seja, </w:t>
      </w:r>
      <w:r>
        <w:rPr>
          <w:rFonts w:eastAsia="Arial" w:cs="Arial"/>
          <w:b/>
          <w:bCs/>
          <w:sz w:val="22"/>
          <w:szCs w:val="22"/>
        </w:rPr>
        <w:t xml:space="preserve">[Nº] anos depois</w:t>
      </w:r>
      <w:r>
        <w:rPr>
          <w:rFonts w:eastAsia="Arial" w:cs="Arial"/>
          <w:sz w:val="22"/>
          <w:szCs w:val="22"/>
        </w:rPr>
        <w:t xml:space="preserve"> de o normativo ter deixado de existir.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Eis o texto do normativo aplicado pelo v. acórdão:</w:t>
      </w:r>
    </w:p>
    <w:p>
      <w:pPr>
        <w:pStyle w:val="Normal"/>
        <w:spacing w:lineRule="exact" w:line="240" w:before="100" w:after="160"/>
        <w:ind w:left="2268" w:hanging="0"/>
        <w:jc w:val="both"/>
        <w:rPr/>
      </w:pPr>
      <w:r>
        <w:rPr>
          <w:rFonts w:eastAsia="Arial" w:cs="Arial"/>
          <w:i w:val="false"/>
          <w:iCs w:val="false"/>
          <w:sz w:val="20"/>
          <w:szCs w:val="20"/>
        </w:rPr>
        <w:t xml:space="preserve">“1 CRITÉRIOS PARA INCORPORAÇÃO ADMINISTRATIVA POR TEMPO DE FUNÇÃO - ITF. 1.1 Terá direito à incorporação administrativa por tempo de função, o empregado que atender os seguintes critérios: a) </w:t>
      </w:r>
      <w:r>
        <w:rPr>
          <w:rFonts w:eastAsia="Arial" w:cs="Arial"/>
          <w:b/>
          <w:bCs/>
          <w:i w:val="false"/>
          <w:iCs w:val="false"/>
          <w:sz w:val="20"/>
          <w:szCs w:val="20"/>
        </w:rPr>
        <w:t xml:space="preserve">possuir no mínimo 10 anos de exercício em função gerencial, técnica, de atividade especial, FAT/FAO, ou dirigente da ECT</w:t>
      </w:r>
      <w:r>
        <w:rPr>
          <w:rFonts w:eastAsia="Arial" w:cs="Arial"/>
          <w:i w:val="false"/>
          <w:iCs w:val="false"/>
          <w:sz w:val="20"/>
          <w:szCs w:val="20"/>
        </w:rPr>
        <w:t xml:space="preserve">, contados a partir da data da dispensa da função;” (Módulo 36 do MANPES, Capítulo 1)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b/>
          <w:bCs/>
          <w:i/>
          <w:iCs/>
          <w:sz w:val="22"/>
          <w:szCs w:val="22"/>
        </w:rPr>
        <w:t xml:space="preserve">- SE O CASO for de FAT/FAO, substituir a citação acima pelo Módulo 55, Capítulo 2, item 1.1, “a” (5 anos de exercício, ininterruptos ou não, nos últimos 15 anos, como titular ou respondendo).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O v. acórdão determinou, assim, a incorporação nos moldes da norma interna </w:t>
      </w:r>
      <w:r>
        <w:rPr>
          <w:rFonts w:eastAsia="Arial" w:cs="Arial"/>
          <w:b/>
          <w:bCs/>
          <w:sz w:val="22"/>
          <w:szCs w:val="22"/>
        </w:rPr>
        <w:t xml:space="preserve">dispensando justamente o requisito central dessa mesma norma</w:t>
      </w:r>
      <w:r>
        <w:rPr>
          <w:rFonts w:eastAsia="Arial" w:cs="Arial"/>
          <w:sz w:val="22"/>
          <w:szCs w:val="22"/>
        </w:rPr>
        <w:t xml:space="preserve">. Aplicou-se o normativo contra o seu próprio texto.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E é precisamente aí que reside a contrariedade à Súmula 51, I, do C. TST. O verbete protege </w:t>
      </w:r>
      <w:r>
        <w:rPr>
          <w:rFonts w:eastAsia="Arial" w:cs="Arial"/>
          <w:b/>
          <w:bCs/>
          <w:sz w:val="22"/>
          <w:szCs w:val="22"/>
        </w:rPr>
        <w:t xml:space="preserve">“vantagens deferidas anteriormente”</w:t>
      </w:r>
      <w:r>
        <w:rPr>
          <w:rFonts w:eastAsia="Arial" w:cs="Arial"/>
          <w:sz w:val="22"/>
          <w:szCs w:val="22"/>
        </w:rPr>
        <w:t xml:space="preserve"> — vale dizer, vantagens </w:t>
      </w:r>
      <w:r>
        <w:rPr>
          <w:rFonts w:eastAsia="Arial" w:cs="Arial"/>
          <w:b/>
          <w:bCs/>
          <w:sz w:val="22"/>
          <w:szCs w:val="22"/>
        </w:rPr>
        <w:t xml:space="preserve">já incorporadas ao patrimônio jurídico do empregado</w:t>
      </w:r>
      <w:r>
        <w:rPr>
          <w:rFonts w:eastAsia="Arial" w:cs="Arial"/>
          <w:sz w:val="22"/>
          <w:szCs w:val="22"/>
        </w:rPr>
        <w:t xml:space="preserve"> pelo preenchimento das condições que o regulamento estabelecia. Não protege — nem poderia proteger, sem se desnaturar — a </w:t>
      </w:r>
      <w:r>
        <w:rPr>
          <w:rFonts w:eastAsia="Arial" w:cs="Arial"/>
          <w:b/>
          <w:bCs/>
          <w:sz w:val="22"/>
          <w:szCs w:val="22"/>
        </w:rPr>
        <w:t xml:space="preserve">expectativa</w:t>
      </w:r>
      <w:r>
        <w:rPr>
          <w:rFonts w:eastAsia="Arial" w:cs="Arial"/>
          <w:sz w:val="22"/>
          <w:szCs w:val="22"/>
        </w:rPr>
        <w:t xml:space="preserve"> de vir a preencher, no futuro, requisito que a norma revogada exigia e que jamais se completou na sua vigência. Onde a condição não se implementou, não houve vantagem deferida; e onde não houve vantagem deferida, não há alteração contratual lesiva a reprimir (art. 468 da CLT), mas exercício regular do poder regulamentar do empregador.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A distinção não é nova. O próprio TRT da 24ª Região já decidiu a questão nos exatos termos aqui sustentados, examinando os mesmos Módulos 55 e 36 do MANPES:</w:t>
      </w:r>
    </w:p>
    <w:p>
      <w:pPr>
        <w:pStyle w:val="Normal"/>
        <w:spacing w:lineRule="exact" w:line="240" w:before="100" w:after="160"/>
        <w:ind w:left="2268" w:hanging="0"/>
        <w:jc w:val="both"/>
        <w:rPr/>
      </w:pPr>
      <w:r>
        <w:rPr>
          <w:rFonts w:eastAsia="Arial" w:cs="Arial"/>
          <w:i w:val="false"/>
          <w:iCs w:val="false"/>
          <w:sz w:val="20"/>
          <w:szCs w:val="20"/>
        </w:rPr>
        <w:t xml:space="preserve">“O Módulo 55 do MANPES (Manual de Pessoal), exigia, entre os requisitos para o direito à incorporação, o exercício de função gratificada por, no mínimo, 5 anos (item 1.1, f. 339), o que não foi alcançado pelo reclamante até a revogação da norma, incontroversamente ocorrida em 1º.5.2012 (f. 347). O Módulo 36 do MANPES (...) exigia, para a aquisição do direito, entre outros pressupostos, o exercício de função de confiança pelo prazo mínimo de 10 anos (...). Tal normativo foi revogado a partir de 5.5.2014 (f. 357-358) e, </w:t>
      </w:r>
      <w:r>
        <w:rPr>
          <w:rFonts w:eastAsia="Arial" w:cs="Arial"/>
          <w:b/>
          <w:bCs/>
          <w:i w:val="false"/>
          <w:iCs w:val="false"/>
          <w:sz w:val="20"/>
          <w:szCs w:val="20"/>
        </w:rPr>
        <w:t xml:space="preserve">até essa data, o autor não cumpriu o requisito temporal exigido</w:t>
      </w:r>
      <w:r>
        <w:rPr>
          <w:rFonts w:eastAsia="Arial" w:cs="Arial"/>
          <w:i w:val="false"/>
          <w:iCs w:val="false"/>
          <w:sz w:val="20"/>
          <w:szCs w:val="20"/>
        </w:rPr>
        <w:t xml:space="preserve">, seja para a parcela ITF ou para a GPTF. Destarte, </w:t>
      </w:r>
      <w:r>
        <w:rPr>
          <w:rFonts w:eastAsia="Arial" w:cs="Arial"/>
          <w:b/>
          <w:bCs/>
          <w:i w:val="false"/>
          <w:iCs w:val="false"/>
          <w:sz w:val="20"/>
          <w:szCs w:val="20"/>
        </w:rPr>
        <w:t xml:space="preserve">não há falar em direito adquirido com base nesses normativos (...) nem em sua adesão definitiva ao contrato de trabalho (inaplicável o disposto na Súmula 51, I, do C. TST)</w:t>
      </w:r>
      <w:r>
        <w:rPr>
          <w:rFonts w:eastAsia="Arial" w:cs="Arial"/>
          <w:i w:val="false"/>
          <w:iCs w:val="false"/>
          <w:sz w:val="20"/>
          <w:szCs w:val="20"/>
        </w:rPr>
        <w:t xml:space="preserve">.” (TRT da 24ª Região, Processo nº 0024704-62.2023.5.24.0007, 1ª Turma, Rel. Des. André Luís Moraes de Oliveira, julgado em 24.02.2024, DEJT 01.03.2024)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No mesmo sentido, e ainda como reforço interpretativo do verbete, o C. TST já assentou, examinando a própria ITF da Recorrente:</w:t>
      </w:r>
    </w:p>
    <w:p>
      <w:pPr>
        <w:pStyle w:val="Normal"/>
        <w:spacing w:lineRule="exact" w:line="240" w:before="100" w:after="160"/>
        <w:ind w:left="2268" w:hanging="0"/>
        <w:jc w:val="both"/>
        <w:rPr/>
      </w:pPr>
      <w:r>
        <w:rPr>
          <w:rFonts w:eastAsia="Arial" w:cs="Arial"/>
          <w:i w:val="false"/>
          <w:iCs w:val="false"/>
          <w:sz w:val="20"/>
          <w:szCs w:val="20"/>
        </w:rPr>
        <w:t xml:space="preserve">“ITF - INCORPORAÇÃO POR TEMPO DE FUNÇÃO. EXERCÍCIO POR MENOS DE DEZ ANOS. NÃO INCORPORAÇÃO. In casu, a Corte de origem consignou que o reclamante não fazia jus à incorporação pleiteada, porque não foi atendido o requisito temporal previsto nos regulamentos internos da ECT. Concluiu que a pretensão do reclamante era de incorporar a ITF que não mais subsistia no regramento interno da reclamada, a qual havia já sido extinta anos antes de ele reunir os requisitos para a sua concessão, </w:t>
      </w:r>
      <w:r>
        <w:rPr>
          <w:rFonts w:eastAsia="Arial" w:cs="Arial"/>
          <w:b/>
          <w:bCs/>
          <w:i w:val="false"/>
          <w:iCs w:val="false"/>
          <w:sz w:val="20"/>
          <w:szCs w:val="20"/>
        </w:rPr>
        <w:t xml:space="preserve">não sendo possível entender que a parcela aderiu ao contrato de trabalho</w:t>
      </w:r>
      <w:r>
        <w:rPr>
          <w:rFonts w:eastAsia="Arial" w:cs="Arial"/>
          <w:i w:val="false"/>
          <w:iCs w:val="false"/>
          <w:sz w:val="20"/>
          <w:szCs w:val="20"/>
        </w:rPr>
        <w:t xml:space="preserve">.” (RRAg-21160-17.2016.5.04.0024, 8ª Turma, Rel. Min. Dora Maria da Costa, DEJT 11/02/2022)</w:t>
      </w:r>
    </w:p>
    <w:p>
      <w:pPr>
        <w:pStyle w:val="Normal"/>
        <w:spacing w:lineRule="exact" w:line="240" w:before="100" w:after="160"/>
        <w:ind w:left="2268" w:hanging="0"/>
        <w:jc w:val="both"/>
        <w:rPr/>
      </w:pPr>
      <w:r>
        <w:rPr>
          <w:rFonts w:eastAsia="Arial" w:cs="Arial"/>
          <w:i w:val="false"/>
          <w:iCs w:val="false"/>
          <w:sz w:val="20"/>
          <w:szCs w:val="20"/>
        </w:rPr>
        <w:t xml:space="preserve">“GRATIFICAÇÃO DE FUNÇÃO PREVISTA EM NORMA INTERNA REVOGADA ANTES DA IMPLEMENTAÇÃO DO REQUISITO OBJETIVO-TEMPORAL (10 ANOS NA FUNÇÃO). INEXISTÊNCIA DE DIREITO ADQUIRIDO. (...) 3. A reversão ao cargo efetivo configura alteração lícita do contrato de trabalho, não assegurando ao empregado o direito à manutenção do pagamento da gratificação correspondente, ressalvadas as hipóteses em que há previsão expressa do direito à incorporação em lei, cláusula coletiva ou norma interna </w:t>
      </w:r>
      <w:r>
        <w:rPr>
          <w:rFonts w:eastAsia="Arial" w:cs="Arial"/>
          <w:b/>
          <w:bCs/>
          <w:i w:val="false"/>
          <w:iCs w:val="false"/>
          <w:sz w:val="20"/>
          <w:szCs w:val="20"/>
        </w:rPr>
        <w:t xml:space="preserve">e o empregado implemente os requisitos previstos durante o período de sua vigência</w:t>
      </w:r>
      <w:r>
        <w:rPr>
          <w:rFonts w:eastAsia="Arial" w:cs="Arial"/>
          <w:i w:val="false"/>
          <w:iCs w:val="false"/>
          <w:sz w:val="20"/>
          <w:szCs w:val="20"/>
        </w:rPr>
        <w:t xml:space="preserve">. 4. Em tal contexto, </w:t>
      </w:r>
      <w:r>
        <w:rPr>
          <w:rFonts w:eastAsia="Arial" w:cs="Arial"/>
          <w:b/>
          <w:bCs/>
          <w:i w:val="false"/>
          <w:iCs w:val="false"/>
          <w:sz w:val="20"/>
          <w:szCs w:val="20"/>
        </w:rPr>
        <w:t xml:space="preserve">não há falar em direito adquirido, mas em mera expectativa que não se consumou</w:t>
      </w:r>
      <w:r>
        <w:rPr>
          <w:rFonts w:eastAsia="Arial" w:cs="Arial"/>
          <w:i w:val="false"/>
          <w:iCs w:val="false"/>
          <w:sz w:val="20"/>
          <w:szCs w:val="20"/>
        </w:rPr>
        <w:t xml:space="preserve">. Recurso de revista conhecido e provido.” (TST-RR-860-33.2020.5.10.0022, 1ª Turma, Rel. Min. Amaury Rodrigues Pinto Junior, julgado em 18/8/2022)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b/>
          <w:bCs/>
          <w:i/>
          <w:iCs/>
          <w:sz w:val="22"/>
          <w:szCs w:val="22"/>
        </w:rPr>
        <w:t xml:space="preserve">- SE HOUVER pedido cumulado de FAT/FAO (Módulo 55) além da ITF/GPTF (Módulo 36).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Idêntico raciocínio se aplica, </w:t>
      </w:r>
      <w:r>
        <w:rPr>
          <w:rFonts w:eastAsia="Arial" w:cs="Arial"/>
          <w:i/>
          <w:iCs/>
          <w:sz w:val="22"/>
          <w:szCs w:val="22"/>
        </w:rPr>
        <w:t xml:space="preserve">a fortiori</w:t>
      </w:r>
      <w:r>
        <w:rPr>
          <w:rFonts w:eastAsia="Arial" w:cs="Arial"/>
          <w:sz w:val="22"/>
          <w:szCs w:val="22"/>
        </w:rPr>
        <w:t xml:space="preserve">, ao Módulo 55 do MANPES (FAT/FAO), revogado a partir de 1º.5.2012: exigia ele o exercício de função por, no mínimo, 5 (cinco) anos, ininterruptos ou não, nos últimos 15 (quinze) anos, e nessa data o Recorrido </w:t>
      </w:r>
      <w:r>
        <w:rPr>
          <w:rFonts w:eastAsia="Arial" w:cs="Arial"/>
          <w:b/>
          <w:bCs/>
          <w:sz w:val="22"/>
          <w:szCs w:val="22"/>
        </w:rPr>
        <w:t xml:space="preserve">[sequer havia sido designado para função gratificada / contava apenas com [TEMPO]]</w:t>
      </w:r>
      <w:r>
        <w:rPr>
          <w:rFonts w:eastAsia="Arial" w:cs="Arial"/>
          <w:sz w:val="22"/>
          <w:szCs w:val="22"/>
        </w:rPr>
        <w:t xml:space="preserve">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b/>
          <w:bCs/>
          <w:i/>
          <w:iCs/>
          <w:sz w:val="22"/>
          <w:szCs w:val="22"/>
        </w:rPr>
        <w:t xml:space="preserve">- SE HOUVER períodos de substituição anteriores à designação como titular. ATENÇÃO: este é o único parágrafo que se apoia em prova documental e não em premissa registrada no acórdão, ficando exposto à Súmula 126 do C. TST. Só mantê-lo se a tese central não depender dele.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Registre-se, por fim e </w:t>
      </w:r>
      <w:r>
        <w:rPr>
          <w:rFonts w:eastAsia="Arial" w:cs="Arial"/>
          <w:i/>
          <w:iCs/>
          <w:sz w:val="22"/>
          <w:szCs w:val="22"/>
        </w:rPr>
        <w:t xml:space="preserve">ad cautelam</w:t>
      </w:r>
      <w:r>
        <w:rPr>
          <w:rFonts w:eastAsia="Arial" w:cs="Arial"/>
          <w:sz w:val="22"/>
          <w:szCs w:val="22"/>
        </w:rPr>
        <w:t xml:space="preserve">, que a conclusão não se altera nem mesmo se computados os períodos de substituição anteriores à designação como titular: conforme a ficha cadastral do Recorrido (Id. [ID DA FICHA CADASTRAL]), tais períodos somam cerca de [TOTAL] dias, sendo o mais longo deles de [Nº] dias — inferior, portanto, aos </w:t>
      </w:r>
      <w:r>
        <w:rPr>
          <w:rFonts w:eastAsia="Arial" w:cs="Arial"/>
          <w:b/>
          <w:bCs/>
          <w:sz w:val="22"/>
          <w:szCs w:val="22"/>
        </w:rPr>
        <w:t xml:space="preserve">180 (cento e oitenta) dias ininterruptos</w:t>
      </w:r>
      <w:r>
        <w:rPr>
          <w:rFonts w:eastAsia="Arial" w:cs="Arial"/>
          <w:sz w:val="22"/>
          <w:szCs w:val="22"/>
        </w:rPr>
        <w:t xml:space="preserve"> que o próprio Módulo 55 do MANPES, item 3.1.1, exigia para o cômputo de substituições. Com ou sem eles, o requisito temporal não foi implementado na vigência dos normativos.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Requer, pois, o conhecimento e o provimento do recurso para que, reconhecida a contrariedade à Súmula 51, I, do C. TST, seja julgada </w:t>
      </w:r>
      <w:r>
        <w:rPr>
          <w:rFonts w:eastAsia="Arial" w:cs="Arial"/>
          <w:b/>
          <w:bCs/>
          <w:sz w:val="22"/>
          <w:szCs w:val="22"/>
        </w:rPr>
        <w:t xml:space="preserve">totalmente improcedente</w:t>
      </w:r>
      <w:r>
        <w:rPr>
          <w:rFonts w:eastAsia="Arial" w:cs="Arial"/>
          <w:sz w:val="22"/>
          <w:szCs w:val="22"/>
        </w:rPr>
        <w:t xml:space="preserve"> a reclamação trabalhista.</w:t>
      </w:r>
    </w:p>
    <w:p>
      <w:pPr>
        <w:pStyle w:val="Normal"/>
        <w:spacing w:lineRule="exact" w:line="360" w:before="200" w:after="120"/>
        <w:ind w:left="1701" w:hanging="0"/>
        <w:jc w:val="both"/>
        <w:rPr>
          <w:u w:val="single"/>
        </w:rPr>
      </w:pPr>
      <w:r>
        <w:rPr>
          <w:rFonts w:eastAsia="Arial" w:cs="Arial"/>
          <w:b/>
          <w:bCs/>
          <w:u w:val="single"/>
          <w:sz w:val="22"/>
          <w:szCs w:val="22"/>
        </w:rPr>
        <w:t xml:space="preserve">2 – AD CAUTELAM – DA LEGALIDADE ADMINISTRATIVA – VIOLAÇÃO DOS ARTS. 37, CAPUT E X, E 169, § 1º, I, DA CONSTITUIÇÃO FEDERAL E CONTRARIEDADE À SÚMULA VINCULANTE Nº 37 DO EXCELSO STF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b/>
          <w:bCs/>
          <w:i/>
          <w:iCs/>
          <w:sz w:val="22"/>
          <w:szCs w:val="22"/>
        </w:rPr>
        <w:t xml:space="preserve">- BLOCO DE ENQUADRAMENTO FRÁGIL. A Súmula Vinculante nº 37 tem por objeto o aumento de vencimentos sob fundamento de ISONOMIA, e o C. TST reafirma a submissão da ECT ao regime celetista. Manter apenas como reforço ad cautelam, e só se a tese houver sido deduzida no recurso ordinário e enfrentada no acórdão (sem isso, falta prequestionamento).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b/>
          <w:bCs/>
          <w:sz w:val="22"/>
          <w:szCs w:val="22"/>
        </w:rPr>
        <w:t xml:space="preserve">Trecho do v. acórdão que consubstancia o prequestionamento (Id. [ID DO ACÓRDÃO], f. [Nº]):</w:t>
      </w:r>
    </w:p>
    <w:p>
      <w:pPr>
        <w:pStyle w:val="Normal"/>
        <w:spacing w:lineRule="exact" w:line="240" w:before="100" w:after="160"/>
        <w:ind w:left="2268" w:hanging="0"/>
        <w:jc w:val="both"/>
        <w:rPr/>
      </w:pPr>
      <w:r>
        <w:rPr>
          <w:rFonts w:eastAsia="Arial" w:cs="Arial"/>
          <w:i w:val="false"/>
          <w:iCs w:val="false"/>
          <w:sz w:val="20"/>
          <w:szCs w:val="20"/>
        </w:rPr>
        <w:t xml:space="preserve">[TRANSCREVER LITERALMENTE o trecho em que o acórdão rejeitou a tese de legalidade estrita / de inaplicabilidade da Lei nº 8.112/90.]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Ainda que se superassem os capítulos anteriores, a condenação não subsiste. A Recorrente é empresa pública federal detentora do monopólio do serviço postal (art. 21, X, da CF) e equiparada à Fazenda Pública, sujeita, por isso, aos princípios do art. 37, </w:t>
      </w:r>
      <w:r>
        <w:rPr>
          <w:rFonts w:eastAsia="Arial" w:cs="Arial"/>
          <w:i/>
          <w:iCs/>
          <w:sz w:val="22"/>
          <w:szCs w:val="22"/>
        </w:rPr>
        <w:t xml:space="preserve">caput</w:t>
      </w:r>
      <w:r>
        <w:rPr>
          <w:rFonts w:eastAsia="Arial" w:cs="Arial"/>
          <w:sz w:val="22"/>
          <w:szCs w:val="22"/>
        </w:rPr>
        <w:t xml:space="preserve">, da Constituição Federal. A criação de vantagem remuneratória permanente — a incorporação, ao salário, de gratificação cujo pressuposto normativo foi regularmente revogado e cujo requisito nunca se implementou — importa, na prática, </w:t>
      </w:r>
      <w:r>
        <w:rPr>
          <w:rFonts w:eastAsia="Arial" w:cs="Arial"/>
          <w:b/>
          <w:bCs/>
          <w:sz w:val="22"/>
          <w:szCs w:val="22"/>
        </w:rPr>
        <w:t xml:space="preserve">aumento de remuneração por via judicial</w:t>
      </w:r>
      <w:r>
        <w:rPr>
          <w:rFonts w:eastAsia="Arial" w:cs="Arial"/>
          <w:sz w:val="22"/>
          <w:szCs w:val="22"/>
        </w:rPr>
        <w:t xml:space="preserve">, sem lei autorizadora e sem prévia dotação orçamentária, em ofensa direta aos arts. 37, </w:t>
      </w:r>
      <w:r>
        <w:rPr>
          <w:rFonts w:eastAsia="Arial" w:cs="Arial"/>
          <w:i/>
          <w:iCs/>
          <w:sz w:val="22"/>
          <w:szCs w:val="22"/>
        </w:rPr>
        <w:t xml:space="preserve">caput</w:t>
      </w:r>
      <w:r>
        <w:rPr>
          <w:rFonts w:eastAsia="Arial" w:cs="Arial"/>
          <w:sz w:val="22"/>
          <w:szCs w:val="22"/>
        </w:rPr>
        <w:t xml:space="preserve"> e inciso X, e 169, § 1º, inciso I, da Constituição Federal, e em contrariedade à Súmula Vinculante nº 37 do Excelso Supremo Tribunal Federal.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A tese foi acolhida, em caso análogo envolvendo a Recorrente, pela 2ª Turma do TRT da 24ª Região, no RO 0025434-83.2017.5.24.0007, Rel. Des. Francisco das Chagas Lima Filho, cuja ementa consigna que “a integração da gratificação de função à remuneração do servidor ou empregado público quando perdida a função, sem prévia autorização legal, implicará em aumento salarial pelo Poder Judiciário, o que é vedado por força da Súmula Vinculante 37 do Excelso Supremo Tribunal Federal”.</w:t>
      </w:r>
    </w:p>
    <w:p>
      <w:pPr>
        <w:pStyle w:val="Normal"/>
        <w:spacing w:lineRule="exact" w:line="360" w:before="200" w:after="120"/>
        <w:ind w:left="1701" w:hanging="0"/>
        <w:jc w:val="both"/>
        <w:rPr>
          <w:u w:val="single"/>
        </w:rPr>
      </w:pPr>
      <w:r>
        <w:rPr>
          <w:rFonts w:eastAsia="Arial" w:cs="Arial"/>
          <w:b/>
          <w:bCs/>
          <w:u w:val="single"/>
          <w:sz w:val="22"/>
          <w:szCs w:val="22"/>
        </w:rPr>
        <w:t xml:space="preserve">3 – DOS HONORÁRIOS ADVOCATÍCIOS SUCUMBENCIAIS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Reformada a decisão em qualquer dos capítulos que conduzem à improcedência ou à extinção do processo com resolução do mérito, impõe-se a </w:t>
      </w:r>
      <w:r>
        <w:rPr>
          <w:rFonts w:eastAsia="Arial" w:cs="Arial"/>
          <w:b/>
          <w:bCs/>
          <w:sz w:val="22"/>
          <w:szCs w:val="22"/>
        </w:rPr>
        <w:t xml:space="preserve">inversão da sucumbência</w:t>
      </w:r>
      <w:r>
        <w:rPr>
          <w:rFonts w:eastAsia="Arial" w:cs="Arial"/>
          <w:sz w:val="22"/>
          <w:szCs w:val="22"/>
        </w:rPr>
        <w:t xml:space="preserve">, com a exclusão da condenação da Recorrente ao pagamento dos honorários de [XX]% fixados na origem e a condenação do Recorrido ao pagamento de honorários em favor dos patronos da Recorrente, nos termos do art. 791-A da CLT</w:t>
      </w:r>
      <w:r>
        <w:rPr>
          <w:rFonts w:eastAsia="Arial" w:cs="Arial"/>
          <w:b/>
          <w:bCs/>
          <w:i/>
          <w:iCs/>
          <w:sz w:val="22"/>
          <w:szCs w:val="22"/>
        </w:rPr>
        <w:t xml:space="preserve"> [, observada, quanto à exigibilidade, a concessão de justiça gratuita ao Recorrido, SE HOUVER justiça gratuita deferida]</w:t>
      </w:r>
      <w:r>
        <w:rPr>
          <w:rFonts w:eastAsia="Arial" w:cs="Arial"/>
          <w:sz w:val="22"/>
          <w:szCs w:val="22"/>
        </w:rPr>
        <w:t xml:space="preserve">.</w:t>
      </w:r>
    </w:p>
    <w:p>
      <w:pPr>
        <w:pStyle w:val="Normal"/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  <w:spacing w:lineRule="exact" w:line="240" w:before="320" w:after="260"/>
        <w:ind w:left="0" w:right="0" w:hanging="0"/>
        <w:jc w:val="center"/>
        <w:rPr/>
      </w:pPr>
      <w:r>
        <w:rPr>
          <w:rFonts w:eastAsia="Arial" w:cs="Arial"/>
          <w:b/>
          <w:bCs/>
          <w:sz w:val="22"/>
          <w:szCs w:val="22"/>
        </w:rPr>
        <w:t xml:space="preserve">DO PREQUESTIONAMENTO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Todas as matérias veiculadas neste recurso foram deduzidas na contestação e no recurso ordinário e, quanto às que não receberam pronunciamento explícito, foram objeto de embargos de declaração oportunamente opostos, restando prequestionadas nos termos dos itens I e III da Súmula nº 297 do C. TST e da Orientação Jurisprudencial nº 118 da SDI-1 do C. TST.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b/>
          <w:bCs/>
          <w:i/>
          <w:iCs/>
          <w:sz w:val="22"/>
          <w:szCs w:val="22"/>
        </w:rPr>
        <w:t xml:space="preserve">- SE HOUVER, na decisão dos ED, cláusula genérica de prequestionamento, transcrevê-la aqui: ela reforça o item III da Súmula 297.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Requer, de todo modo, o pronunciamento expresso sobre os arts. 93, IX, 37, </w:t>
      </w:r>
      <w:r>
        <w:rPr>
          <w:rFonts w:eastAsia="Arial" w:cs="Arial"/>
          <w:i/>
          <w:iCs/>
          <w:sz w:val="22"/>
          <w:szCs w:val="22"/>
        </w:rPr>
        <w:t xml:space="preserve">caput</w:t>
      </w:r>
      <w:r>
        <w:rPr>
          <w:rFonts w:eastAsia="Arial" w:cs="Arial"/>
          <w:sz w:val="22"/>
          <w:szCs w:val="22"/>
        </w:rPr>
        <w:t xml:space="preserve"> e X, e 169, § 1º, I, da Constituição Federal, sobre as Súmulas nº 51, I, e nº 294 do C. TST e sobre a Súmula Vinculante nº 37 do Excelso STF, para os fins do art. 896, § 9º, da CLT e de eventual interposição de recurso extraordinário.</w:t>
      </w:r>
    </w:p>
    <w:p>
      <w:pPr>
        <w:pStyle w:val="Normal"/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  <w:spacing w:lineRule="exact" w:line="240" w:before="320" w:after="260"/>
        <w:ind w:left="0" w:right="0" w:hanging="0"/>
        <w:jc w:val="center"/>
        <w:rPr/>
      </w:pPr>
      <w:r>
        <w:rPr>
          <w:rFonts w:eastAsia="Arial" w:cs="Arial"/>
          <w:b/>
          <w:bCs/>
          <w:sz w:val="22"/>
          <w:szCs w:val="22"/>
        </w:rPr>
        <w:t xml:space="preserve">DOS PEDIDOS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Ante o exposto, requer a Recorrente o conhecimento e o provimento do presente recurso de revista, para que: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b/>
          <w:bCs/>
          <w:sz w:val="22"/>
          <w:szCs w:val="22"/>
        </w:rPr>
        <w:t xml:space="preserve">a) </w:t>
      </w:r>
      <w:r>
        <w:rPr>
          <w:rFonts w:eastAsia="Arial" w:cs="Arial"/>
          <w:sz w:val="22"/>
          <w:szCs w:val="22"/>
        </w:rPr>
        <w:t xml:space="preserve">preliminarmente, seja declarada a </w:t>
      </w:r>
      <w:r>
        <w:rPr>
          <w:rFonts w:eastAsia="Arial" w:cs="Arial"/>
          <w:b/>
          <w:bCs/>
          <w:sz w:val="22"/>
          <w:szCs w:val="22"/>
        </w:rPr>
        <w:t xml:space="preserve">nulidade</w:t>
      </w:r>
      <w:r>
        <w:rPr>
          <w:rFonts w:eastAsia="Arial" w:cs="Arial"/>
          <w:sz w:val="22"/>
          <w:szCs w:val="22"/>
        </w:rPr>
        <w:t xml:space="preserve"> do v. acórdão por negativa de prestação jurisdicional, com violação do art. 93, IX, da Constituição Federal, determinando-se o retorno dos autos ao e. Tribunal Regional para que complete a prestação jurisdicional quanto ao não preenchimento do requisito temporal dos Módulos 55 e 36 do MANPES na vigência desses normativos;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b/>
          <w:bCs/>
          <w:sz w:val="22"/>
          <w:szCs w:val="22"/>
        </w:rPr>
        <w:t xml:space="preserve">b) </w:t>
      </w:r>
      <w:r>
        <w:rPr>
          <w:rFonts w:eastAsia="Arial" w:cs="Arial"/>
          <w:sz w:val="22"/>
          <w:szCs w:val="22"/>
        </w:rPr>
        <w:t xml:space="preserve">superada a preliminar, seja pronunciada a </w:t>
      </w:r>
      <w:r>
        <w:rPr>
          <w:rFonts w:eastAsia="Arial" w:cs="Arial"/>
          <w:b/>
          <w:bCs/>
          <w:sz w:val="22"/>
          <w:szCs w:val="22"/>
        </w:rPr>
        <w:t xml:space="preserve">prescrição total</w:t>
      </w:r>
      <w:r>
        <w:rPr>
          <w:rFonts w:eastAsia="Arial" w:cs="Arial"/>
          <w:sz w:val="22"/>
          <w:szCs w:val="22"/>
        </w:rPr>
        <w:t xml:space="preserve"> da pretensão de aplicação dos Módulos 55 e 36 do MANPES, por contrariedade à Súmula nº 294 do C. TST, extinguindo-se o processo com resolução do mérito (art. 487, II, do CPC);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b/>
          <w:bCs/>
          <w:sz w:val="22"/>
          <w:szCs w:val="22"/>
        </w:rPr>
        <w:t xml:space="preserve">c) </w:t>
      </w:r>
      <w:r>
        <w:rPr>
          <w:rFonts w:eastAsia="Arial" w:cs="Arial"/>
          <w:sz w:val="22"/>
          <w:szCs w:val="22"/>
        </w:rPr>
        <w:t xml:space="preserve">no mérito, por contrariedade à Súmula nº 51, I, do C. TST, seja reformado o v. acórdão para julgar </w:t>
      </w:r>
      <w:r>
        <w:rPr>
          <w:rFonts w:eastAsia="Arial" w:cs="Arial"/>
          <w:b/>
          <w:bCs/>
          <w:sz w:val="22"/>
          <w:szCs w:val="22"/>
        </w:rPr>
        <w:t xml:space="preserve">totalmente improcedente</w:t>
      </w:r>
      <w:r>
        <w:rPr>
          <w:rFonts w:eastAsia="Arial" w:cs="Arial"/>
          <w:sz w:val="22"/>
          <w:szCs w:val="22"/>
        </w:rPr>
        <w:t xml:space="preserve"> a reclamação trabalhista;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b/>
          <w:bCs/>
          <w:sz w:val="22"/>
          <w:szCs w:val="22"/>
        </w:rPr>
        <w:t xml:space="preserve">d) </w:t>
      </w:r>
      <w:r>
        <w:rPr>
          <w:rFonts w:eastAsia="Arial" w:cs="Arial"/>
          <w:i/>
          <w:iCs/>
          <w:sz w:val="22"/>
          <w:szCs w:val="22"/>
        </w:rPr>
        <w:t xml:space="preserve">ad cautelam</w:t>
      </w:r>
      <w:r>
        <w:rPr>
          <w:rFonts w:eastAsia="Arial" w:cs="Arial"/>
          <w:sz w:val="22"/>
          <w:szCs w:val="22"/>
        </w:rPr>
        <w:t xml:space="preserve">, seja reconhecida a violação dos arts. 37, </w:t>
      </w:r>
      <w:r>
        <w:rPr>
          <w:rFonts w:eastAsia="Arial" w:cs="Arial"/>
          <w:i/>
          <w:iCs/>
          <w:sz w:val="22"/>
          <w:szCs w:val="22"/>
        </w:rPr>
        <w:t xml:space="preserve">caput</w:t>
      </w:r>
      <w:r>
        <w:rPr>
          <w:rFonts w:eastAsia="Arial" w:cs="Arial"/>
          <w:sz w:val="22"/>
          <w:szCs w:val="22"/>
        </w:rPr>
        <w:t xml:space="preserve"> e X, e 169, § 1º, I, da Constituição Federal e a contrariedade à Súmula Vinculante nº 37 do Excelso STF, com igual resultado;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b/>
          <w:bCs/>
          <w:sz w:val="22"/>
          <w:szCs w:val="22"/>
        </w:rPr>
        <w:t xml:space="preserve">e) </w:t>
      </w:r>
      <w:r>
        <w:rPr>
          <w:rFonts w:eastAsia="Arial" w:cs="Arial"/>
          <w:sz w:val="22"/>
          <w:szCs w:val="22"/>
        </w:rPr>
        <w:t xml:space="preserve">em qualquer das hipóteses das alíneas “b” a “d”, seja invertida a sucumbência, excluindo-se a condenação da Recorrente em honorários advocatícios e condenando-se o Recorrido ao seu pagamento em favor dos patronos da Recorrente (art. 791-A da CLT).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Nesses Termos,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Pede Deferimento.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Campo Grande/MS, data de assinatura eletrônica.</w:t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60"/>
        <w:jc w:val="center"/>
        <w:rPr/>
      </w:pPr>
      <w:r>
        <w:rPr>
          <w:rFonts w:eastAsia="Arial" w:cs="Arial"/>
          <w:b/>
          <w:bCs/>
          <w:sz w:val="22"/>
          <w:szCs w:val="22"/>
        </w:rPr>
        <w:t xml:space="preserve">Marcos Hideki Kamibayashi</w:t>
      </w:r>
    </w:p>
    <w:p>
      <w:pPr>
        <w:pStyle w:val="Normal"/>
        <w:spacing w:before="0" w:after="60"/>
        <w:jc w:val="center"/>
        <w:rPr/>
      </w:pPr>
      <w:r>
        <w:rPr>
          <w:rFonts w:eastAsia="Arial" w:cs="Arial"/>
          <w:b/>
          <w:bCs/>
          <w:sz w:val="22"/>
          <w:szCs w:val="22"/>
        </w:rPr>
        <w:t xml:space="preserve">OAB/MS 14.580</w:t>
      </w:r>
    </w:p>
    <w:sectPr>
      <w:headerReference w:type="default" r:id="rId2"/>
      <w:footerReference w:type="default" r:id="rId3"/>
      <w:type w:val="nextPage"/>
      <w:pgSz w:w="11906" w:h="16838"/>
      <w:pgMar w:left="1701" w:right="1134" w:gutter="0" w:header="397" w:top="1701" w:footer="397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 Narrow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spacing w:lineRule="exact" w:line="200" w:before="0" w:after="0"/>
      <w:jc w:val="center"/>
      <w:rPr/>
    </w:pPr>
    <w:r>
      <w:rPr>
        <w:rFonts w:eastAsia="Arial Narrow" w:cs="Arial Narrow" w:ascii="Arial Narrow" w:hAnsi="Arial Narrow"/>
        <w:b/>
        <w:bCs/>
        <w:sz w:val="14"/>
        <w:szCs w:val="14"/>
      </w:rPr>
      <w:t>______________________________________________________________________________________________________________________________________________</w:t>
    </w:r>
  </w:p>
  <w:p>
    <w:pPr>
      <w:pStyle w:val="Normal"/>
      <w:widowControl/>
      <w:tabs>
        <w:tab w:val="clear" w:pos="720"/>
        <w:tab w:val="right" w:pos="9071" w:leader="none"/>
      </w:tabs>
      <w:bidi w:val="0"/>
      <w:spacing w:lineRule="exact" w:line="200" w:before="0" w:after="0"/>
      <w:ind w:left="1814" w:right="0" w:hanging="0"/>
      <w:jc w:val="center"/>
      <w:rPr/>
    </w:pPr>
    <w:r>
      <w:rPr>
        <w:rFonts w:eastAsia="Arial Narrow" w:cs="Arial Narrow" w:ascii="Arial Narrow" w:hAnsi="Arial Narrow"/>
        <w:b/>
        <w:bCs/>
        <w:sz w:val="14"/>
        <w:szCs w:val="14"/>
      </w:rPr>
      <w:t>Avenida Calógeras nº 2309 – 2º andar – Centro – Campo Grande – MS – Fone 2109-1004.</w:t>
    </w:r>
    <w:r>
      <w:rPr>
        <w:rFonts w:eastAsia="Arial Narrow" w:cs="Arial Narrow" w:ascii="Arial Narrow" w:hAnsi="Arial Narrow"/>
        <w:sz w:val="14"/>
        <w:szCs w:val="14"/>
      </w:rPr>
      <w:tab/>
    </w:r>
    <w:r>
      <w:rPr/>
      <w:fldChar w:fldCharType="begin"/>
    </w:r>
    <w:r>
      <w:rPr/>
      <w:instrText> PAGE </w:instrText>
    </w:r>
    <w:r>
      <w:rPr/>
      <w:fldChar w:fldCharType="separate"/>
    </w:r>
    <w:r>
      <w:rPr/>
      <w:t>12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W w:w="9071" w:type="dxa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2850"/>
      <w:gridCol w:w="6220"/>
    </w:tblGrid>
    <w:tr>
      <w:trPr/>
      <w:tc>
        <w:tcPr>
          <w:tcW w:w="2850" w:type="dxa"/>
          <w:tcBorders/>
        </w:tcPr>
        <w:p>
          <w:pPr>
            <w:pStyle w:val="Normal"/>
            <w:widowControl w:val="false"/>
            <w:spacing w:before="0" w:after="0"/>
            <w:rPr/>
          </w:pPr>
          <w:r>
            <w:rPr/>
            <w:drawing>
              <wp:inline distT="0" distB="0" distL="0" distR="0">
                <wp:extent cx="1714500" cy="361950"/>
                <wp:effectExtent l="0" t="0" r="0" b="0"/>
                <wp:docPr id="1" name="Figura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Figura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14500" cy="361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20" w:type="dxa"/>
          <w:tcBorders/>
        </w:tcPr>
        <w:p>
          <w:pPr>
            <w:pStyle w:val="Normal"/>
            <w:widowControl w:val="false"/>
            <w:spacing w:lineRule="exact" w:line="240" w:before="0" w:after="0"/>
            <w:jc w:val="center"/>
            <w:rPr/>
          </w:pPr>
          <w:r>
            <w:rPr>
              <w:rFonts w:eastAsia="Arial Narrow" w:cs="Arial Narrow" w:ascii="Arial Narrow" w:hAnsi="Arial Narrow"/>
              <w:b/>
              <w:bCs/>
              <w:sz w:val="24"/>
              <w:szCs w:val="24"/>
            </w:rPr>
            <w:t>EMPRESA BRASILEIRA DE CORREIOS E TELÉGRAFOS</w:t>
          </w:r>
        </w:p>
        <w:p>
          <w:pPr>
            <w:pStyle w:val="Normal"/>
            <w:widowControl w:val="false"/>
            <w:pBdr>
              <w:bottom w:val="single" w:sz="6" w:space="2" w:color="000000"/>
            </w:pBdr>
            <w:spacing w:lineRule="exact" w:line="240" w:before="0" w:after="0"/>
            <w:jc w:val="center"/>
            <w:rPr/>
          </w:pPr>
          <w:r>
            <w:rPr>
              <w:rFonts w:eastAsia="Arial Narrow" w:cs="Arial Narrow" w:ascii="Arial Narrow" w:hAnsi="Arial Narrow"/>
              <w:sz w:val="24"/>
              <w:szCs w:val="24"/>
            </w:rPr>
            <w:t>Assessoria Jurídica MS/DEJUR/SEJUR</w:t>
          </w:r>
        </w:p>
      </w:tc>
    </w:tr>
  </w:tbl>
  <w:p>
    <w:pPr>
      <w:pStyle w:val="Normal"/>
      <w:spacing w:before="0" w:after="0"/>
      <w:rPr/>
    </w:pPr>
    <w:r>
      <w:rPr/>
      <w:t xml:space="preserve">                                            </w:t>
    </w:r>
  </w:p>
</w:hdr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Ttulo1">
    <w:name w:val="Heading 1"/>
    <w:basedOn w:val="Ttulo"/>
    <w:qFormat/>
    <w:pPr/>
    <w:rPr>
      <w:color w:val="2E74B5"/>
      <w:sz w:val="32"/>
      <w:szCs w:val="32"/>
    </w:rPr>
  </w:style>
  <w:style w:type="paragraph" w:styleId="Ttulo2">
    <w:name w:val="Heading 2"/>
    <w:basedOn w:val="Ttulo"/>
    <w:qFormat/>
    <w:pPr/>
    <w:rPr>
      <w:color w:val="2E74B5"/>
      <w:sz w:val="26"/>
      <w:szCs w:val="26"/>
    </w:rPr>
  </w:style>
  <w:style w:type="paragraph" w:styleId="Ttulo3">
    <w:name w:val="Heading 3"/>
    <w:basedOn w:val="Ttulo"/>
    <w:qFormat/>
    <w:pPr/>
    <w:rPr>
      <w:color w:val="1F4D78"/>
      <w:sz w:val="24"/>
      <w:szCs w:val="24"/>
    </w:rPr>
  </w:style>
  <w:style w:type="paragraph" w:styleId="Ttulo4">
    <w:name w:val="Heading 4"/>
    <w:basedOn w:val="Ttulo"/>
    <w:qFormat/>
    <w:pPr/>
    <w:rPr>
      <w:i/>
      <w:iCs/>
      <w:color w:val="2E74B5"/>
    </w:rPr>
  </w:style>
  <w:style w:type="paragraph" w:styleId="Ttulo5">
    <w:name w:val="Heading 5"/>
    <w:basedOn w:val="Ttulo"/>
    <w:qFormat/>
    <w:pPr/>
    <w:rPr>
      <w:color w:val="2E74B5"/>
    </w:rPr>
  </w:style>
  <w:style w:type="paragraph" w:styleId="Ttulo6">
    <w:name w:val="Heading 6"/>
    <w:basedOn w:val="Ttulo"/>
    <w:qFormat/>
    <w:pPr/>
    <w:rPr>
      <w:color w:val="1F4D78"/>
    </w:rPr>
  </w:style>
  <w:style w:type="character" w:styleId="LinkdaInternet">
    <w:name w:val="Link da Internet"/>
    <w:uiPriority w:val="99"/>
    <w:unhideWhenUsed/>
    <w:rPr>
      <w:color w:val="0563C1"/>
      <w:u w:val="single"/>
    </w:rPr>
  </w:style>
  <w:style w:type="character" w:styleId="Ncoradanotaderodap">
    <w:name w:val="Âncora da nota de rodapé"/>
    <w:rPr>
      <w:vertAlign w:val="superscript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Ncoradanotadefim">
    <w:name w:val="Âncora da nota de fim"/>
    <w:rPr>
      <w:vertAlign w:val="superscript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  <w:lang w:val="zxx" w:eastAsia="zxx" w:bidi="zxx"/>
    </w:rPr>
  </w:style>
  <w:style w:type="paragraph" w:styleId="Ttulododocumento">
    <w:name w:val="Title"/>
    <w:basedOn w:val="Ttulo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Notaderodap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Notadefim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alhoeRodap">
    <w:name w:val="Cabeçalho e Rodapé"/>
    <w:basedOn w:val="Normal"/>
    <w:qFormat/>
    <w:pPr/>
    <w:rPr/>
  </w:style>
  <w:style w:type="paragraph" w:styleId="Cabealho">
    <w:name w:val="Header"/>
    <w:basedOn w:val="CabealhoeRodap"/>
    <w:pPr/>
    <w:rPr/>
  </w:style>
  <w:style w:type="paragraph" w:styleId="Rodap">
    <w:name w:val="Footer"/>
    <w:basedOn w:val="CabealhoeRodap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LibreOffice/7.2.5.2$Windows_X86_64 LibreOffice_project/499f9727c189e6ef3471021d6132d4c694f357e5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2026-08-04T21:56:23Z</dcterms:created>
  <dc:creator>Un-named</dc:creator>
  <dc:description/>
  <dc:language>pt-BR</dc:language>
  <cp:lastModifiedBy/>
  <dcterms:modified xsi:type="dcterms:W3CDTF">2026-08-04T18:22:57Z</dcterms:modified>
  <cp:revision>1</cp:revision>
  <dc:subject/>
  <dc:title/>
</cp:coreProperties>
</file>