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C4F8" w14:textId="77777777" w:rsidR="0006759F" w:rsidRPr="00346460" w:rsidRDefault="0006759F" w:rsidP="0006759F">
      <w:pPr>
        <w:widowControl w:val="0"/>
        <w:autoSpaceDE w:val="0"/>
        <w:autoSpaceDN w:val="0"/>
        <w:adjustRightInd w:val="0"/>
        <w:jc w:val="center"/>
        <w:rPr>
          <w:rFonts w:ascii="Arial" w:hAnsi="Arial" w:cs="Arial"/>
          <w:b/>
          <w:bCs/>
          <w:noProof w:val="0"/>
          <w:sz w:val="24"/>
          <w:szCs w:val="24"/>
        </w:rPr>
      </w:pPr>
      <w:r w:rsidRPr="00346460">
        <w:rPr>
          <w:rFonts w:ascii="Arial" w:hAnsi="Arial" w:cs="Arial"/>
          <w:b/>
          <w:bCs/>
          <w:noProof w:val="0"/>
          <w:sz w:val="24"/>
          <w:szCs w:val="24"/>
        </w:rPr>
        <w:t>ANEXO I: Memoria científico-técnica</w:t>
      </w:r>
    </w:p>
    <w:p w14:paraId="65FC3113" w14:textId="77777777" w:rsidR="0006759F" w:rsidRPr="00346460" w:rsidRDefault="0006759F" w:rsidP="0006759F">
      <w:pPr>
        <w:widowControl w:val="0"/>
        <w:autoSpaceDE w:val="0"/>
        <w:autoSpaceDN w:val="0"/>
        <w:adjustRightInd w:val="0"/>
        <w:jc w:val="both"/>
        <w:rPr>
          <w:rFonts w:ascii="Arial" w:hAnsi="Arial" w:cs="Arial"/>
          <w:noProof w:val="0"/>
          <w:sz w:val="24"/>
          <w:szCs w:val="24"/>
        </w:rPr>
      </w:pPr>
    </w:p>
    <w:p w14:paraId="16F3994B" w14:textId="77777777" w:rsidR="0006759F" w:rsidRDefault="0006759F" w:rsidP="0006759F">
      <w:pPr>
        <w:widowControl w:val="0"/>
        <w:numPr>
          <w:ilvl w:val="0"/>
          <w:numId w:val="1"/>
        </w:numPr>
        <w:autoSpaceDE w:val="0"/>
        <w:autoSpaceDN w:val="0"/>
        <w:adjustRightInd w:val="0"/>
        <w:jc w:val="both"/>
        <w:rPr>
          <w:rFonts w:ascii="Arial" w:hAnsi="Arial" w:cs="Arial"/>
          <w:b/>
          <w:bCs/>
          <w:noProof w:val="0"/>
          <w:sz w:val="22"/>
          <w:szCs w:val="22"/>
        </w:rPr>
      </w:pPr>
      <w:r w:rsidRPr="00411067">
        <w:rPr>
          <w:rFonts w:ascii="Arial" w:hAnsi="Arial" w:cs="Arial"/>
          <w:b/>
          <w:bCs/>
          <w:noProof w:val="0"/>
          <w:sz w:val="22"/>
          <w:szCs w:val="22"/>
        </w:rPr>
        <w:t>Introducción y Justificación</w:t>
      </w:r>
    </w:p>
    <w:p w14:paraId="1A4CA199" w14:textId="77777777" w:rsidR="0006759F" w:rsidRPr="00411067" w:rsidRDefault="0006759F" w:rsidP="0006759F">
      <w:pPr>
        <w:widowControl w:val="0"/>
        <w:autoSpaceDE w:val="0"/>
        <w:autoSpaceDN w:val="0"/>
        <w:adjustRightInd w:val="0"/>
        <w:ind w:left="720"/>
        <w:jc w:val="both"/>
        <w:rPr>
          <w:rFonts w:ascii="Arial" w:hAnsi="Arial" w:cs="Arial"/>
          <w:b/>
          <w:bCs/>
          <w:noProof w:val="0"/>
          <w:sz w:val="22"/>
          <w:szCs w:val="22"/>
        </w:rPr>
      </w:pPr>
    </w:p>
    <w:p w14:paraId="08E02BC6" w14:textId="77777777" w:rsidR="0006759F" w:rsidRPr="00411067" w:rsidRDefault="0006759F" w:rsidP="0006759F">
      <w:pPr>
        <w:widowControl w:val="0"/>
        <w:autoSpaceDE w:val="0"/>
        <w:autoSpaceDN w:val="0"/>
        <w:adjustRightInd w:val="0"/>
        <w:jc w:val="both"/>
        <w:rPr>
          <w:rFonts w:ascii="Arial" w:hAnsi="Arial" w:cs="Arial"/>
          <w:noProof w:val="0"/>
          <w:sz w:val="22"/>
          <w:szCs w:val="22"/>
        </w:rPr>
      </w:pPr>
      <w:r w:rsidRPr="00411067">
        <w:rPr>
          <w:rFonts w:ascii="Arial" w:hAnsi="Arial" w:cs="Arial"/>
          <w:noProof w:val="0"/>
          <w:sz w:val="22"/>
          <w:szCs w:val="22"/>
        </w:rPr>
        <w:t xml:space="preserve">El presente proyecto tiene como objetivo el diseño, construcción e implementación del Índice de Prosperidad Andaluz (IPA27), un indicador compuesto multidimensional que permite medir la prosperidad regional de Andalucía desde una perspectiva holística, superando las limitaciones de las métricas puramente económicas como el PIB. El proyecto se inspira en el </w:t>
      </w:r>
      <w:proofErr w:type="spellStart"/>
      <w:r w:rsidRPr="00411067">
        <w:rPr>
          <w:rFonts w:ascii="Arial" w:hAnsi="Arial" w:cs="Arial"/>
          <w:noProof w:val="0"/>
          <w:sz w:val="22"/>
          <w:szCs w:val="22"/>
        </w:rPr>
        <w:t>Legatum</w:t>
      </w:r>
      <w:proofErr w:type="spellEnd"/>
      <w:r w:rsidRPr="00411067">
        <w:rPr>
          <w:rFonts w:ascii="Arial" w:hAnsi="Arial" w:cs="Arial"/>
          <w:noProof w:val="0"/>
          <w:sz w:val="22"/>
          <w:szCs w:val="22"/>
        </w:rPr>
        <w:t xml:space="preserve"> Prosperity </w:t>
      </w:r>
      <w:proofErr w:type="spellStart"/>
      <w:r w:rsidRPr="00411067">
        <w:rPr>
          <w:rFonts w:ascii="Arial" w:hAnsi="Arial" w:cs="Arial"/>
          <w:noProof w:val="0"/>
          <w:sz w:val="22"/>
          <w:szCs w:val="22"/>
        </w:rPr>
        <w:t>Index</w:t>
      </w:r>
      <w:proofErr w:type="spellEnd"/>
      <w:r w:rsidRPr="00411067">
        <w:rPr>
          <w:rFonts w:ascii="Arial" w:hAnsi="Arial" w:cs="Arial"/>
          <w:noProof w:val="0"/>
          <w:sz w:val="22"/>
          <w:szCs w:val="22"/>
        </w:rPr>
        <w:t>, adaptando su metodología a las especificidades del sistema estadístico español y andaluz.</w:t>
      </w:r>
    </w:p>
    <w:p w14:paraId="1AFBFF75" w14:textId="77777777" w:rsidR="0006759F" w:rsidRDefault="0006759F" w:rsidP="0006759F">
      <w:pPr>
        <w:widowControl w:val="0"/>
        <w:autoSpaceDE w:val="0"/>
        <w:autoSpaceDN w:val="0"/>
        <w:adjustRightInd w:val="0"/>
        <w:jc w:val="both"/>
        <w:rPr>
          <w:rFonts w:ascii="Arial" w:hAnsi="Arial" w:cs="Arial"/>
          <w:noProof w:val="0"/>
          <w:sz w:val="22"/>
          <w:szCs w:val="22"/>
        </w:rPr>
      </w:pPr>
    </w:p>
    <w:p w14:paraId="5083EBA4" w14:textId="77777777" w:rsidR="0006759F" w:rsidRPr="00411067" w:rsidRDefault="0006759F" w:rsidP="0006759F">
      <w:pPr>
        <w:widowControl w:val="0"/>
        <w:autoSpaceDE w:val="0"/>
        <w:autoSpaceDN w:val="0"/>
        <w:adjustRightInd w:val="0"/>
        <w:jc w:val="both"/>
        <w:rPr>
          <w:rFonts w:ascii="Arial" w:hAnsi="Arial" w:cs="Arial"/>
          <w:noProof w:val="0"/>
          <w:sz w:val="22"/>
          <w:szCs w:val="22"/>
        </w:rPr>
      </w:pPr>
      <w:r w:rsidRPr="00411067">
        <w:rPr>
          <w:rFonts w:ascii="Arial" w:hAnsi="Arial" w:cs="Arial"/>
          <w:noProof w:val="0"/>
          <w:sz w:val="22"/>
          <w:szCs w:val="22"/>
        </w:rPr>
        <w:t>La necesidad de este indicador radica en la divergencia observada entre los indicadores macroeconómicos de Andalucía (frecuentemente por debajo de la media europea) y sus indicadores de calidad de vida, capital relacional y patrimonio cultural. Un índice comprehensivo permitirá a los responsables políticos identificar fortalezas y debilidades estructurales, facilitando el diseño de políticas públicas basadas en evidencia.</w:t>
      </w:r>
    </w:p>
    <w:p w14:paraId="6FF3DEFF" w14:textId="77777777" w:rsidR="0006759F" w:rsidRDefault="0006759F" w:rsidP="0006759F">
      <w:pPr>
        <w:widowControl w:val="0"/>
        <w:autoSpaceDE w:val="0"/>
        <w:autoSpaceDN w:val="0"/>
        <w:adjustRightInd w:val="0"/>
        <w:jc w:val="both"/>
        <w:rPr>
          <w:rFonts w:ascii="Arial" w:hAnsi="Arial" w:cs="Arial"/>
          <w:noProof w:val="0"/>
          <w:sz w:val="22"/>
          <w:szCs w:val="22"/>
        </w:rPr>
      </w:pPr>
    </w:p>
    <w:p w14:paraId="79BED678" w14:textId="77777777" w:rsidR="0006759F" w:rsidRPr="00411067" w:rsidRDefault="0006759F" w:rsidP="0006759F">
      <w:pPr>
        <w:widowControl w:val="0"/>
        <w:numPr>
          <w:ilvl w:val="0"/>
          <w:numId w:val="1"/>
        </w:numPr>
        <w:autoSpaceDE w:val="0"/>
        <w:autoSpaceDN w:val="0"/>
        <w:adjustRightInd w:val="0"/>
        <w:jc w:val="both"/>
        <w:rPr>
          <w:rFonts w:ascii="Arial" w:hAnsi="Arial" w:cs="Arial"/>
          <w:b/>
          <w:bCs/>
          <w:noProof w:val="0"/>
          <w:sz w:val="22"/>
          <w:szCs w:val="22"/>
        </w:rPr>
      </w:pPr>
      <w:r w:rsidRPr="00411067">
        <w:rPr>
          <w:rFonts w:ascii="Arial" w:hAnsi="Arial" w:cs="Arial"/>
          <w:b/>
          <w:bCs/>
          <w:noProof w:val="0"/>
          <w:sz w:val="22"/>
          <w:szCs w:val="22"/>
        </w:rPr>
        <w:t>Arquitectura del IPA27</w:t>
      </w:r>
    </w:p>
    <w:p w14:paraId="2936A0EC" w14:textId="77777777" w:rsidR="0006759F" w:rsidRDefault="0006759F" w:rsidP="0006759F">
      <w:pPr>
        <w:widowControl w:val="0"/>
        <w:autoSpaceDE w:val="0"/>
        <w:autoSpaceDN w:val="0"/>
        <w:adjustRightInd w:val="0"/>
        <w:jc w:val="both"/>
        <w:rPr>
          <w:rFonts w:ascii="Arial" w:hAnsi="Arial" w:cs="Arial"/>
          <w:noProof w:val="0"/>
          <w:sz w:val="22"/>
          <w:szCs w:val="22"/>
        </w:rPr>
      </w:pPr>
      <w:r w:rsidRPr="00411067">
        <w:rPr>
          <w:rFonts w:ascii="Arial" w:hAnsi="Arial" w:cs="Arial"/>
          <w:noProof w:val="0"/>
          <w:sz w:val="22"/>
          <w:szCs w:val="22"/>
        </w:rPr>
        <w:t xml:space="preserve">El IPA27 se estructura en un modelo "3-12-27" que comprende tres dominios principales: Sociedades Inclusivas (seguridad, libertad personal, gobernanza y capital social), Economías Abiertas (entorno de inversión, condiciones empresariales, infraestructura y calidad económica), y Personas Empoderadas (condiciones de vida, salud, educación y medio ambiente). Estos 12 pilares se operativizan mediante 27 indicadores de frecuencia mixta, permitiendo tanto análisis estructurales anuales como seguimiento coyuntural trimestral mediante técnicas de </w:t>
      </w:r>
      <w:proofErr w:type="spellStart"/>
      <w:r w:rsidRPr="00411067">
        <w:rPr>
          <w:rFonts w:ascii="Arial" w:hAnsi="Arial" w:cs="Arial"/>
          <w:noProof w:val="0"/>
          <w:sz w:val="22"/>
          <w:szCs w:val="22"/>
        </w:rPr>
        <w:t>nowcasting</w:t>
      </w:r>
      <w:proofErr w:type="spellEnd"/>
      <w:r w:rsidRPr="00411067">
        <w:rPr>
          <w:rFonts w:ascii="Arial" w:hAnsi="Arial" w:cs="Arial"/>
          <w:noProof w:val="0"/>
          <w:sz w:val="22"/>
          <w:szCs w:val="22"/>
        </w:rPr>
        <w:t>.</w:t>
      </w:r>
    </w:p>
    <w:p w14:paraId="2FC843CB" w14:textId="77777777" w:rsidR="0006759F" w:rsidRPr="00411067" w:rsidRDefault="0006759F" w:rsidP="0006759F">
      <w:pPr>
        <w:widowControl w:val="0"/>
        <w:autoSpaceDE w:val="0"/>
        <w:autoSpaceDN w:val="0"/>
        <w:adjustRightInd w:val="0"/>
        <w:jc w:val="both"/>
        <w:rPr>
          <w:rFonts w:ascii="Arial" w:hAnsi="Arial" w:cs="Arial"/>
          <w:noProof w:val="0"/>
          <w:sz w:val="22"/>
          <w:szCs w:val="22"/>
        </w:rPr>
      </w:pPr>
    </w:p>
    <w:p w14:paraId="30DD9638" w14:textId="77777777" w:rsidR="0006759F" w:rsidRPr="00411067" w:rsidRDefault="0006759F" w:rsidP="0006759F">
      <w:pPr>
        <w:widowControl w:val="0"/>
        <w:numPr>
          <w:ilvl w:val="0"/>
          <w:numId w:val="1"/>
        </w:numPr>
        <w:autoSpaceDE w:val="0"/>
        <w:autoSpaceDN w:val="0"/>
        <w:adjustRightInd w:val="0"/>
        <w:jc w:val="both"/>
        <w:rPr>
          <w:rFonts w:ascii="Arial" w:hAnsi="Arial" w:cs="Arial"/>
          <w:b/>
          <w:bCs/>
          <w:noProof w:val="0"/>
          <w:sz w:val="22"/>
          <w:szCs w:val="22"/>
        </w:rPr>
      </w:pPr>
      <w:r w:rsidRPr="00411067">
        <w:rPr>
          <w:rFonts w:ascii="Arial" w:hAnsi="Arial" w:cs="Arial"/>
          <w:b/>
          <w:bCs/>
          <w:noProof w:val="0"/>
          <w:sz w:val="22"/>
          <w:szCs w:val="22"/>
        </w:rPr>
        <w:t>Metodología Estadística</w:t>
      </w:r>
    </w:p>
    <w:p w14:paraId="3FD8A328" w14:textId="77777777" w:rsidR="0006759F" w:rsidRDefault="0006759F" w:rsidP="0006759F">
      <w:pPr>
        <w:widowControl w:val="0"/>
        <w:autoSpaceDE w:val="0"/>
        <w:autoSpaceDN w:val="0"/>
        <w:adjustRightInd w:val="0"/>
        <w:jc w:val="both"/>
        <w:rPr>
          <w:rFonts w:ascii="Arial" w:hAnsi="Arial" w:cs="Arial"/>
          <w:noProof w:val="0"/>
          <w:sz w:val="22"/>
          <w:szCs w:val="22"/>
        </w:rPr>
      </w:pPr>
      <w:r w:rsidRPr="00411067">
        <w:rPr>
          <w:rFonts w:ascii="Arial" w:hAnsi="Arial" w:cs="Arial"/>
          <w:noProof w:val="0"/>
          <w:sz w:val="22"/>
          <w:szCs w:val="22"/>
        </w:rPr>
        <w:t>La metodología contempla cuatro fases: (1) recopilación y depuración de datos desde fuentes oficiales (INE, IECA, CENTRA, ministerios); (2) imputación de valores faltantes mediante interpolación lineal, regresión y LOCF; (3) normalización mediante el método Min-Max (distancia a la frontera) para transformar todos los indicadores a escala 0-100; y (4) agregación mediante media aritmética dentro de los pilares y media geométrica entre pilares, penalizando así el desempeño desigual y orientando las políticas hacia la corrección de debilidades críticas.</w:t>
      </w:r>
      <w:r>
        <w:rPr>
          <w:rFonts w:ascii="Arial" w:hAnsi="Arial" w:cs="Arial"/>
          <w:noProof w:val="0"/>
          <w:sz w:val="22"/>
          <w:szCs w:val="22"/>
        </w:rPr>
        <w:t xml:space="preserve"> No obstante, la metodología final propuesta dependerá de la evolución de los procesos, la calidad de las fuentes y la disponibilidad de </w:t>
      </w:r>
      <w:proofErr w:type="gramStart"/>
      <w:r>
        <w:rPr>
          <w:rFonts w:ascii="Arial" w:hAnsi="Arial" w:cs="Arial"/>
          <w:noProof w:val="0"/>
          <w:sz w:val="22"/>
          <w:szCs w:val="22"/>
        </w:rPr>
        <w:t>los mismos</w:t>
      </w:r>
      <w:proofErr w:type="gramEnd"/>
      <w:r>
        <w:rPr>
          <w:rFonts w:ascii="Arial" w:hAnsi="Arial" w:cs="Arial"/>
          <w:noProof w:val="0"/>
          <w:sz w:val="22"/>
          <w:szCs w:val="22"/>
        </w:rPr>
        <w:t>.</w:t>
      </w:r>
    </w:p>
    <w:p w14:paraId="74F813F0" w14:textId="77777777" w:rsidR="0006759F" w:rsidRPr="00411067" w:rsidRDefault="0006759F" w:rsidP="0006759F">
      <w:pPr>
        <w:widowControl w:val="0"/>
        <w:autoSpaceDE w:val="0"/>
        <w:autoSpaceDN w:val="0"/>
        <w:adjustRightInd w:val="0"/>
        <w:jc w:val="both"/>
        <w:rPr>
          <w:rFonts w:ascii="Arial" w:hAnsi="Arial" w:cs="Arial"/>
          <w:noProof w:val="0"/>
          <w:sz w:val="22"/>
          <w:szCs w:val="22"/>
        </w:rPr>
      </w:pPr>
    </w:p>
    <w:p w14:paraId="6C21D94B" w14:textId="77777777" w:rsidR="0006759F" w:rsidRPr="00411067" w:rsidRDefault="0006759F" w:rsidP="0006759F">
      <w:pPr>
        <w:widowControl w:val="0"/>
        <w:numPr>
          <w:ilvl w:val="0"/>
          <w:numId w:val="1"/>
        </w:numPr>
        <w:autoSpaceDE w:val="0"/>
        <w:autoSpaceDN w:val="0"/>
        <w:adjustRightInd w:val="0"/>
        <w:jc w:val="both"/>
        <w:rPr>
          <w:rFonts w:ascii="Arial" w:hAnsi="Arial" w:cs="Arial"/>
          <w:b/>
          <w:bCs/>
          <w:noProof w:val="0"/>
          <w:sz w:val="22"/>
          <w:szCs w:val="22"/>
        </w:rPr>
      </w:pPr>
      <w:r w:rsidRPr="00411067">
        <w:rPr>
          <w:rFonts w:ascii="Arial" w:hAnsi="Arial" w:cs="Arial"/>
          <w:b/>
          <w:bCs/>
          <w:noProof w:val="0"/>
          <w:sz w:val="22"/>
          <w:szCs w:val="22"/>
        </w:rPr>
        <w:t>Fuentes de Datos</w:t>
      </w:r>
    </w:p>
    <w:p w14:paraId="6999FCDE" w14:textId="77777777" w:rsidR="0006759F" w:rsidRDefault="0006759F" w:rsidP="0006759F">
      <w:pPr>
        <w:widowControl w:val="0"/>
        <w:autoSpaceDE w:val="0"/>
        <w:autoSpaceDN w:val="0"/>
        <w:adjustRightInd w:val="0"/>
        <w:jc w:val="both"/>
        <w:rPr>
          <w:rFonts w:ascii="Arial" w:hAnsi="Arial" w:cs="Arial"/>
          <w:noProof w:val="0"/>
          <w:sz w:val="22"/>
          <w:szCs w:val="22"/>
        </w:rPr>
      </w:pPr>
      <w:r w:rsidRPr="00411067">
        <w:rPr>
          <w:rFonts w:ascii="Arial" w:hAnsi="Arial" w:cs="Arial"/>
          <w:noProof w:val="0"/>
          <w:sz w:val="22"/>
          <w:szCs w:val="22"/>
        </w:rPr>
        <w:t>El sistema de ingesta automatizada accede a las siguientes fuentes: API Tempus del INE para series temporales estructuradas, sistema JAXI del INE para tablas estáticas, Portal Estadístico de Criminalidad del Ministerio del Interior, IECA para datos demográficos y económicos regionales, Barómetro del CENTRA para indicadores de gobernanza y confianza, y fuentes sectoriales (MITECO, Red Eléctrica, Ministerio de Sanidad) para indicadores medioambientales y sanitarios.</w:t>
      </w:r>
    </w:p>
    <w:p w14:paraId="5386BCC5" w14:textId="77777777" w:rsidR="0006759F" w:rsidRPr="00411067" w:rsidRDefault="0006759F" w:rsidP="0006759F">
      <w:pPr>
        <w:widowControl w:val="0"/>
        <w:autoSpaceDE w:val="0"/>
        <w:autoSpaceDN w:val="0"/>
        <w:adjustRightInd w:val="0"/>
        <w:jc w:val="both"/>
        <w:rPr>
          <w:rFonts w:ascii="Arial" w:hAnsi="Arial" w:cs="Arial"/>
          <w:noProof w:val="0"/>
          <w:sz w:val="22"/>
          <w:szCs w:val="22"/>
        </w:rPr>
      </w:pPr>
    </w:p>
    <w:p w14:paraId="7304AF86" w14:textId="77777777" w:rsidR="0006759F" w:rsidRPr="00411067" w:rsidRDefault="0006759F" w:rsidP="0006759F">
      <w:pPr>
        <w:widowControl w:val="0"/>
        <w:numPr>
          <w:ilvl w:val="0"/>
          <w:numId w:val="1"/>
        </w:numPr>
        <w:autoSpaceDE w:val="0"/>
        <w:autoSpaceDN w:val="0"/>
        <w:adjustRightInd w:val="0"/>
        <w:jc w:val="both"/>
        <w:rPr>
          <w:rFonts w:ascii="Arial" w:hAnsi="Arial" w:cs="Arial"/>
          <w:b/>
          <w:bCs/>
          <w:noProof w:val="0"/>
          <w:sz w:val="22"/>
          <w:szCs w:val="22"/>
        </w:rPr>
      </w:pPr>
      <w:r w:rsidRPr="00411067">
        <w:rPr>
          <w:rFonts w:ascii="Arial" w:hAnsi="Arial" w:cs="Arial"/>
          <w:b/>
          <w:bCs/>
          <w:noProof w:val="0"/>
          <w:sz w:val="22"/>
          <w:szCs w:val="22"/>
        </w:rPr>
        <w:t>Entregables y Cronograma</w:t>
      </w:r>
    </w:p>
    <w:p w14:paraId="15CE9F58" w14:textId="77777777" w:rsidR="0006759F" w:rsidRPr="00FD75C0" w:rsidRDefault="0006759F" w:rsidP="0006759F">
      <w:pPr>
        <w:widowControl w:val="0"/>
        <w:autoSpaceDE w:val="0"/>
        <w:autoSpaceDN w:val="0"/>
        <w:adjustRightInd w:val="0"/>
        <w:jc w:val="both"/>
        <w:rPr>
          <w:rFonts w:ascii="Arial" w:hAnsi="Arial" w:cs="Arial"/>
          <w:b/>
          <w:bCs/>
          <w:noProof w:val="0"/>
          <w:sz w:val="24"/>
          <w:szCs w:val="24"/>
        </w:rPr>
      </w:pPr>
      <w:r w:rsidRPr="00411067">
        <w:rPr>
          <w:rFonts w:ascii="Arial" w:hAnsi="Arial" w:cs="Arial"/>
          <w:noProof w:val="0"/>
          <w:sz w:val="22"/>
          <w:szCs w:val="22"/>
        </w:rPr>
        <w:t xml:space="preserve">El proyecto, con una duración de </w:t>
      </w:r>
      <w:r>
        <w:rPr>
          <w:rFonts w:ascii="Arial" w:hAnsi="Arial" w:cs="Arial"/>
          <w:noProof w:val="0"/>
          <w:sz w:val="22"/>
          <w:szCs w:val="22"/>
        </w:rPr>
        <w:t>12</w:t>
      </w:r>
      <w:r w:rsidRPr="00411067">
        <w:rPr>
          <w:rFonts w:ascii="Arial" w:hAnsi="Arial" w:cs="Arial"/>
          <w:noProof w:val="0"/>
          <w:sz w:val="22"/>
          <w:szCs w:val="22"/>
        </w:rPr>
        <w:t xml:space="preserve"> meses, generará: documentación de arquitectura validada, base de datos histórica desde 201</w:t>
      </w:r>
      <w:r>
        <w:rPr>
          <w:rFonts w:ascii="Arial" w:hAnsi="Arial" w:cs="Arial"/>
          <w:noProof w:val="0"/>
          <w:sz w:val="22"/>
          <w:szCs w:val="22"/>
        </w:rPr>
        <w:t>6 o en su defecto desde el primer año en el que se disponga de una masa crítica viable de indicadores que permitan una mínima calidad del IPA27</w:t>
      </w:r>
      <w:r w:rsidRPr="00411067">
        <w:rPr>
          <w:rFonts w:ascii="Arial" w:hAnsi="Arial" w:cs="Arial"/>
          <w:noProof w:val="0"/>
          <w:sz w:val="22"/>
          <w:szCs w:val="22"/>
        </w:rPr>
        <w:t>, algoritmos de ingesta automatizada en Python, metodología de cálculo calibrada, prototipo funcional del IPA27 con comparativas Andalucía-España, y memoria metodológica completa para garantizar la replicabilidad y actualización periódica del índice.</w:t>
      </w:r>
    </w:p>
    <w:p w14:paraId="32C3A998" w14:textId="77777777" w:rsidR="0006759F" w:rsidRPr="00FD75C0" w:rsidRDefault="0006759F" w:rsidP="0006759F">
      <w:pPr>
        <w:widowControl w:val="0"/>
        <w:autoSpaceDE w:val="0"/>
        <w:autoSpaceDN w:val="0"/>
        <w:adjustRightInd w:val="0"/>
        <w:jc w:val="both"/>
        <w:rPr>
          <w:rFonts w:ascii="Arial" w:hAnsi="Arial" w:cs="Arial"/>
          <w:b/>
          <w:bCs/>
          <w:noProof w:val="0"/>
          <w:sz w:val="24"/>
          <w:szCs w:val="24"/>
        </w:rPr>
      </w:pPr>
    </w:p>
    <w:p w14:paraId="3F9331AB" w14:textId="77777777" w:rsidR="00EC2496" w:rsidRDefault="00EC2496"/>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195"/>
    <w:multiLevelType w:val="hybridMultilevel"/>
    <w:tmpl w:val="A61AC8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131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59F"/>
    <w:rsid w:val="0006759F"/>
    <w:rsid w:val="00263079"/>
    <w:rsid w:val="003E7540"/>
    <w:rsid w:val="00A713E8"/>
    <w:rsid w:val="00AD43F2"/>
    <w:rsid w:val="00B07B4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5B59"/>
  <w15:chartTrackingRefBased/>
  <w15:docId w15:val="{0B9305B3-71E9-47D5-8884-E0879532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59F"/>
    <w:pPr>
      <w:spacing w:after="0" w:line="240" w:lineRule="auto"/>
    </w:pPr>
    <w:rPr>
      <w:rFonts w:ascii="CG Times" w:eastAsia="Times New Roman" w:hAnsi="CG Times" w:cs="Times New Roman"/>
      <w:noProof/>
      <w:kern w:val="0"/>
      <w:sz w:val="20"/>
      <w:szCs w:val="20"/>
      <w:lang w:eastAsia="es-ES"/>
      <w14:ligatures w14:val="none"/>
    </w:rPr>
  </w:style>
  <w:style w:type="paragraph" w:styleId="Ttulo1">
    <w:name w:val="heading 1"/>
    <w:basedOn w:val="Normal"/>
    <w:next w:val="Normal"/>
    <w:link w:val="Ttulo1Car"/>
    <w:uiPriority w:val="9"/>
    <w:qFormat/>
    <w:rsid w:val="0006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75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75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75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759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759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759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759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75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75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75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75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75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75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75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75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759F"/>
    <w:rPr>
      <w:rFonts w:eastAsiaTheme="majorEastAsia" w:cstheme="majorBidi"/>
      <w:color w:val="272727" w:themeColor="text1" w:themeTint="D8"/>
    </w:rPr>
  </w:style>
  <w:style w:type="paragraph" w:styleId="Ttulo">
    <w:name w:val="Title"/>
    <w:basedOn w:val="Normal"/>
    <w:next w:val="Normal"/>
    <w:link w:val="TtuloCar"/>
    <w:uiPriority w:val="10"/>
    <w:qFormat/>
    <w:rsid w:val="0006759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75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75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75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759F"/>
    <w:pPr>
      <w:spacing w:before="160"/>
      <w:jc w:val="center"/>
    </w:pPr>
    <w:rPr>
      <w:i/>
      <w:iCs/>
      <w:color w:val="404040" w:themeColor="text1" w:themeTint="BF"/>
    </w:rPr>
  </w:style>
  <w:style w:type="character" w:customStyle="1" w:styleId="CitaCar">
    <w:name w:val="Cita Car"/>
    <w:basedOn w:val="Fuentedeprrafopredeter"/>
    <w:link w:val="Cita"/>
    <w:uiPriority w:val="29"/>
    <w:rsid w:val="0006759F"/>
    <w:rPr>
      <w:i/>
      <w:iCs/>
      <w:color w:val="404040" w:themeColor="text1" w:themeTint="BF"/>
    </w:rPr>
  </w:style>
  <w:style w:type="paragraph" w:styleId="Prrafodelista">
    <w:name w:val="List Paragraph"/>
    <w:basedOn w:val="Normal"/>
    <w:uiPriority w:val="34"/>
    <w:qFormat/>
    <w:rsid w:val="0006759F"/>
    <w:pPr>
      <w:ind w:left="720"/>
      <w:contextualSpacing/>
    </w:pPr>
  </w:style>
  <w:style w:type="character" w:styleId="nfasisintenso">
    <w:name w:val="Intense Emphasis"/>
    <w:basedOn w:val="Fuentedeprrafopredeter"/>
    <w:uiPriority w:val="21"/>
    <w:qFormat/>
    <w:rsid w:val="0006759F"/>
    <w:rPr>
      <w:i/>
      <w:iCs/>
      <w:color w:val="0F4761" w:themeColor="accent1" w:themeShade="BF"/>
    </w:rPr>
  </w:style>
  <w:style w:type="paragraph" w:styleId="Citadestacada">
    <w:name w:val="Intense Quote"/>
    <w:basedOn w:val="Normal"/>
    <w:next w:val="Normal"/>
    <w:link w:val="CitadestacadaCar"/>
    <w:uiPriority w:val="30"/>
    <w:qFormat/>
    <w:rsid w:val="0006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759F"/>
    <w:rPr>
      <w:i/>
      <w:iCs/>
      <w:color w:val="0F4761" w:themeColor="accent1" w:themeShade="BF"/>
    </w:rPr>
  </w:style>
  <w:style w:type="character" w:styleId="Referenciaintensa">
    <w:name w:val="Intense Reference"/>
    <w:basedOn w:val="Fuentedeprrafopredeter"/>
    <w:uiPriority w:val="32"/>
    <w:qFormat/>
    <w:rsid w:val="00067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605</Words>
  <Characters>2709</Characters>
  <Application>Microsoft Office Word</Application>
  <DocSecurity>0</DocSecurity>
  <Lines>63</Lines>
  <Paragraphs>35</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2026-01-22T15:20:00Z</dcterms:created>
  <dcterms:modified xsi:type="dcterms:W3CDTF">2026-01-22T15:21:00Z</dcterms:modified>
</cp:coreProperties>
</file>