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04BA" w14:textId="77777777" w:rsidR="006F11A1" w:rsidRPr="006F11A1" w:rsidRDefault="006F11A1" w:rsidP="006F11A1">
      <w:r w:rsidRPr="006F11A1">
        <w:t>Aquí tienes el texto listo para copiar:</w:t>
      </w:r>
    </w:p>
    <w:p w14:paraId="01EA2E03" w14:textId="77777777" w:rsidR="006F11A1" w:rsidRPr="006F11A1" w:rsidRDefault="006F11A1" w:rsidP="006F11A1">
      <w:r w:rsidRPr="006F11A1">
        <w:pict w14:anchorId="1897B053">
          <v:rect id="_x0000_i1037" style="width:0;height:1.5pt" o:hralign="center" o:hrstd="t" o:hr="t" fillcolor="#a0a0a0" stroked="f"/>
        </w:pict>
      </w:r>
    </w:p>
    <w:p w14:paraId="0FF3E5C9" w14:textId="77777777" w:rsidR="006F11A1" w:rsidRPr="006F11A1" w:rsidRDefault="006F11A1" w:rsidP="006F11A1">
      <w:r w:rsidRPr="006F11A1">
        <w:rPr>
          <w:b/>
          <w:bCs/>
        </w:rPr>
        <w:t>METODOLOGÍA: Indicadores de Criminalidad IPA27</w:t>
      </w:r>
    </w:p>
    <w:p w14:paraId="1AC30872" w14:textId="77777777" w:rsidR="006F11A1" w:rsidRPr="006F11A1" w:rsidRDefault="006F11A1" w:rsidP="006F11A1">
      <w:r w:rsidRPr="006F11A1">
        <w:rPr>
          <w:b/>
          <w:bCs/>
        </w:rPr>
        <w:t>1. Fuente de Datos</w:t>
      </w:r>
    </w:p>
    <w:p w14:paraId="4727BF47" w14:textId="77777777" w:rsidR="006F11A1" w:rsidRPr="006F11A1" w:rsidRDefault="006F11A1" w:rsidP="006F11A1">
      <w:r w:rsidRPr="006F11A1">
        <w:t>Portal Estadístico de Criminalidad del Ministerio del Interior</w:t>
      </w:r>
    </w:p>
    <w:p w14:paraId="5AE1D3AB" w14:textId="77777777" w:rsidR="006F11A1" w:rsidRPr="006F11A1" w:rsidRDefault="006F11A1" w:rsidP="006F11A1">
      <w:pPr>
        <w:numPr>
          <w:ilvl w:val="0"/>
          <w:numId w:val="1"/>
        </w:numPr>
        <w:rPr>
          <w:lang w:val="en-US"/>
        </w:rPr>
      </w:pPr>
      <w:r w:rsidRPr="006F11A1">
        <w:rPr>
          <w:lang w:val="en-US"/>
        </w:rPr>
        <w:t>URL: https://estadisticasdecriminalidad.ses.mir.es</w:t>
      </w:r>
    </w:p>
    <w:p w14:paraId="24822EE6" w14:textId="77777777" w:rsidR="006F11A1" w:rsidRPr="006F11A1" w:rsidRDefault="006F11A1" w:rsidP="006F11A1">
      <w:pPr>
        <w:numPr>
          <w:ilvl w:val="0"/>
          <w:numId w:val="1"/>
        </w:numPr>
      </w:pPr>
      <w:r w:rsidRPr="006F11A1">
        <w:t>Formato: CSV con datos trimestrales acumulados dentro de cada año</w:t>
      </w:r>
    </w:p>
    <w:p w14:paraId="314DF6FC" w14:textId="77777777" w:rsidR="006F11A1" w:rsidRPr="006F11A1" w:rsidRDefault="006F11A1" w:rsidP="006F11A1">
      <w:pPr>
        <w:numPr>
          <w:ilvl w:val="0"/>
          <w:numId w:val="1"/>
        </w:numPr>
      </w:pPr>
      <w:r w:rsidRPr="006F11A1">
        <w:t>Cobertura temporal: 2016-Q1 a 2025-Q3</w:t>
      </w:r>
    </w:p>
    <w:p w14:paraId="1708FBB0" w14:textId="77777777" w:rsidR="006F11A1" w:rsidRPr="006F11A1" w:rsidRDefault="006F11A1" w:rsidP="006F11A1">
      <w:r w:rsidRPr="006F11A1">
        <w:rPr>
          <w:b/>
          <w:bCs/>
        </w:rPr>
        <w:t>2. Indicadores Extraídos</w:t>
      </w:r>
    </w:p>
    <w:p w14:paraId="4EAC561E" w14:textId="77777777" w:rsidR="006F11A1" w:rsidRPr="006F11A1" w:rsidRDefault="006F11A1" w:rsidP="006F11A1">
      <w:r w:rsidRPr="006F11A1">
        <w:t>Se extraen tres indicadores de criminalidad para el IPA27:</w:t>
      </w:r>
    </w:p>
    <w:p w14:paraId="4470AC2B" w14:textId="77777777" w:rsidR="006F11A1" w:rsidRPr="006F11A1" w:rsidRDefault="006F11A1" w:rsidP="006F11A1">
      <w:pPr>
        <w:numPr>
          <w:ilvl w:val="0"/>
          <w:numId w:val="2"/>
        </w:numPr>
      </w:pPr>
      <w:r w:rsidRPr="006F11A1">
        <w:t>SEG_CRI (Tasa de Criminalidad Total): Incluye el total de infracciones penales registradas.</w:t>
      </w:r>
    </w:p>
    <w:p w14:paraId="3189BD59" w14:textId="77777777" w:rsidR="006F11A1" w:rsidRPr="006F11A1" w:rsidRDefault="006F11A1" w:rsidP="006F11A1">
      <w:pPr>
        <w:numPr>
          <w:ilvl w:val="0"/>
          <w:numId w:val="2"/>
        </w:numPr>
      </w:pPr>
      <w:r w:rsidRPr="006F11A1">
        <w:t>SEG_BAL (Balance Criminalidad Patrimonial): Suma de hurtos y robos con fuerza en domicilios, establecimientos y otras instalaciones.</w:t>
      </w:r>
    </w:p>
    <w:p w14:paraId="0C31BD00" w14:textId="77777777" w:rsidR="006F11A1" w:rsidRPr="006F11A1" w:rsidRDefault="006F11A1" w:rsidP="006F11A1">
      <w:pPr>
        <w:numPr>
          <w:ilvl w:val="0"/>
          <w:numId w:val="2"/>
        </w:numPr>
      </w:pPr>
      <w:r w:rsidRPr="006F11A1">
        <w:t>LIB_SEX (Delitos contra la Libertad Sexual): Categoría principal de delitos contra la libertad sexual.</w:t>
      </w:r>
    </w:p>
    <w:p w14:paraId="6B2C6F48" w14:textId="77777777" w:rsidR="006F11A1" w:rsidRPr="006F11A1" w:rsidRDefault="006F11A1" w:rsidP="006F11A1">
      <w:r w:rsidRPr="006F11A1">
        <w:rPr>
          <w:b/>
          <w:bCs/>
        </w:rPr>
        <w:t>3. Tratamiento de Datos</w:t>
      </w:r>
    </w:p>
    <w:p w14:paraId="22B60589" w14:textId="77777777" w:rsidR="006F11A1" w:rsidRPr="006F11A1" w:rsidRDefault="006F11A1" w:rsidP="006F11A1">
      <w:r w:rsidRPr="006F11A1">
        <w:rPr>
          <w:i/>
          <w:iCs/>
        </w:rPr>
        <w:t xml:space="preserve">3.1 </w:t>
      </w:r>
      <w:proofErr w:type="spellStart"/>
      <w:r w:rsidRPr="006F11A1">
        <w:rPr>
          <w:i/>
          <w:iCs/>
        </w:rPr>
        <w:t>Desacumulación</w:t>
      </w:r>
      <w:proofErr w:type="spellEnd"/>
    </w:p>
    <w:p w14:paraId="3BFF0D4B" w14:textId="77777777" w:rsidR="006F11A1" w:rsidRPr="006F11A1" w:rsidRDefault="006F11A1" w:rsidP="006F11A1">
      <w:r w:rsidRPr="006F11A1">
        <w:t>Los datos originales del Ministerio del Interior se publican de forma acumulada dentro de cada año natural. Es decir, el valor del segundo trimestre incluye los delitos del primer y segundo trimestre; el valor del tercer trimestre incluye los tres primeros trimestres, y así sucesivamente.</w:t>
      </w:r>
    </w:p>
    <w:p w14:paraId="42ADDCC0" w14:textId="77777777" w:rsidR="006F11A1" w:rsidRPr="006F11A1" w:rsidRDefault="006F11A1" w:rsidP="006F11A1">
      <w:r w:rsidRPr="006F11A1">
        <w:t>Para obtener valores trimestrales puros, se aplica la siguiente transformación:</w:t>
      </w:r>
    </w:p>
    <w:p w14:paraId="22FA77CF" w14:textId="77777777" w:rsidR="006F11A1" w:rsidRPr="006F11A1" w:rsidRDefault="006F11A1" w:rsidP="006F11A1">
      <w:pPr>
        <w:numPr>
          <w:ilvl w:val="0"/>
          <w:numId w:val="3"/>
        </w:numPr>
      </w:pPr>
      <w:r w:rsidRPr="006F11A1">
        <w:t>Primer trimestre: el valor acumulado corresponde al valor trimestral.</w:t>
      </w:r>
    </w:p>
    <w:p w14:paraId="7DD313AA" w14:textId="77777777" w:rsidR="006F11A1" w:rsidRPr="006F11A1" w:rsidRDefault="006F11A1" w:rsidP="006F11A1">
      <w:pPr>
        <w:numPr>
          <w:ilvl w:val="0"/>
          <w:numId w:val="3"/>
        </w:numPr>
      </w:pPr>
      <w:r w:rsidRPr="006F11A1">
        <w:t>Trimestres posteriores: el valor trimestral se calcula restando el acumulado del trimestre anterior al acumulado del trimestre actual.</w:t>
      </w:r>
    </w:p>
    <w:p w14:paraId="25A66E4D" w14:textId="77777777" w:rsidR="006F11A1" w:rsidRPr="006F11A1" w:rsidRDefault="006F11A1" w:rsidP="006F11A1">
      <w:r w:rsidRPr="006F11A1">
        <w:rPr>
          <w:i/>
          <w:iCs/>
        </w:rPr>
        <w:t>3.2 Normalización de Categorías</w:t>
      </w:r>
    </w:p>
    <w:p w14:paraId="7CE23817" w14:textId="77777777" w:rsidR="006F11A1" w:rsidRPr="006F11A1" w:rsidRDefault="006F11A1" w:rsidP="006F11A1">
      <w:r w:rsidRPr="006F11A1">
        <w:t>El Ministerio del Interior modificó la nomenclatura de las categorías delictivas en el cuarto trimestre de 2022. Para mantener la coherencia de las series temporales, se aplica un mapeo que unifica los nombres antiguos y nuevos bajo códigos normalizados:</w:t>
      </w:r>
    </w:p>
    <w:p w14:paraId="0D8ECC6F" w14:textId="77777777" w:rsidR="006F11A1" w:rsidRPr="006F11A1" w:rsidRDefault="006F11A1" w:rsidP="006F11A1">
      <w:r w:rsidRPr="006F11A1">
        <w:t>Delitos contra la libertad sexual:</w:t>
      </w:r>
    </w:p>
    <w:p w14:paraId="3A457E63" w14:textId="77777777" w:rsidR="006F11A1" w:rsidRPr="006F11A1" w:rsidRDefault="006F11A1" w:rsidP="006F11A1">
      <w:pPr>
        <w:numPr>
          <w:ilvl w:val="0"/>
          <w:numId w:val="4"/>
        </w:numPr>
      </w:pPr>
      <w:r w:rsidRPr="006F11A1">
        <w:t>Nombre hasta Q3 2022: "5.-Delitos contra la libertad e indemnidad sexual"</w:t>
      </w:r>
    </w:p>
    <w:p w14:paraId="170E816C" w14:textId="77777777" w:rsidR="006F11A1" w:rsidRPr="006F11A1" w:rsidRDefault="006F11A1" w:rsidP="006F11A1">
      <w:pPr>
        <w:numPr>
          <w:ilvl w:val="0"/>
          <w:numId w:val="4"/>
        </w:numPr>
      </w:pPr>
      <w:r w:rsidRPr="006F11A1">
        <w:t>Nombre desde Q4 2022: "5. Delitos contra la libertad sexual"</w:t>
      </w:r>
    </w:p>
    <w:p w14:paraId="2287BD77" w14:textId="77777777" w:rsidR="006F11A1" w:rsidRPr="006F11A1" w:rsidRDefault="006F11A1" w:rsidP="006F11A1">
      <w:pPr>
        <w:numPr>
          <w:ilvl w:val="0"/>
          <w:numId w:val="4"/>
        </w:numPr>
      </w:pPr>
      <w:r w:rsidRPr="006F11A1">
        <w:t>Código normalizado: LIBERTAD_SEXUAL</w:t>
      </w:r>
    </w:p>
    <w:p w14:paraId="4C7C3EAB" w14:textId="77777777" w:rsidR="006F11A1" w:rsidRPr="006F11A1" w:rsidRDefault="006F11A1" w:rsidP="006F11A1">
      <w:r w:rsidRPr="006F11A1">
        <w:lastRenderedPageBreak/>
        <w:t>Hurtos:</w:t>
      </w:r>
    </w:p>
    <w:p w14:paraId="557D080D" w14:textId="77777777" w:rsidR="006F11A1" w:rsidRPr="006F11A1" w:rsidRDefault="006F11A1" w:rsidP="006F11A1">
      <w:pPr>
        <w:numPr>
          <w:ilvl w:val="0"/>
          <w:numId w:val="5"/>
        </w:numPr>
      </w:pPr>
      <w:r w:rsidRPr="006F11A1">
        <w:t>Nombre hasta Q3 2022: "8.-Hurtos"</w:t>
      </w:r>
    </w:p>
    <w:p w14:paraId="38AAC413" w14:textId="77777777" w:rsidR="006F11A1" w:rsidRPr="006F11A1" w:rsidRDefault="006F11A1" w:rsidP="006F11A1">
      <w:pPr>
        <w:numPr>
          <w:ilvl w:val="0"/>
          <w:numId w:val="5"/>
        </w:numPr>
      </w:pPr>
      <w:r w:rsidRPr="006F11A1">
        <w:t>Nombre desde Q4 2022: "8. Hurtos"</w:t>
      </w:r>
    </w:p>
    <w:p w14:paraId="0A30CF38" w14:textId="77777777" w:rsidR="006F11A1" w:rsidRPr="006F11A1" w:rsidRDefault="006F11A1" w:rsidP="006F11A1">
      <w:pPr>
        <w:numPr>
          <w:ilvl w:val="0"/>
          <w:numId w:val="5"/>
        </w:numPr>
      </w:pPr>
      <w:r w:rsidRPr="006F11A1">
        <w:t>Código normalizado: HURTOS</w:t>
      </w:r>
    </w:p>
    <w:p w14:paraId="0D8A414F" w14:textId="77777777" w:rsidR="006F11A1" w:rsidRPr="006F11A1" w:rsidRDefault="006F11A1" w:rsidP="006F11A1">
      <w:r w:rsidRPr="006F11A1">
        <w:t>Robos con fuerza:</w:t>
      </w:r>
    </w:p>
    <w:p w14:paraId="0BF81C64" w14:textId="77777777" w:rsidR="006F11A1" w:rsidRPr="006F11A1" w:rsidRDefault="006F11A1" w:rsidP="006F11A1">
      <w:pPr>
        <w:numPr>
          <w:ilvl w:val="0"/>
          <w:numId w:val="6"/>
        </w:numPr>
      </w:pPr>
      <w:r w:rsidRPr="006F11A1">
        <w:t>Nombre hasta Q3 2022: "7.- Robos con fuerza en domicilios, establecimientos y otras instalaciones"</w:t>
      </w:r>
    </w:p>
    <w:p w14:paraId="4865CDA4" w14:textId="77777777" w:rsidR="006F11A1" w:rsidRPr="006F11A1" w:rsidRDefault="006F11A1" w:rsidP="006F11A1">
      <w:pPr>
        <w:numPr>
          <w:ilvl w:val="0"/>
          <w:numId w:val="6"/>
        </w:numPr>
      </w:pPr>
      <w:r w:rsidRPr="006F11A1">
        <w:t>Nombre desde Q4 2022: "7. Robos con fuerza en domicilios, establecimientos y otras instalaciones"</w:t>
      </w:r>
    </w:p>
    <w:p w14:paraId="048EF7F4" w14:textId="77777777" w:rsidR="006F11A1" w:rsidRPr="006F11A1" w:rsidRDefault="006F11A1" w:rsidP="006F11A1">
      <w:pPr>
        <w:numPr>
          <w:ilvl w:val="0"/>
          <w:numId w:val="6"/>
        </w:numPr>
      </w:pPr>
      <w:r w:rsidRPr="006F11A1">
        <w:t>Código normalizado: ROBOS_FUERZA</w:t>
      </w:r>
    </w:p>
    <w:p w14:paraId="7BCB0A47" w14:textId="77777777" w:rsidR="006F11A1" w:rsidRPr="006F11A1" w:rsidRDefault="006F11A1" w:rsidP="006F11A1">
      <w:proofErr w:type="gramStart"/>
      <w:r w:rsidRPr="006F11A1">
        <w:t>Total</w:t>
      </w:r>
      <w:proofErr w:type="gramEnd"/>
      <w:r w:rsidRPr="006F11A1">
        <w:t xml:space="preserve"> de infracciones penales:</w:t>
      </w:r>
    </w:p>
    <w:p w14:paraId="3756404D" w14:textId="77777777" w:rsidR="006F11A1" w:rsidRPr="006F11A1" w:rsidRDefault="006F11A1" w:rsidP="006F11A1">
      <w:pPr>
        <w:numPr>
          <w:ilvl w:val="0"/>
          <w:numId w:val="7"/>
        </w:numPr>
      </w:pPr>
      <w:r w:rsidRPr="006F11A1">
        <w:t>Nombre hasta Q3 2022: "TOTAL INFRACCIONES PENALES"</w:t>
      </w:r>
    </w:p>
    <w:p w14:paraId="02EDA337" w14:textId="77777777" w:rsidR="006F11A1" w:rsidRPr="006F11A1" w:rsidRDefault="006F11A1" w:rsidP="006F11A1">
      <w:pPr>
        <w:numPr>
          <w:ilvl w:val="0"/>
          <w:numId w:val="7"/>
        </w:numPr>
      </w:pPr>
      <w:r w:rsidRPr="006F11A1">
        <w:t xml:space="preserve">Nombre desde Q4 2022: "III. </w:t>
      </w:r>
      <w:proofErr w:type="gramStart"/>
      <w:r w:rsidRPr="006F11A1">
        <w:t>TOTAL</w:t>
      </w:r>
      <w:proofErr w:type="gramEnd"/>
      <w:r w:rsidRPr="006F11A1">
        <w:t xml:space="preserve"> INFRACCIONES PENALES"</w:t>
      </w:r>
    </w:p>
    <w:p w14:paraId="719B3544" w14:textId="77777777" w:rsidR="006F11A1" w:rsidRPr="006F11A1" w:rsidRDefault="006F11A1" w:rsidP="006F11A1">
      <w:pPr>
        <w:numPr>
          <w:ilvl w:val="0"/>
          <w:numId w:val="7"/>
        </w:numPr>
      </w:pPr>
      <w:r w:rsidRPr="006F11A1">
        <w:t>Código normalizado: TOTAL</w:t>
      </w:r>
    </w:p>
    <w:p w14:paraId="6A576C10" w14:textId="77777777" w:rsidR="006F11A1" w:rsidRPr="006F11A1" w:rsidRDefault="006F11A1" w:rsidP="006F11A1">
      <w:r w:rsidRPr="006F11A1">
        <w:t xml:space="preserve">Esta normalización se aplica antes del proceso de </w:t>
      </w:r>
      <w:proofErr w:type="spellStart"/>
      <w:r w:rsidRPr="006F11A1">
        <w:t>desacumulación</w:t>
      </w:r>
      <w:proofErr w:type="spellEnd"/>
      <w:r w:rsidRPr="006F11A1">
        <w:t xml:space="preserve"> para garantizar que las series sean continuas.</w:t>
      </w:r>
    </w:p>
    <w:p w14:paraId="36D9840B" w14:textId="77777777" w:rsidR="006F11A1" w:rsidRPr="006F11A1" w:rsidRDefault="006F11A1" w:rsidP="006F11A1">
      <w:r w:rsidRPr="006F11A1">
        <w:rPr>
          <w:i/>
          <w:iCs/>
        </w:rPr>
        <w:t>3.3 Cambios Metodológicos Detectados</w:t>
      </w:r>
    </w:p>
    <w:p w14:paraId="51AB78DB" w14:textId="77777777" w:rsidR="006F11A1" w:rsidRPr="006F11A1" w:rsidRDefault="006F11A1" w:rsidP="006F11A1">
      <w:r w:rsidRPr="006F11A1">
        <w:t>Se han identificado dos cambios metodológicos relevantes en la fuente original:</w:t>
      </w:r>
    </w:p>
    <w:p w14:paraId="3A4841C0" w14:textId="77777777" w:rsidR="006F11A1" w:rsidRPr="006F11A1" w:rsidRDefault="006F11A1" w:rsidP="006F11A1">
      <w:r w:rsidRPr="006F11A1">
        <w:t>Cuarto trimestre de 2018: El Ministerio amplió la cobertura estadística añadiendo la categoría "Resto de infracciones penales". Esto supuso un incremento en los valores acumulados de aproximadamente 193.581 casos en Andalucía y 1.131.411 en España.</w:t>
      </w:r>
    </w:p>
    <w:p w14:paraId="010F3493" w14:textId="77777777" w:rsidR="006F11A1" w:rsidRPr="006F11A1" w:rsidRDefault="006F11A1" w:rsidP="006F11A1">
      <w:r w:rsidRPr="006F11A1">
        <w:t>Cuarto trimestre de 2022: Se produjo un cambio completo en la nomenclatura de todas las categorías y se incorporaron nuevas categorías de cibercriminalidad (estafas informáticas, otros ciberdelitos). Para mantener la comparabilidad histórica, las categorías de cibercriminalidad no se incluyen en los totales de períodos anteriores.</w:t>
      </w:r>
    </w:p>
    <w:p w14:paraId="3F60AC5E" w14:textId="77777777" w:rsidR="006F11A1" w:rsidRPr="006F11A1" w:rsidRDefault="006F11A1" w:rsidP="006F11A1">
      <w:r w:rsidRPr="006F11A1">
        <w:rPr>
          <w:b/>
          <w:bCs/>
        </w:rPr>
        <w:t>4. Correcciones Aplicadas</w:t>
      </w:r>
    </w:p>
    <w:p w14:paraId="7AC15821" w14:textId="77777777" w:rsidR="006F11A1" w:rsidRPr="006F11A1" w:rsidRDefault="006F11A1" w:rsidP="006F11A1">
      <w:r w:rsidRPr="006F11A1">
        <w:rPr>
          <w:i/>
          <w:iCs/>
        </w:rPr>
        <w:t>4.1 Interpolación de LIB_SEX en 2022-Q4</w:t>
      </w:r>
    </w:p>
    <w:p w14:paraId="665EE851" w14:textId="77777777" w:rsidR="006F11A1" w:rsidRPr="006F11A1" w:rsidRDefault="006F11A1" w:rsidP="006F11A1">
      <w:r w:rsidRPr="006F11A1">
        <w:t>El cambio de nomenclatura de "delitos contra la libertad e indemnidad sexual" a "delitos contra la libertad sexual" en el cuarto trimestre de 2022 produjo una aparente reclasificación de casos que generó un valor anormalmente bajo en ese trimestre.</w:t>
      </w:r>
    </w:p>
    <w:p w14:paraId="62034EDB" w14:textId="77777777" w:rsidR="006F11A1" w:rsidRPr="006F11A1" w:rsidRDefault="006F11A1" w:rsidP="006F11A1">
      <w:r w:rsidRPr="006F11A1">
        <w:t>Valores originales del cuarto trimestre de 2022:</w:t>
      </w:r>
    </w:p>
    <w:p w14:paraId="33F502D3" w14:textId="77777777" w:rsidR="006F11A1" w:rsidRPr="006F11A1" w:rsidRDefault="006F11A1" w:rsidP="006F11A1">
      <w:pPr>
        <w:numPr>
          <w:ilvl w:val="0"/>
          <w:numId w:val="8"/>
        </w:numPr>
      </w:pPr>
      <w:r w:rsidRPr="006F11A1">
        <w:t>Andalucía: 265 casos (frente a una media trimestral aproximada de 750)</w:t>
      </w:r>
    </w:p>
    <w:p w14:paraId="597A1545" w14:textId="77777777" w:rsidR="006F11A1" w:rsidRPr="006F11A1" w:rsidRDefault="006F11A1" w:rsidP="006F11A1">
      <w:pPr>
        <w:numPr>
          <w:ilvl w:val="0"/>
          <w:numId w:val="8"/>
        </w:numPr>
      </w:pPr>
      <w:r w:rsidRPr="006F11A1">
        <w:t>España: 2.715 casos (frente a una media trimestral aproximada de 5.000)</w:t>
      </w:r>
    </w:p>
    <w:p w14:paraId="3B8ECFE2" w14:textId="77777777" w:rsidR="006F11A1" w:rsidRPr="006F11A1" w:rsidRDefault="006F11A1" w:rsidP="006F11A1">
      <w:r w:rsidRPr="006F11A1">
        <w:t>Para corregir esta anomalía, se ha aplicado una interpolación lineal utilizando los valores del tercer trimestre de 2022 y el primer trimestre de 2023. El valor corregido se calcula como la media aritmética de ambos trimestres adyacentes.</w:t>
      </w:r>
    </w:p>
    <w:p w14:paraId="70C9E671" w14:textId="77777777" w:rsidR="006F11A1" w:rsidRPr="006F11A1" w:rsidRDefault="006F11A1" w:rsidP="006F11A1">
      <w:r w:rsidRPr="006F11A1">
        <w:rPr>
          <w:b/>
          <w:bCs/>
        </w:rPr>
        <w:t>5. Limitaciones</w:t>
      </w:r>
    </w:p>
    <w:p w14:paraId="0C9A78FC" w14:textId="77777777" w:rsidR="006F11A1" w:rsidRPr="006F11A1" w:rsidRDefault="006F11A1" w:rsidP="006F11A1">
      <w:r w:rsidRPr="006F11A1">
        <w:t>Primera: La comparabilidad temporal está condicionada por los cambios metodológicos del Ministerio del Interior. Las comparaciones directas entre períodos anteriores y posteriores a Q4 2022 deben interpretarse con cautela.</w:t>
      </w:r>
    </w:p>
    <w:p w14:paraId="1D201FCF" w14:textId="77777777" w:rsidR="006F11A1" w:rsidRPr="006F11A1" w:rsidRDefault="006F11A1" w:rsidP="006F11A1">
      <w:r w:rsidRPr="006F11A1">
        <w:t>Segunda: Los delitos de cibercriminalidad, disponibles desde Q4 2022, no se incluyen en las series históricas para mantener la homogeneidad.</w:t>
      </w:r>
    </w:p>
    <w:p w14:paraId="74710DE1" w14:textId="77777777" w:rsidR="006F11A1" w:rsidRPr="006F11A1" w:rsidRDefault="006F11A1" w:rsidP="006F11A1">
      <w:r w:rsidRPr="006F11A1">
        <w:t>Tercera: El valor del indicador LIB_SEX correspondiente al cuarto trimestre de 2022 es una estimación por interpolación, no un dato observado.</w:t>
      </w:r>
    </w:p>
    <w:p w14:paraId="302E6E18" w14:textId="77777777" w:rsidR="006F11A1" w:rsidRPr="006F11A1" w:rsidRDefault="006F11A1" w:rsidP="006F11A1">
      <w:r w:rsidRPr="006F11A1">
        <w:rPr>
          <w:b/>
          <w:bCs/>
        </w:rPr>
        <w:t>6. Actualización</w:t>
      </w:r>
    </w:p>
    <w:p w14:paraId="00426437" w14:textId="77777777" w:rsidR="006F11A1" w:rsidRPr="006F11A1" w:rsidRDefault="006F11A1" w:rsidP="006F11A1">
      <w:r w:rsidRPr="006F11A1">
        <w:t>Los datos se actualizan con frecuencia trimestral. La publicación del Ministerio del Interior suele producirse aproximadamente 45 días después del cierre de cada trimestre.</w:t>
      </w:r>
    </w:p>
    <w:p w14:paraId="0E0B4F20" w14:textId="77777777" w:rsidR="006F11A1" w:rsidRPr="006F11A1" w:rsidRDefault="006F11A1" w:rsidP="006F11A1">
      <w:r w:rsidRPr="006F11A1">
        <w:pict w14:anchorId="0E541F78">
          <v:rect id="_x0000_i1038" style="width:0;height:1.5pt" o:hralign="center" o:hrstd="t" o:hr="t" fillcolor="#a0a0a0" stroked="f"/>
        </w:pict>
      </w:r>
    </w:p>
    <w:p w14:paraId="62E73A7E" w14:textId="77777777" w:rsidR="006F11A1" w:rsidRPr="006F11A1" w:rsidRDefault="006F11A1" w:rsidP="006F11A1">
      <w:r w:rsidRPr="006F11A1">
        <w:t>¿Quieres que añada o modifique algo?</w:t>
      </w:r>
    </w:p>
    <w:p w14:paraId="72386860" w14:textId="3CBD7D79" w:rsidR="00EC2496" w:rsidRDefault="00EC2496" w:rsidP="006F11A1"/>
    <w:p w14:paraId="791B8307" w14:textId="77777777" w:rsidR="001579B1" w:rsidRDefault="001579B1" w:rsidP="006F11A1"/>
    <w:p w14:paraId="1748E6A8" w14:textId="77777777" w:rsidR="001579B1" w:rsidRDefault="001579B1" w:rsidP="001579B1">
      <w:r>
        <w:t>## Nota metodológica</w:t>
      </w:r>
    </w:p>
    <w:p w14:paraId="62C588CE" w14:textId="77777777" w:rsidR="001579B1" w:rsidRDefault="001579B1" w:rsidP="001579B1"/>
    <w:p w14:paraId="0AC11F5A" w14:textId="4EBE38ED" w:rsidR="001579B1" w:rsidRDefault="001579B1" w:rsidP="001579B1">
      <w:r>
        <w:t xml:space="preserve">El IPA27 contempla originalmente 12 pilares siguiendo la estructura del </w:t>
      </w:r>
      <w:proofErr w:type="spellStart"/>
      <w:r>
        <w:t>Legatum</w:t>
      </w:r>
      <w:proofErr w:type="spellEnd"/>
      <w:r>
        <w:t xml:space="preserve"> </w:t>
      </w:r>
      <w:proofErr w:type="spellStart"/>
      <w:r>
        <w:t>Prosperity</w:t>
      </w:r>
      <w:proofErr w:type="spellEnd"/>
      <w:r>
        <w:t xml:space="preserve"> </w:t>
      </w:r>
      <w:proofErr w:type="spellStart"/>
      <w:r>
        <w:t>Index</w:t>
      </w:r>
      <w:proofErr w:type="spellEnd"/>
      <w:r>
        <w:t>. Sin embargo, el Pilar 3 (Gobernanza) no ha podido implementarse debido a la ausencia de fuentes estadísticas que proporcionen series temporales comparables entre Andalucía y España para el período 2016-2025.</w:t>
      </w:r>
    </w:p>
    <w:p w14:paraId="2DDC7785" w14:textId="77777777" w:rsidR="001579B1" w:rsidRDefault="001579B1" w:rsidP="001579B1"/>
    <w:p w14:paraId="5EBA7414" w14:textId="729AB4A4" w:rsidR="001579B1" w:rsidRDefault="001579B1" w:rsidP="001579B1">
      <w:r>
        <w:t>Indicadores de gobernanza subnacionales son una carencia común en índices de prosperidad regional a nivel internacional.</w:t>
      </w:r>
    </w:p>
    <w:p w14:paraId="26152250" w14:textId="5F98B4E4" w:rsidR="001579B1" w:rsidRDefault="001579B1" w:rsidP="001579B1">
      <w:r>
        <w:t>El índice actual opera con 11 pilares (22 indicadores).</w:t>
      </w:r>
    </w:p>
    <w:p w14:paraId="440EB90D" w14:textId="77777777" w:rsidR="00E81891" w:rsidRDefault="00E81891" w:rsidP="001579B1"/>
    <w:p w14:paraId="5DC46A87" w14:textId="77777777" w:rsidR="00E81891" w:rsidRDefault="00E81891" w:rsidP="00E81891">
      <w:r>
        <w:t>## Nota metodológica - Pilar Gobernanza</w:t>
      </w:r>
    </w:p>
    <w:p w14:paraId="5337A558" w14:textId="77777777" w:rsidR="00E81891" w:rsidRDefault="00E81891" w:rsidP="00E81891"/>
    <w:p w14:paraId="18CEF4D1" w14:textId="77777777" w:rsidR="00E81891" w:rsidRDefault="00E81891" w:rsidP="00E81891">
      <w:r>
        <w:t xml:space="preserve">El IPA27 no incluye el Pilar 3 (Gobernanza) del </w:t>
      </w:r>
      <w:proofErr w:type="spellStart"/>
      <w:r>
        <w:t>Legatum</w:t>
      </w:r>
      <w:proofErr w:type="spellEnd"/>
      <w:r>
        <w:t xml:space="preserve"> </w:t>
      </w:r>
      <w:proofErr w:type="spellStart"/>
      <w:r>
        <w:t>Prosperity</w:t>
      </w:r>
      <w:proofErr w:type="spellEnd"/>
      <w:r>
        <w:t xml:space="preserve"> </w:t>
      </w:r>
      <w:proofErr w:type="spellStart"/>
      <w:r>
        <w:t>Index</w:t>
      </w:r>
      <w:proofErr w:type="spellEnd"/>
      <w:r>
        <w:t xml:space="preserve"> </w:t>
      </w:r>
    </w:p>
    <w:p w14:paraId="5692B337" w14:textId="77777777" w:rsidR="00E81891" w:rsidRDefault="00E81891" w:rsidP="00E81891">
      <w:r>
        <w:t>debido a la inexistencia de fuentes estadísticas que proporcionen:</w:t>
      </w:r>
    </w:p>
    <w:p w14:paraId="54F23526" w14:textId="77777777" w:rsidR="00E81891" w:rsidRDefault="00E81891" w:rsidP="00E81891"/>
    <w:p w14:paraId="6AEDC96B" w14:textId="77777777" w:rsidR="00E81891" w:rsidRDefault="00E81891" w:rsidP="00E81891">
      <w:r>
        <w:t>1. Series temporales consistentes (2016-2025)</w:t>
      </w:r>
    </w:p>
    <w:p w14:paraId="3F550D2D" w14:textId="77777777" w:rsidR="00E81891" w:rsidRDefault="00E81891" w:rsidP="00E81891">
      <w:r>
        <w:t>2. Desagregación territorial (Andalucía vs España)</w:t>
      </w:r>
    </w:p>
    <w:p w14:paraId="3CE74234" w14:textId="77777777" w:rsidR="00E81891" w:rsidRDefault="00E81891" w:rsidP="00E81891">
      <w:r>
        <w:t>3. Indicadores comparables de transparencia, confianza institucional o eficacia gubernamental</w:t>
      </w:r>
    </w:p>
    <w:p w14:paraId="0EE389FA" w14:textId="77777777" w:rsidR="00E81891" w:rsidRDefault="00E81891" w:rsidP="00E81891"/>
    <w:p w14:paraId="4A31016E" w14:textId="77777777" w:rsidR="00E81891" w:rsidRDefault="00E81891" w:rsidP="00E81891">
      <w:r>
        <w:t>Esta limitación es común en índices de prosperidad subnacionales a nivel internacional.</w:t>
      </w:r>
    </w:p>
    <w:p w14:paraId="5510A8FC" w14:textId="77777777" w:rsidR="00E81891" w:rsidRDefault="00E81891" w:rsidP="00E81891">
      <w:r>
        <w:t xml:space="preserve">El índice opera con 11 pilares y se revisará la inclusión de Gobernanza </w:t>
      </w:r>
    </w:p>
    <w:p w14:paraId="740084BC" w14:textId="7B2FA515" w:rsidR="00E81891" w:rsidRPr="006F11A1" w:rsidRDefault="00E81891" w:rsidP="00E81891">
      <w:r>
        <w:t>cuando existan fuentes adecuadas.</w:t>
      </w:r>
    </w:p>
    <w:sectPr w:rsidR="00E81891" w:rsidRPr="006F11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3C2"/>
    <w:multiLevelType w:val="multilevel"/>
    <w:tmpl w:val="74E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573"/>
    <w:multiLevelType w:val="multilevel"/>
    <w:tmpl w:val="D3D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D2A"/>
    <w:multiLevelType w:val="multilevel"/>
    <w:tmpl w:val="6C5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1C76"/>
    <w:multiLevelType w:val="multilevel"/>
    <w:tmpl w:val="11A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7185"/>
    <w:multiLevelType w:val="multilevel"/>
    <w:tmpl w:val="A5B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75C08"/>
    <w:multiLevelType w:val="multilevel"/>
    <w:tmpl w:val="CFB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34B6A"/>
    <w:multiLevelType w:val="multilevel"/>
    <w:tmpl w:val="B09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154F5"/>
    <w:multiLevelType w:val="multilevel"/>
    <w:tmpl w:val="0B2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44406">
    <w:abstractNumId w:val="2"/>
  </w:num>
  <w:num w:numId="2" w16cid:durableId="726881217">
    <w:abstractNumId w:val="7"/>
  </w:num>
  <w:num w:numId="3" w16cid:durableId="270823528">
    <w:abstractNumId w:val="5"/>
  </w:num>
  <w:num w:numId="4" w16cid:durableId="1323461579">
    <w:abstractNumId w:val="4"/>
  </w:num>
  <w:num w:numId="5" w16cid:durableId="792362869">
    <w:abstractNumId w:val="3"/>
  </w:num>
  <w:num w:numId="6" w16cid:durableId="1879581073">
    <w:abstractNumId w:val="1"/>
  </w:num>
  <w:num w:numId="7" w16cid:durableId="225529233">
    <w:abstractNumId w:val="6"/>
  </w:num>
  <w:num w:numId="8" w16cid:durableId="47568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A1"/>
    <w:rsid w:val="001579B1"/>
    <w:rsid w:val="003E7540"/>
    <w:rsid w:val="006B7328"/>
    <w:rsid w:val="006F11A1"/>
    <w:rsid w:val="008946E4"/>
    <w:rsid w:val="00A713E8"/>
    <w:rsid w:val="00AD43F2"/>
    <w:rsid w:val="00B07B40"/>
    <w:rsid w:val="00E81891"/>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067C"/>
  <w15:chartTrackingRefBased/>
  <w15:docId w15:val="{E9261055-37D0-43EC-A606-8086F065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1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1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11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11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11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11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11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11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11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11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11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11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11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11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11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11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11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11A1"/>
    <w:rPr>
      <w:rFonts w:eastAsiaTheme="majorEastAsia" w:cstheme="majorBidi"/>
      <w:color w:val="272727" w:themeColor="text1" w:themeTint="D8"/>
    </w:rPr>
  </w:style>
  <w:style w:type="paragraph" w:styleId="Ttulo">
    <w:name w:val="Title"/>
    <w:basedOn w:val="Normal"/>
    <w:next w:val="Normal"/>
    <w:link w:val="TtuloCar"/>
    <w:uiPriority w:val="10"/>
    <w:qFormat/>
    <w:rsid w:val="006F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11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11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11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11A1"/>
    <w:pPr>
      <w:spacing w:before="160"/>
      <w:jc w:val="center"/>
    </w:pPr>
    <w:rPr>
      <w:i/>
      <w:iCs/>
      <w:color w:val="404040" w:themeColor="text1" w:themeTint="BF"/>
    </w:rPr>
  </w:style>
  <w:style w:type="character" w:customStyle="1" w:styleId="CitaCar">
    <w:name w:val="Cita Car"/>
    <w:basedOn w:val="Fuentedeprrafopredeter"/>
    <w:link w:val="Cita"/>
    <w:uiPriority w:val="29"/>
    <w:rsid w:val="006F11A1"/>
    <w:rPr>
      <w:i/>
      <w:iCs/>
      <w:color w:val="404040" w:themeColor="text1" w:themeTint="BF"/>
    </w:rPr>
  </w:style>
  <w:style w:type="paragraph" w:styleId="Prrafodelista">
    <w:name w:val="List Paragraph"/>
    <w:basedOn w:val="Normal"/>
    <w:uiPriority w:val="34"/>
    <w:qFormat/>
    <w:rsid w:val="006F11A1"/>
    <w:pPr>
      <w:ind w:left="720"/>
      <w:contextualSpacing/>
    </w:pPr>
  </w:style>
  <w:style w:type="character" w:styleId="nfasisintenso">
    <w:name w:val="Intense Emphasis"/>
    <w:basedOn w:val="Fuentedeprrafopredeter"/>
    <w:uiPriority w:val="21"/>
    <w:qFormat/>
    <w:rsid w:val="006F11A1"/>
    <w:rPr>
      <w:i/>
      <w:iCs/>
      <w:color w:val="0F4761" w:themeColor="accent1" w:themeShade="BF"/>
    </w:rPr>
  </w:style>
  <w:style w:type="paragraph" w:styleId="Citadestacada">
    <w:name w:val="Intense Quote"/>
    <w:basedOn w:val="Normal"/>
    <w:next w:val="Normal"/>
    <w:link w:val="CitadestacadaCar"/>
    <w:uiPriority w:val="30"/>
    <w:qFormat/>
    <w:rsid w:val="006F1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11A1"/>
    <w:rPr>
      <w:i/>
      <w:iCs/>
      <w:color w:val="0F4761" w:themeColor="accent1" w:themeShade="BF"/>
    </w:rPr>
  </w:style>
  <w:style w:type="character" w:styleId="Referenciaintensa">
    <w:name w:val="Intense Reference"/>
    <w:basedOn w:val="Fuentedeprrafopredeter"/>
    <w:uiPriority w:val="32"/>
    <w:qFormat/>
    <w:rsid w:val="006F1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2846</TotalTime>
  <Pages>4</Pages>
  <Words>771</Words>
  <Characters>4981</Characters>
  <Application>Microsoft Office Word</Application>
  <DocSecurity>0</DocSecurity>
  <Lines>191</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2025-12-26T08:42:00Z</dcterms:created>
  <dcterms:modified xsi:type="dcterms:W3CDTF">2025-12-28T08:10:00Z</dcterms:modified>
</cp:coreProperties>
</file>