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5D7F" w14:textId="77777777" w:rsidR="002E1D7F" w:rsidRDefault="00000000">
      <w:pPr>
        <w:jc w:val="right"/>
      </w:pPr>
      <w:r>
        <w:rPr>
          <w:noProof/>
        </w:rPr>
        <w:drawing>
          <wp:inline distT="0" distB="0" distL="0" distR="0" wp14:anchorId="277FFB6E" wp14:editId="73DD70A4">
            <wp:extent cx="977621" cy="656310"/>
            <wp:effectExtent l="0" t="0" r="0" b="0"/>
            <wp:docPr id="1055685429" name="Gráfico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96DAC541-7B7A-43D3-8B79-37D633B846F1}">
                          <asvg:svgBlip xmlns:asvg="http://schemas.microsoft.com/office/drawing/2016/SVG/main" r:embed="rId7"/>
                        </a:ext>
                      </a:extLst>
                    </a:blip>
                    <a:stretch>
                      <a:fillRect/>
                    </a:stretch>
                  </pic:blipFill>
                  <pic:spPr>
                    <a:xfrm>
                      <a:off x="0" y="0"/>
                      <a:ext cx="977621" cy="656310"/>
                    </a:xfrm>
                    <a:prstGeom prst="rect">
                      <a:avLst/>
                    </a:prstGeom>
                    <a:noFill/>
                    <a:ln>
                      <a:noFill/>
                      <a:prstDash/>
                    </a:ln>
                  </pic:spPr>
                </pic:pic>
              </a:graphicData>
            </a:graphic>
          </wp:inline>
        </w:drawing>
      </w:r>
    </w:p>
    <w:p w14:paraId="6B11D17D" w14:textId="77777777" w:rsidR="002E1D7F" w:rsidRDefault="002E1D7F">
      <w:pPr>
        <w:rPr>
          <w:b/>
          <w:bCs/>
          <w:sz w:val="28"/>
          <w:szCs w:val="28"/>
          <w:u w:val="single"/>
        </w:rPr>
      </w:pPr>
    </w:p>
    <w:p w14:paraId="259E8805" w14:textId="77777777" w:rsidR="002E1D7F" w:rsidRDefault="00000000">
      <w:pPr>
        <w:jc w:val="both"/>
        <w:rPr>
          <w:b/>
          <w:bCs/>
          <w:sz w:val="24"/>
          <w:szCs w:val="24"/>
          <w:u w:val="single"/>
        </w:rPr>
      </w:pPr>
      <w:r>
        <w:rPr>
          <w:b/>
          <w:bCs/>
          <w:sz w:val="24"/>
          <w:szCs w:val="24"/>
          <w:u w:val="single"/>
        </w:rPr>
        <w:t>NOTA DE PRENSA</w:t>
      </w:r>
    </w:p>
    <w:p w14:paraId="4DD4F8F7" w14:textId="77777777" w:rsidR="002E1D7F" w:rsidRDefault="00000000">
      <w:pPr>
        <w:jc w:val="both"/>
      </w:pPr>
      <w:r>
        <w:rPr>
          <w:color w:val="000000"/>
        </w:rPr>
        <w:t xml:space="preserve">El indicador mejora un </w:t>
      </w:r>
      <w:r>
        <w:rPr>
          <w:color w:val="EE0000"/>
        </w:rPr>
        <w:t>11,3%</w:t>
      </w:r>
      <w:r>
        <w:rPr>
          <w:color w:val="000000"/>
        </w:rPr>
        <w:t xml:space="preserve"> en una década</w:t>
      </w:r>
    </w:p>
    <w:p w14:paraId="7E5FEAB4" w14:textId="77777777" w:rsidR="002E1D7F" w:rsidRDefault="00000000">
      <w:pPr>
        <w:jc w:val="both"/>
        <w:rPr>
          <w:b/>
          <w:bCs/>
          <w:sz w:val="36"/>
          <w:szCs w:val="36"/>
        </w:rPr>
      </w:pPr>
      <w:r>
        <w:rPr>
          <w:b/>
          <w:bCs/>
          <w:sz w:val="36"/>
          <w:szCs w:val="36"/>
        </w:rPr>
        <w:t>Fundación Andalucía27 y EY presentan el Índice de Prosperidad Andaluz (IPA27)</w:t>
      </w:r>
    </w:p>
    <w:p w14:paraId="40BBE677" w14:textId="77777777" w:rsidR="002E1D7F" w:rsidRDefault="00000000">
      <w:pPr>
        <w:jc w:val="both"/>
      </w:pPr>
      <w:r>
        <w:rPr>
          <w:b/>
          <w:bCs/>
        </w:rPr>
        <w:t xml:space="preserve">Un </w:t>
      </w:r>
      <w:r>
        <w:rPr>
          <w:b/>
          <w:bCs/>
          <w:color w:val="EE0000"/>
        </w:rPr>
        <w:t>76%</w:t>
      </w:r>
      <w:r>
        <w:rPr>
          <w:b/>
          <w:bCs/>
        </w:rPr>
        <w:t xml:space="preserve"> del progreso registrado por el IPA27 desde 2016 se ha producido a partir de 2023, con un aumento de </w:t>
      </w:r>
      <w:r>
        <w:rPr>
          <w:b/>
          <w:bCs/>
          <w:color w:val="EE0000"/>
        </w:rPr>
        <w:t>4,5</w:t>
      </w:r>
      <w:r>
        <w:rPr>
          <w:b/>
          <w:bCs/>
        </w:rPr>
        <w:t xml:space="preserve"> puntos </w:t>
      </w:r>
    </w:p>
    <w:p w14:paraId="03852C70" w14:textId="77777777" w:rsidR="002E1D7F" w:rsidRDefault="002E1D7F">
      <w:pPr>
        <w:jc w:val="both"/>
      </w:pPr>
    </w:p>
    <w:p w14:paraId="270689EC" w14:textId="77777777" w:rsidR="002E1D7F" w:rsidRDefault="00000000">
      <w:pPr>
        <w:jc w:val="both"/>
      </w:pPr>
      <w:r>
        <w:rPr>
          <w:b/>
          <w:bCs/>
        </w:rPr>
        <w:t xml:space="preserve">Madrid, </w:t>
      </w:r>
      <w:proofErr w:type="spellStart"/>
      <w:r>
        <w:rPr>
          <w:b/>
          <w:bCs/>
          <w:color w:val="EE0000"/>
        </w:rPr>
        <w:t>xx</w:t>
      </w:r>
      <w:proofErr w:type="spellEnd"/>
      <w:r>
        <w:rPr>
          <w:b/>
          <w:bCs/>
          <w:color w:val="EE0000"/>
        </w:rPr>
        <w:t xml:space="preserve"> </w:t>
      </w:r>
      <w:r>
        <w:rPr>
          <w:b/>
          <w:bCs/>
        </w:rPr>
        <w:t>junio 2026.–</w:t>
      </w:r>
      <w:r>
        <w:t xml:space="preserve"> La Fundación Andalucía27, en colaboración con EY, ha presentado el Índice de Prosperidad Andaluz (IPA27), una innovadora herramienta que mide de forma integral el progreso económico, social e institucional de Andalucía. Este nuevo indicador sitúa a la comunidad andaluza en una senda clara de mejora, con un incremento de </w:t>
      </w:r>
      <w:r>
        <w:rPr>
          <w:color w:val="EE0000"/>
        </w:rPr>
        <w:t xml:space="preserve">5,8 </w:t>
      </w:r>
      <w:r>
        <w:t xml:space="preserve">puntos en su nivel de prosperidad desde 2016, lo que supone un avance del </w:t>
      </w:r>
      <w:r>
        <w:rPr>
          <w:color w:val="EE0000"/>
        </w:rPr>
        <w:t>11,3%</w:t>
      </w:r>
      <w:r>
        <w:t xml:space="preserve">. El IPA27, inspirado en indicadores internacionales de referencia como el </w:t>
      </w:r>
      <w:proofErr w:type="spellStart"/>
      <w:r>
        <w:t>Legatum</w:t>
      </w:r>
      <w:proofErr w:type="spellEnd"/>
      <w:r>
        <w:t xml:space="preserve"> Prosperity </w:t>
      </w:r>
      <w:proofErr w:type="spellStart"/>
      <w:r>
        <w:t>Index</w:t>
      </w:r>
      <w:proofErr w:type="spellEnd"/>
      <w:r>
        <w:t xml:space="preserve"> y adaptado a la realidad regional, permite evaluar no solo el crecimiento económico, sino también factores clave como la inclusión social, la calidad institucional o el bienestar de los ciudadanos. Se trata de un instrumento pionero que aporta una visión más completa del desarrollo de Andalucía.</w:t>
      </w:r>
    </w:p>
    <w:p w14:paraId="40E5F648" w14:textId="77777777" w:rsidR="002E1D7F" w:rsidRDefault="00000000">
      <w:pPr>
        <w:jc w:val="both"/>
      </w:pPr>
      <w:r>
        <w:t>Andalucía ha mejorado sus indicadores del dominio de “Economías Abiertas” – que mide los avances en los niveles de Inversión, Empresas, Infraestructuras y Calidad Económica en general - en 11,4 puntos (un 29,0 %) desde 2016, frente a los 10,1 puntos (un 18,5 %) de la media nacional, reduciendo su brecha con la media de las CCAA en 1,3 puntos (un 8,5 % menos).</w:t>
      </w:r>
    </w:p>
    <w:p w14:paraId="5125EFF0" w14:textId="77777777" w:rsidR="002E1D7F" w:rsidRDefault="00000000">
      <w:pPr>
        <w:jc w:val="both"/>
      </w:pPr>
      <w:r>
        <w:t xml:space="preserve">A su vez, ha mejorado sus indicadores del dominio </w:t>
      </w:r>
      <w:proofErr w:type="gramStart"/>
      <w:r>
        <w:t>de  “</w:t>
      </w:r>
      <w:proofErr w:type="gramEnd"/>
      <w:r>
        <w:t xml:space="preserve">Personas Empoderadas” </w:t>
      </w:r>
      <w:proofErr w:type="gramStart"/>
      <w:r>
        <w:t>-  que</w:t>
      </w:r>
      <w:proofErr w:type="gramEnd"/>
      <w:r>
        <w:t xml:space="preserve"> pretende medir los avances en los niveles de Vida, Salud, Educación y Conocimiento - en 9,4 puntos (un 15,9 %) desde 2016, frente a los 9,6 puntos (un 13,5 %) de la media nacional.</w:t>
      </w:r>
    </w:p>
    <w:p w14:paraId="3772A47A" w14:textId="77777777" w:rsidR="002E1D7F" w:rsidRDefault="00000000">
      <w:pPr>
        <w:jc w:val="both"/>
      </w:pPr>
      <w:r>
        <w:t>Finalmente, Andalucía registra a lo largo de todo el período de análisis mejores resultados que la media de CCAA en España en el dominio de Sociedades Inclusivas – que pretende medir los niveles de Seguridad, Libertad, Gobernanza y Capital Social - situándose el Primer Trimestre de 2026 8,1 puntos (un 17,4 %) por encima de la media nacional.</w:t>
      </w:r>
    </w:p>
    <w:p w14:paraId="441CB170" w14:textId="77777777" w:rsidR="002E1D7F" w:rsidRDefault="00000000">
      <w:pPr>
        <w:jc w:val="both"/>
      </w:pPr>
      <w:r>
        <w:t>IMPULSO DESDE 2023</w:t>
      </w:r>
    </w:p>
    <w:p w14:paraId="1BCFFCB7" w14:textId="77777777" w:rsidR="002E1D7F" w:rsidRDefault="00000000">
      <w:pPr>
        <w:jc w:val="both"/>
      </w:pPr>
      <w:r>
        <w:t xml:space="preserve">Una de las principales conclusiones del informe es la aceleración reciente del progreso. En concreto, más del </w:t>
      </w:r>
      <w:r>
        <w:rPr>
          <w:color w:val="EE0000"/>
        </w:rPr>
        <w:t xml:space="preserve">76% </w:t>
      </w:r>
      <w:r>
        <w:t xml:space="preserve">de la mejora registrada se ha producido desde el tercer trimestre de 2023, con un aumento de </w:t>
      </w:r>
      <w:r>
        <w:rPr>
          <w:color w:val="EE0000"/>
        </w:rPr>
        <w:t xml:space="preserve">4,5 </w:t>
      </w:r>
      <w:r>
        <w:t xml:space="preserve">puntos desde entonces de un total de 5,8 desde 2016. Este impulso reciente refleja un cambio de tendencia significativo en la evolución de la prosperidad en la comunidad. </w:t>
      </w:r>
    </w:p>
    <w:p w14:paraId="151EC8F5" w14:textId="77777777" w:rsidR="002E1D7F" w:rsidRDefault="00000000">
      <w:pPr>
        <w:jc w:val="both"/>
      </w:pPr>
      <w:r>
        <w:t>Los motores del crecimiento del Índice en ese periodo han sido el dominio de “Economías Abiertas”, que se ha incrementado desde el tercer trimestre de 2023 en 9,0 puntos (21,7 %) en Andalucía frente a los 5,8 puntos en España (10,0 %), y el de Sociedades Inclusivas, que se ha incrementado 1,7 puntos (3,2 %) frente a una caída en España de -0,7 puntos (-1,5 %).</w:t>
      </w:r>
    </w:p>
    <w:p w14:paraId="591015A0" w14:textId="77777777" w:rsidR="002E1D7F" w:rsidRDefault="002E1D7F">
      <w:pPr>
        <w:jc w:val="both"/>
      </w:pPr>
    </w:p>
    <w:p w14:paraId="591A84EC" w14:textId="77777777" w:rsidR="002E1D7F" w:rsidRDefault="002E1D7F">
      <w:pPr>
        <w:jc w:val="both"/>
      </w:pPr>
    </w:p>
    <w:p w14:paraId="696A3DDB" w14:textId="77777777" w:rsidR="002E1D7F" w:rsidRDefault="002E1D7F">
      <w:pPr>
        <w:jc w:val="both"/>
      </w:pPr>
    </w:p>
    <w:p w14:paraId="2BD3D885" w14:textId="77777777" w:rsidR="002E1D7F" w:rsidRDefault="002E1D7F">
      <w:pPr>
        <w:jc w:val="both"/>
      </w:pPr>
    </w:p>
    <w:p w14:paraId="7926379C" w14:textId="77777777" w:rsidR="002E1D7F" w:rsidRDefault="002E1D7F">
      <w:pPr>
        <w:jc w:val="both"/>
      </w:pPr>
    </w:p>
    <w:p w14:paraId="4A305EF2" w14:textId="77777777" w:rsidR="002E1D7F" w:rsidRDefault="002E1D7F">
      <w:pPr>
        <w:jc w:val="both"/>
      </w:pPr>
    </w:p>
    <w:p w14:paraId="3CB74CBF" w14:textId="77777777" w:rsidR="002E1D7F" w:rsidRDefault="00000000">
      <w:pPr>
        <w:jc w:val="both"/>
      </w:pPr>
      <w:r>
        <w:t>Estos resultados ponen de manifiesto el fortalecimiento de aspectos como la seguridad, la gobernanza, la actividad empresarial o la capacidad de atracción económica.</w:t>
      </w:r>
    </w:p>
    <w:p w14:paraId="5F080544" w14:textId="77777777" w:rsidR="002E1D7F" w:rsidRDefault="00000000">
      <w:pPr>
        <w:jc w:val="both"/>
      </w:pPr>
      <w:r>
        <w:t xml:space="preserve">A pesar de esta evolución positiva, el Índice también identifica retos relevantes. Andalucía mantiene todavía un diferencial de prosperidad respecto a la media nacional, aunque se observa una clara convergencia en los últimos años. Asimismo, la renta per cápita continúa siendo uno de los principales desafíos, situándose aún por detrás de comunidades como Madrid, País Vasco o </w:t>
      </w:r>
      <w:proofErr w:type="gramStart"/>
      <w:r>
        <w:t>Cataluña .</w:t>
      </w:r>
      <w:proofErr w:type="gramEnd"/>
    </w:p>
    <w:p w14:paraId="51BEDF4A" w14:textId="77777777" w:rsidR="002E1D7F" w:rsidRDefault="00000000">
      <w:pPr>
        <w:jc w:val="both"/>
      </w:pPr>
      <w:r>
        <w:t>El análisis detallado del IPA27 permite además identificar fortalezas y debilidades estructurales. Entre los aspectos mejor posicionados destacan los indicadores de seguridad, salud y gobernanza, que superan la media nacional. Por el contrario, ámbitos como la inversión extranjera presentan un mayor margen de mejora. "El IPA27 no es solo un indicador, es una herramienta estratégica para la toma de decisiones", señala Fede Linares, presidente de EY y de la Fundación Andalucía27. "Permite identificar con precisión dónde están las oportunidades de mejora y orientar tanto la inversión pública como privada hacia aquellos ámbitos que generan mayor impacto en la prosperidad de los ciudadanos".</w:t>
      </w:r>
    </w:p>
    <w:p w14:paraId="2288EEB4" w14:textId="77777777" w:rsidR="002E1D7F" w:rsidRDefault="00000000">
      <w:pPr>
        <w:jc w:val="both"/>
      </w:pPr>
      <w:r>
        <w:t xml:space="preserve">El IPA27, elaborado bajo la dirección técnica de Manuel Alejandro Hidalgo (Universidad Pablo de Olavide) y Juan Pablo Riesgo, socio director de EY </w:t>
      </w:r>
      <w:proofErr w:type="spellStart"/>
      <w:r>
        <w:t>Insights</w:t>
      </w:r>
      <w:proofErr w:type="spellEnd"/>
      <w:r>
        <w:t>, se apoya exclusivamente en fuentes oficiales y en una metodología muy avanzada. Además, incorpora un sistema de actualización continua que permite monitorizar la evolución de la prosperidad con carácter trimestral, aportando una visión dinámica y en tiempo real.</w:t>
      </w:r>
    </w:p>
    <w:p w14:paraId="7A3A3A8A" w14:textId="77777777" w:rsidR="002E1D7F" w:rsidRDefault="00000000">
      <w:pPr>
        <w:jc w:val="both"/>
      </w:pPr>
      <w:r>
        <w:t xml:space="preserve">Con el lanzamiento del IPA27, la Fundación Andalucía27 y EY refuerzan su compromiso con el análisis riguroso y la generación de conocimiento útil para el desarrollo de Andalucía. Este Índice se </w:t>
      </w:r>
      <w:proofErr w:type="gramStart"/>
      <w:r>
        <w:t>consolida</w:t>
      </w:r>
      <w:proofErr w:type="gramEnd"/>
      <w:r>
        <w:t xml:space="preserve"> así como una referencia para evaluar el progreso de la comunidad y avanzar hacia un modelo de crecimiento más equilibrado, sostenible e inclusivo.</w:t>
      </w:r>
    </w:p>
    <w:p w14:paraId="26E4C775" w14:textId="77777777" w:rsidR="002E1D7F" w:rsidRDefault="002E1D7F">
      <w:pPr>
        <w:jc w:val="both"/>
      </w:pPr>
    </w:p>
    <w:p w14:paraId="31C488C7" w14:textId="77777777" w:rsidR="002E1D7F" w:rsidRDefault="00000000">
      <w:pPr>
        <w:jc w:val="both"/>
        <w:rPr>
          <w:b/>
          <w:bCs/>
        </w:rPr>
      </w:pPr>
      <w:r>
        <w:rPr>
          <w:b/>
          <w:bCs/>
        </w:rPr>
        <w:t>SOBRE FUNDACIÓN ANDALUCÍA27</w:t>
      </w:r>
    </w:p>
    <w:p w14:paraId="5BC019C0" w14:textId="77777777" w:rsidR="002E1D7F" w:rsidRDefault="00000000">
      <w:pPr>
        <w:jc w:val="both"/>
      </w:pPr>
      <w:r>
        <w:t xml:space="preserve">La Fundación Andalucía27 es una plataforma de sociedad civil que trabaja con el objetivo de proyectar e impulsar Andalucía, fortaleciendo su presencia y amplificando su voz en el resto del país. A través de líderes sociales, culturales y empresariales, promueve los valores andaluces desde cinco áreas de trabajo: Economía y Empresa; Emprendimiento e Innovación; Educación y Talento; Cultura, Gastronomía y Deporte; y Tercer Sector e Impacto Social. A27 fue presentada oficialmente el pasado 12 de enero en un acto celebrado en el Ateneo de Madrid que contó con un amplio respaldo social, empresarial e institucional. Presidida por Federico Linares, su Patronato lo componen también los empresarios andaluces José María Pacheco y Rosauro Varo; así como Caja Rural del Sur, representada por José Luis García Palacios; y la Fundación </w:t>
      </w:r>
      <w:proofErr w:type="spellStart"/>
      <w:r>
        <w:t>Cajasol</w:t>
      </w:r>
      <w:proofErr w:type="spellEnd"/>
      <w:r>
        <w:t>, por Antonio Pulido.</w:t>
      </w:r>
    </w:p>
    <w:p w14:paraId="73A8C452" w14:textId="77777777" w:rsidR="002E1D7F" w:rsidRDefault="00000000">
      <w:pPr>
        <w:jc w:val="both"/>
      </w:pPr>
      <w:r>
        <w:t>Entre los Embajadores que se han sumado a esta iniciativa están Alejandro Sanz, José Mercé, Fátima Báñez, Sara Baras, Sandra Golpe, Cruz Sánchez de Lara, Ángel León, Juan Pérez Mercader, Javier García Carranza, Carmen Calvo, Carolina Marín y Santiago Muñoz Machado. La dirección general recae en el gaditano Ignacio Moreno Bustamante.</w:t>
      </w:r>
    </w:p>
    <w:p w14:paraId="2C807B5F" w14:textId="77777777" w:rsidR="002E1D7F" w:rsidRDefault="00000000">
      <w:pPr>
        <w:jc w:val="both"/>
      </w:pPr>
      <w:r>
        <w:t>Al margen del Índice de Prosperidad Andaluz, desde A27 se trabaja intensamente en la puesta en marcha de diferentes iniciativas de colaboración público-privada en las áreas antes mencionadas y que se irán dando a conocer a lo largo de los próximos meses. Su finalidad es impulsar tanto el progreso económico, como la competitividad y sostenibilidad empresarial andaluza, además de su talento en otros muchos ámbitos, convirtiéndose en un referente de participación de sociedad civil en los asuntos públicos.</w:t>
      </w:r>
    </w:p>
    <w:p w14:paraId="5809AF78" w14:textId="77777777" w:rsidR="002E1D7F" w:rsidRDefault="002E1D7F"/>
    <w:p w14:paraId="069D8522" w14:textId="77777777" w:rsidR="002E1D7F" w:rsidRDefault="002E1D7F"/>
    <w:p w14:paraId="64092A76" w14:textId="77777777" w:rsidR="002E1D7F" w:rsidRDefault="00000000">
      <w:r>
        <w:rPr>
          <w:i/>
          <w:iCs/>
        </w:rPr>
        <w:t>Para más información:</w:t>
      </w:r>
      <w:r>
        <w:rPr>
          <w:i/>
          <w:iCs/>
        </w:rPr>
        <w:br/>
      </w:r>
      <w:hyperlink r:id="rId8" w:history="1">
        <w:r>
          <w:rPr>
            <w:rStyle w:val="Hipervnculo"/>
            <w:i/>
            <w:iCs/>
          </w:rPr>
          <w:t>info@fundacionandalucia27.com</w:t>
        </w:r>
      </w:hyperlink>
    </w:p>
    <w:p w14:paraId="4EAEEB26" w14:textId="77777777" w:rsidR="002E1D7F" w:rsidRDefault="00000000">
      <w:r>
        <w:t>https://www.fundacionandalucia27.com</w:t>
      </w:r>
    </w:p>
    <w:sectPr w:rsidR="002E1D7F">
      <w:pgSz w:w="11906" w:h="16838"/>
      <w:pgMar w:top="851"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D197" w14:textId="77777777" w:rsidR="008F4405" w:rsidRDefault="008F4405">
      <w:pPr>
        <w:spacing w:after="0"/>
      </w:pPr>
      <w:r>
        <w:separator/>
      </w:r>
    </w:p>
  </w:endnote>
  <w:endnote w:type="continuationSeparator" w:id="0">
    <w:p w14:paraId="4DBE0CAE" w14:textId="77777777" w:rsidR="008F4405" w:rsidRDefault="008F44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6E5A" w14:textId="77777777" w:rsidR="008F4405" w:rsidRDefault="008F4405">
      <w:pPr>
        <w:spacing w:after="0"/>
      </w:pPr>
      <w:r>
        <w:rPr>
          <w:color w:val="000000"/>
        </w:rPr>
        <w:separator/>
      </w:r>
    </w:p>
  </w:footnote>
  <w:footnote w:type="continuationSeparator" w:id="0">
    <w:p w14:paraId="1445FEB3" w14:textId="77777777" w:rsidR="008F4405" w:rsidRDefault="008F440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1D7F"/>
    <w:rsid w:val="002E1D7F"/>
    <w:rsid w:val="008F4405"/>
    <w:rsid w:val="00C1029A"/>
    <w:rsid w:val="00F359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BE35"/>
  <w15:docId w15:val="{896ACC35-F8FF-46CB-93CA-09B4D058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 w:type="paragraph" w:styleId="Revisin">
    <w:name w:val="Revision"/>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fundacionandalucia27.com" TargetMode="Externa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1035</Words>
  <Characters>5693</Characters>
  <Application>Microsoft Office Word</Application>
  <DocSecurity>0</DocSecurity>
  <Lines>47</Lines>
  <Paragraphs>13</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Moreno Bustamante</dc:creator>
  <dc:description/>
  <cp:lastModifiedBy>Manuel Alejandro Hidalgo Perez</cp:lastModifiedBy>
  <cp:revision>2</cp:revision>
  <cp:lastPrinted>2026-04-08T15:44:00Z</cp:lastPrinted>
  <dcterms:created xsi:type="dcterms:W3CDTF">2026-06-09T17:24:00Z</dcterms:created>
  <dcterms:modified xsi:type="dcterms:W3CDTF">2026-06-09T17:24:00Z</dcterms:modified>
</cp:coreProperties>
</file>