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530062"/>
            <wp:docPr id="5" name="Picture 5"/>
            <wp:cNvGraphicFramePr>
              <a:graphicFrameLocks noChangeAspect="1"/>
            </wp:cNvGraphicFramePr>
            <a:graphic>
              <a:graphicData uri="http://schemas.openxmlformats.org/drawingml/2006/picture">
                <pic:pic>
                  <pic:nvPicPr>
                    <pic:cNvPr id="0" name="image4.jpeg"/>
                    <pic:cNvPicPr/>
                  </pic:nvPicPr>
                  <pic:blipFill>
                    <a:blip r:embed="rId13"/>
                    <a:stretch>
                      <a:fillRect/>
                    </a:stretch>
                  </pic:blipFill>
                  <pic:spPr>
                    <a:xfrm>
                      <a:off x="0" y="0"/>
                      <a:ext cx="5669280" cy="3530062"/>
                    </a:xfrm>
                    <a:prstGeom prst="rect"/>
                  </pic:spPr>
                </pic:pic>
              </a:graphicData>
            </a:graphic>
          </wp:inline>
        </w:drawing>
      </w:r>
    </w:p>
    <w:p>
      <w:pPr>
        <w:keepNext/>
        <w:spacing w:before="0" w:after="20"/>
        <w:jc w:val="center"/>
      </w:pPr>
      <w:r>
        <w:rPr>
          <w:rFonts w:ascii="Poppins" w:hAnsi="Poppins"/>
          <w:b/>
          <w:color w:val="566B56"/>
          <w:sz w:val="18"/>
        </w:rPr>
        <w:t>Figura 1.4: Medición del Producto Interior Bruto: Enfoque de la producción y valor añadido.</w:t>
      </w:r>
    </w:p>
    <w:p>
      <w:pPr>
        <w:spacing w:before="0" w:after="160"/>
        <w:jc w:val="center"/>
      </w:pPr>
      <w:r>
        <w:rPr>
          <w:rFonts w:ascii="Calibri" w:hAnsi="Calibri"/>
          <w:i/>
          <w:color w:val="6F8073"/>
          <w:sz w:val="16"/>
        </w:rPr>
        <w:t>Fuente: Elaboración propia a partir de la Contabilidad Nacional (INE).</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4286529"/>
            <wp:docPr id="6" name="Picture 6"/>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669280" cy="4286529"/>
                    </a:xfrm>
                    <a:prstGeom prst="rect"/>
                  </pic:spPr>
                </pic:pic>
              </a:graphicData>
            </a:graphic>
          </wp:inline>
        </w:drawing>
      </w:r>
    </w:p>
    <w:p>
      <w:pPr>
        <w:keepNext/>
        <w:spacing w:before="0" w:after="20"/>
        <w:jc w:val="center"/>
      </w:pPr>
      <w:r>
        <w:rPr>
          <w:rFonts w:ascii="Poppins" w:hAnsi="Poppins"/>
          <w:b/>
          <w:color w:val="566B56"/>
          <w:sz w:val="18"/>
        </w:rPr>
        <w:t>Figura 1.5: Relación a largo plazo entre productividad laboral y salarios reales.</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4081492"/>
            <wp:docPr id="7" name="Picture 7"/>
            <wp:cNvGraphicFramePr>
              <a:graphicFrameLocks noChangeAspect="1"/>
            </wp:cNvGraphicFramePr>
            <a:graphic>
              <a:graphicData uri="http://schemas.openxmlformats.org/drawingml/2006/picture">
                <pic:pic>
                  <pic:nvPicPr>
                    <pic:cNvPr id="0" name="image6.jpeg"/>
                    <pic:cNvPicPr/>
                  </pic:nvPicPr>
                  <pic:blipFill>
                    <a:blip r:embed="rId15"/>
                    <a:stretch>
                      <a:fillRect/>
                    </a:stretch>
                  </pic:blipFill>
                  <pic:spPr>
                    <a:xfrm>
                      <a:off x="0" y="0"/>
                      <a:ext cx="5669280" cy="4081492"/>
                    </a:xfrm>
                    <a:prstGeom prst="rect"/>
                  </pic:spPr>
                </pic:pic>
              </a:graphicData>
            </a:graphic>
          </wp:inline>
        </w:drawing>
      </w:r>
    </w:p>
    <w:p>
      <w:pPr>
        <w:keepNext/>
        <w:spacing w:before="0" w:after="20"/>
        <w:jc w:val="center"/>
      </w:pPr>
      <w:r>
        <w:rPr>
          <w:rFonts w:ascii="Poppins" w:hAnsi="Poppins"/>
          <w:b/>
          <w:color w:val="566B56"/>
          <w:sz w:val="18"/>
        </w:rPr>
        <w:t>Figura 1.6: Teoría de la elección ocio-consumo y derivación de la oferta individual de trabajo.</w:t>
      </w:r>
    </w:p>
    <w:p>
      <w:pPr>
        <w:spacing w:before="0" w:after="160"/>
        <w:jc w:val="center"/>
      </w:pPr>
      <w:r>
        <w:rPr>
          <w:rFonts w:ascii="Calibri" w:hAnsi="Calibri"/>
          <w:i/>
          <w:color w:val="6F8073"/>
          <w:sz w:val="16"/>
        </w:rPr>
        <w:t>Fuente: Modelo microeconómico neoclásico del mercado de trabajo.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6517744"/>
            <wp:docPr id="8" name="Picture 8"/>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669280" cy="6517744"/>
                    </a:xfrm>
                    <a:prstGeom prst="rect"/>
                  </pic:spPr>
                </pic:pic>
              </a:graphicData>
            </a:graphic>
          </wp:inline>
        </w:drawing>
      </w:r>
    </w:p>
    <w:p>
      <w:pPr>
        <w:keepNext/>
        <w:spacing w:before="0" w:after="20"/>
        <w:jc w:val="center"/>
      </w:pPr>
      <w:r>
        <w:rPr>
          <w:rFonts w:ascii="Poppins" w:hAnsi="Poppins"/>
          <w:b/>
          <w:color w:val="566B56"/>
          <w:sz w:val="18"/>
        </w:rPr>
        <w:t>Figura 1.7: La Tasa Natural de Desempleo (NAIRU) y equilibrio en el mercado de trabajo.</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618084"/>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618084"/>
                    </a:xfrm>
                    <a:prstGeom prst="rect"/>
                  </pic:spPr>
                </pic:pic>
              </a:graphicData>
            </a:graphic>
          </wp:inline>
        </w:drawing>
      </w:r>
    </w:p>
    <w:p>
      <w:pPr>
        <w:keepNext/>
        <w:spacing w:before="0" w:after="20"/>
        <w:jc w:val="center"/>
      </w:pPr>
      <w:r>
        <w:rPr>
          <w:rFonts w:ascii="Poppins" w:hAnsi="Poppins"/>
          <w:b/>
          <w:color w:val="566B56"/>
          <w:sz w:val="18"/>
        </w:rPr>
        <w:t>Figura 1.8: La Curva de Phillips y la hipótesis de la tasa natural de desempleo.</w:t>
      </w:r>
    </w:p>
    <w:p>
      <w:pPr>
        <w:spacing w:before="0" w:after="160"/>
        <w:jc w:val="center"/>
      </w:pPr>
      <w:r>
        <w:rPr>
          <w:rFonts w:ascii="Calibri" w:hAnsi="Calibri"/>
          <w:i/>
          <w:color w:val="6F8073"/>
          <w:sz w:val="16"/>
        </w:rPr>
        <w:t>Fuente: Elaboración propia a partir de Friedman y Phelps.</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