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Poppins" w:hAnsi="Poppins"/>
          <w:b/>
          <w:color w:val="566B56"/>
          <w:sz w:val="18"/>
        </w:rPr>
        <w:t>Figura 1.4: Evolución del Producto Interior Bruto (PIB) en España: tasas de variación interanual en volumen encadenado (2022T1 - 2026T2).</w:t>
      </w:r>
    </w:p>
    <w:p>
      <w:pPr>
        <w:spacing w:before="0" w:after="160"/>
        <w:jc w:val="center"/>
      </w:pPr>
      <w:r>
        <w:rPr>
          <w:rFonts w:ascii="Calibri" w:hAnsi="Calibri"/>
          <w:i/>
          <w:color w:val="6F8073"/>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3489693"/>
            <wp:docPr id="6" name="Picture 6"/>
            <wp:cNvGraphicFramePr>
              <a:graphicFrameLocks noChangeAspect="1"/>
            </wp:cNvGraphicFramePr>
            <a:graphic>
              <a:graphicData uri="http://schemas.openxmlformats.org/drawingml/2006/picture">
                <pic:pic>
                  <pic:nvPicPr>
                    <pic:cNvPr id="0" name="productividad_salarios.png"/>
                    <pic:cNvPicPr/>
                  </pic:nvPicPr>
                  <pic:blipFill>
                    <a:blip r:embed="rId14"/>
                    <a:stretch>
                      <a:fillRect/>
                    </a:stretch>
                  </pic:blipFill>
                  <pic:spPr>
                    <a:xfrm>
                      <a:off x="0" y="0"/>
                      <a:ext cx="5669280" cy="3489693"/>
                    </a:xfrm>
                    <a:prstGeom prst="rect"/>
                  </pic:spPr>
                </pic:pic>
              </a:graphicData>
            </a:graphic>
          </wp:inline>
        </w:drawing>
      </w:r>
    </w:p>
    <w:p>
      <w:pPr>
        <w:keepNext/>
        <w:spacing w:before="0" w:after="20"/>
        <w:jc w:val="center"/>
      </w:pPr>
      <w:r>
        <w:rPr>
          <w:rFonts w:ascii="Poppins" w:hAnsi="Poppins"/>
          <w:b/>
          <w:color w:val="566B56"/>
          <w:sz w:val="18"/>
        </w:rPr>
        <w:t>Figura 1.5: Relación entre productividad por hora trabajada y salario medio en la OCDE (2024).</w:t>
      </w:r>
    </w:p>
    <w:p>
      <w:pPr>
        <w:spacing w:before="0" w:after="160"/>
        <w:jc w:val="center"/>
      </w:pPr>
      <w:r>
        <w:rPr>
          <w:rFonts w:ascii="Calibri" w:hAnsi="Calibri"/>
          <w:i/>
          <w:color w:val="6F8073"/>
          <w:sz w:val="16"/>
        </w:rPr>
        <w:t>Fuente: Elaboración propia a partir de datos oficiales de la OCDE (Productivity Statistics &amp; Employment Outlook, 2024).</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3898763"/>
            <wp:docPr id="7" name="Picture 7"/>
            <wp:cNvGraphicFramePr>
              <a:graphicFrameLocks noChangeAspect="1"/>
            </wp:cNvGraphicFramePr>
            <a:graphic>
              <a:graphicData uri="http://schemas.openxmlformats.org/drawingml/2006/picture">
                <pic:pic>
                  <pic:nvPicPr>
                    <pic:cNvPr id="0" name="modelo_desempleo_neoclasico.png"/>
                    <pic:cNvPicPr/>
                  </pic:nvPicPr>
                  <pic:blipFill>
                    <a:blip r:embed="rId15"/>
                    <a:stretch>
                      <a:fillRect/>
                    </a:stretch>
                  </pic:blipFill>
                  <pic:spPr>
                    <a:xfrm>
                      <a:off x="0" y="0"/>
                      <a:ext cx="5669280" cy="3898763"/>
                    </a:xfrm>
                    <a:prstGeom prst="rect"/>
                  </pic:spPr>
                </pic:pic>
              </a:graphicData>
            </a:graphic>
          </wp:inline>
        </w:drawing>
      </w:r>
    </w:p>
    <w:p>
      <w:pPr>
        <w:keepNext/>
        <w:spacing w:before="0" w:after="20"/>
        <w:jc w:val="center"/>
      </w:pPr>
      <w:r>
        <w:rPr>
          <w:rFonts w:ascii="Poppins" w:hAnsi="Poppins"/>
          <w:b/>
          <w:color w:val="566B56"/>
          <w:sz w:val="18"/>
        </w:rPr>
        <w:t>Figura 1.6: El desempleo en el modelo neoclásico del mercado de trabajo: rigidez salarial y exceso de oferta.</w:t>
      </w:r>
    </w:p>
    <w:p>
      <w:pPr>
        <w:spacing w:before="0" w:after="160"/>
        <w:jc w:val="center"/>
      </w:pPr>
      <w:r>
        <w:rPr>
          <w:rFonts w:ascii="Calibri" w:hAnsi="Calibri"/>
          <w:i/>
          <w:color w:val="6F8073"/>
          <w:sz w:val="16"/>
        </w:rPr>
        <w:t>Fuente: Elaboración propia a partir del modelo neoclásico del mercado de trabajo (adaptado de M. Barneto).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4679696"/>
            <wp:docPr id="8" name="Picture 8"/>
            <wp:cNvGraphicFramePr>
              <a:graphicFrameLocks noChangeAspect="1"/>
            </wp:cNvGraphicFramePr>
            <a:graphic>
              <a:graphicData uri="http://schemas.openxmlformats.org/drawingml/2006/picture">
                <pic:pic>
                  <pic:nvPicPr>
                    <pic:cNvPr id="0" name="tasa_natural_nairu.png"/>
                    <pic:cNvPicPr/>
                  </pic:nvPicPr>
                  <pic:blipFill>
                    <a:blip r:embed="rId16"/>
                    <a:stretch>
                      <a:fillRect/>
                    </a:stretch>
                  </pic:blipFill>
                  <pic:spPr>
                    <a:xfrm>
                      <a:off x="0" y="0"/>
                      <a:ext cx="5669280" cy="4679696"/>
                    </a:xfrm>
                    <a:prstGeom prst="rect"/>
                  </pic:spPr>
                </pic:pic>
              </a:graphicData>
            </a:graphic>
          </wp:inline>
        </w:drawing>
      </w:r>
    </w:p>
    <w:p>
      <w:pPr>
        <w:keepNext/>
        <w:spacing w:before="0" w:after="20"/>
        <w:jc w:val="center"/>
      </w:pPr>
      <w:r>
        <w:rPr>
          <w:rFonts w:ascii="Poppins" w:hAnsi="Poppins"/>
          <w:b/>
          <w:color w:val="566B56"/>
          <w:sz w:val="18"/>
        </w:rPr>
        <w:t>Figura 1.7: Tasa de desempleo observada y tasa natural de desempleo (NAIRU) en España y la Zona Euro (1980–2024): desempleo estructural vs. desempleo cíclico.</w:t>
      </w:r>
    </w:p>
    <w:p>
      <w:pPr>
        <w:spacing w:before="0" w:after="160"/>
        <w:jc w:val="center"/>
      </w:pPr>
      <w:r>
        <w:rPr>
          <w:rFonts w:ascii="Calibri" w:hAnsi="Calibri"/>
          <w:i/>
          <w:color w:val="6F8073"/>
          <w:sz w:val="16"/>
        </w:rPr>
        <w:t>Fuente: Elaboración propia a partir de datos oficiales de la base AMECO (Comisión Europea, DG ECFIN, 2024).</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 Tasa de inflación actual</w:t>
      </w:r>
    </w:p>
    <w:p>
      <w:pPr>
        <w:keepNext/>
        <w:spacing w:after="40" w:line="276" w:lineRule="auto" w:before="160"/>
        <w:ind w:left="0" w:firstLine="0"/>
        <w:jc w:val="left"/>
      </w:pPr>
      <w:r>
        <w:rPr>
          <w:rFonts w:ascii="Calibri" w:hAnsi="Calibri"/>
          <w:b/>
          <w:color w:val="566B56"/>
          <w:sz w:val="21"/>
        </w:rPr>
        <w:t>= Tasa de inflación esperada</w:t>
      </w:r>
    </w:p>
    <w:p>
      <w:pPr>
        <w:keepNext/>
        <w:spacing w:after="40" w:line="276" w:lineRule="auto" w:before="160"/>
        <w:ind w:left="0" w:firstLine="0"/>
        <w:jc w:val="left"/>
      </w:pPr>
      <w:r>
        <w:rPr>
          <w:rFonts w:ascii="Calibri" w:hAnsi="Calibri"/>
          <w:b/>
          <w:color w:val="566B56"/>
          <w:sz w:val="21"/>
        </w:rPr>
        <w:t>= Tasa de desempleo actual</w:t>
      </w:r>
    </w:p>
    <w:p>
      <w:pPr>
        <w:keepNext/>
        <w:spacing w:after="40" w:line="276" w:lineRule="auto" w:before="160"/>
        <w:ind w:left="0" w:firstLine="0"/>
        <w:jc w:val="left"/>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keepNext/>
        <w:spacing w:after="40" w:line="276" w:lineRule="auto" w:before="160"/>
        <w:ind w:left="0" w:firstLine="0"/>
        <w:jc w:val="left"/>
      </w:pPr>
      <w:r>
        <w:rPr>
          <w:rFonts w:ascii="Calibri" w:hAnsi="Calibri"/>
          <w:b/>
          <w:color w:val="566B56"/>
          <w:sz w:val="21"/>
        </w:rPr>
        <w:t>Si , se produce una reducción de la tasa de inflación</w:t>
      </w:r>
    </w:p>
    <w:p>
      <w:pPr>
        <w:keepNext/>
        <w:spacing w:after="40" w:line="276" w:lineRule="auto" w:before="160"/>
        <w:ind w:left="0" w:firstLine="0"/>
        <w:jc w:val="left"/>
      </w:pPr>
      <w:r>
        <w:rPr>
          <w:rFonts w:ascii="Calibri" w:hAnsi="Calibri"/>
          <w:b/>
          <w:color w:val="566B56"/>
          <w:sz w:val="21"/>
        </w:rPr>
        <w:t>Si , se produce un aumento de la tasa de inflación</w:t>
      </w:r>
    </w:p>
    <w:p>
      <w:pPr>
        <w:keepNext/>
        <w:spacing w:after="40" w:line="276" w:lineRule="auto" w:before="160"/>
        <w:ind w:left="0" w:firstLine="0"/>
        <w:jc w:val="left"/>
      </w:pPr>
      <w:r>
        <w:rPr>
          <w:rFonts w:ascii="Calibri" w:hAnsi="Calibri"/>
          <w:b/>
          <w:color w:val="566B56"/>
          <w:sz w:val="21"/>
        </w:rPr>
        <w:t>Si , la tasa de inflación no varía</w:t>
      </w:r>
    </w:p>
    <w:p>
      <w:pPr>
        <w:keepNext/>
        <w:spacing w:before="160" w:after="60"/>
        <w:jc w:val="center"/>
      </w:pPr>
      <w:r>
        <w:drawing>
          <wp:inline xmlns:a="http://schemas.openxmlformats.org/drawingml/2006/main" xmlns:pic="http://schemas.openxmlformats.org/drawingml/2006/picture">
            <wp:extent cx="5669280" cy="3618084"/>
            <wp:docPr id="9" name="Picture 9"/>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669280" cy="3618084"/>
                    </a:xfrm>
                    <a:prstGeom prst="rect"/>
                  </pic:spPr>
                </pic:pic>
              </a:graphicData>
            </a:graphic>
          </wp:inline>
        </w:drawing>
      </w:r>
    </w:p>
    <w:p>
      <w:pPr>
        <w:keepNext/>
        <w:spacing w:before="0" w:after="20"/>
        <w:jc w:val="center"/>
      </w:pPr>
      <w:r>
        <w:rPr>
          <w:rFonts w:ascii="Poppins" w:hAnsi="Poppins"/>
          <w:b/>
          <w:color w:val="566B56"/>
          <w:sz w:val="18"/>
        </w:rPr>
        <w:t>Figura 1.8: La Curva de Phillips y la hipótesis de la tasa natural de desempleo.</w:t>
      </w:r>
    </w:p>
    <w:p>
      <w:pPr>
        <w:spacing w:before="0" w:after="160"/>
        <w:jc w:val="center"/>
      </w:pPr>
      <w:r>
        <w:rPr>
          <w:rFonts w:ascii="Calibri" w:hAnsi="Calibri"/>
          <w:i/>
          <w:color w:val="6F8073"/>
          <w:sz w:val="16"/>
        </w:rPr>
        <w:t>Fuente: Elaboración propia a partir de Friedman y Phelps.</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4122045"/>
            <wp:docPr id="10" name="Picture 10"/>
            <wp:cNvGraphicFramePr>
              <a:graphicFrameLocks noChangeAspect="1"/>
            </wp:cNvGraphicFramePr>
            <a:graphic>
              <a:graphicData uri="http://schemas.openxmlformats.org/drawingml/2006/picture">
                <pic:pic>
                  <pic:nvPicPr>
                    <pic:cNvPr id="0" name="beveridge.png"/>
                    <pic:cNvPicPr/>
                  </pic:nvPicPr>
                  <pic:blipFill>
                    <a:blip r:embed="rId18"/>
                    <a:stretch>
                      <a:fillRect/>
                    </a:stretch>
                  </pic:blipFill>
                  <pic:spPr>
                    <a:xfrm>
                      <a:off x="0" y="0"/>
                      <a:ext cx="5669280" cy="4122045"/>
                    </a:xfrm>
                    <a:prstGeom prst="rect"/>
                  </pic:spPr>
                </pic:pic>
              </a:graphicData>
            </a:graphic>
          </wp:inline>
        </w:drawing>
      </w:r>
    </w:p>
    <w:p>
      <w:pPr>
        <w:keepNext/>
        <w:spacing w:before="0" w:after="20"/>
        <w:jc w:val="center"/>
      </w:pPr>
      <w:r>
        <w:rPr>
          <w:rFonts w:ascii="Poppins" w:hAnsi="Poppins"/>
          <w:b/>
          <w:color w:val="566B56"/>
          <w:sz w:val="18"/>
        </w:rPr>
        <w:t>Figura 1.9: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 Número de emparejamientos (contrataciones) por período</w:t>
      </w:r>
    </w:p>
    <w:p>
      <w:pPr>
        <w:keepNext/>
        <w:spacing w:after="40" w:line="276" w:lineRule="auto" w:before="160"/>
        <w:ind w:left="0" w:firstLine="0"/>
        <w:jc w:val="left"/>
      </w:pPr>
      <w:r>
        <w:rPr>
          <w:rFonts w:ascii="Calibri" w:hAnsi="Calibri"/>
          <w:b/>
          <w:color w:val="566B56"/>
          <w:sz w:val="21"/>
        </w:rPr>
        <w:t>= Número de desempleados al comienzo del período</w:t>
      </w:r>
    </w:p>
    <w:p>
      <w:pPr>
        <w:keepNext/>
        <w:spacing w:after="40" w:line="276" w:lineRule="auto" w:before="160"/>
        <w:ind w:left="0" w:firstLine="0"/>
        <w:jc w:val="left"/>
      </w:pPr>
      <w:r>
        <w:rPr>
          <w:rFonts w:ascii="Calibri" w:hAnsi="Calibri"/>
          <w:b/>
          <w:color w:val="566B56"/>
          <w:sz w:val="21"/>
        </w:rPr>
        <w:t>= Número de vacantes al comienzo del período</w:t>
      </w:r>
    </w:p>
    <w:p>
      <w:pPr>
        <w:keepNext/>
        <w:spacing w:after="40" w:line="276" w:lineRule="auto" w:before="160"/>
        <w:ind w:left="0" w:firstLine="0"/>
        <w:jc w:val="left"/>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keepNext/>
        <w:spacing w:before="160" w:after="60"/>
        <w:jc w:val="center"/>
      </w:pPr>
      <w:r>
        <w:drawing>
          <wp:inline xmlns:a="http://schemas.openxmlformats.org/drawingml/2006/main" xmlns:pic="http://schemas.openxmlformats.org/drawingml/2006/picture">
            <wp:extent cx="5669280" cy="414355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669280" cy="4143553"/>
                    </a:xfrm>
                    <a:prstGeom prst="rect"/>
                  </pic:spPr>
                </pic:pic>
              </a:graphicData>
            </a:graphic>
          </wp:inline>
        </w:drawing>
      </w:r>
    </w:p>
    <w:p>
      <w:pPr>
        <w:keepNext/>
        <w:spacing w:before="0" w:after="20"/>
        <w:jc w:val="center"/>
      </w:pPr>
      <w:r>
        <w:rPr>
          <w:rFonts w:ascii="Poppins" w:hAnsi="Poppins"/>
          <w:b/>
          <w:color w:val="566B56"/>
          <w:sz w:val="18"/>
        </w:rPr>
        <w:t>Figura 1.10: Estimación empírica de la Curva de Beveridge en España (1980-2016).</w:t>
      </w:r>
    </w:p>
    <w:p>
      <w:pPr>
        <w:spacing w:before="0" w:after="160"/>
        <w:jc w:val="center"/>
      </w:pPr>
      <w:r>
        <w:rPr>
          <w:rFonts w:ascii="Calibri" w:hAnsi="Calibri"/>
          <w:i/>
          <w:color w:val="6F8073"/>
          <w:sz w:val="16"/>
        </w:rPr>
        <w:t>Fuente: Fundación de Estudios de Economía Aplicada (FEDEA, 2017).</w:t>
      </w:r>
    </w:p>
    <w:p>
      <w:pPr>
        <w:spacing w:after="90" w:line="276" w:lineRule="auto"/>
        <w:ind w:left="0" w:firstLine="0"/>
        <w:jc w:val="both"/>
      </w:pPr>
      <w:r>
        <w:rPr>
          <w:rFonts w:ascii="Calibri" w:hAnsi="Calibri"/>
          <w:b/>
          <w:color w:val="2F3A30"/>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keepNext/>
        <w:spacing w:before="160" w:after="60"/>
        <w:jc w:val="center"/>
      </w:pPr>
      <w:r>
        <w:drawing>
          <wp:inline xmlns:a="http://schemas.openxmlformats.org/drawingml/2006/main" xmlns:pic="http://schemas.openxmlformats.org/drawingml/2006/picture">
            <wp:extent cx="5669280" cy="4761309"/>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669280" cy="4761309"/>
                    </a:xfrm>
                    <a:prstGeom prst="rect"/>
                  </pic:spPr>
                </pic:pic>
              </a:graphicData>
            </a:graphic>
          </wp:inline>
        </w:drawing>
      </w:r>
    </w:p>
    <w:p>
      <w:pPr>
        <w:keepNext/>
        <w:spacing w:before="0" w:after="20"/>
        <w:jc w:val="center"/>
      </w:pPr>
      <w:r>
        <w:rPr>
          <w:rFonts w:ascii="Poppins" w:hAnsi="Poppins"/>
          <w:b/>
          <w:color w:val="566B56"/>
          <w:sz w:val="18"/>
        </w:rPr>
        <w:t>Figura 1.11: Dinámica de la Curva de Beveridge española por subperiodos y efecto de la reforma de 2012.</w:t>
      </w:r>
    </w:p>
    <w:p>
      <w:pPr>
        <w:spacing w:before="0" w:after="160"/>
        <w:jc w:val="center"/>
      </w:pPr>
      <w:r>
        <w:rPr>
          <w:rFonts w:ascii="Calibri" w:hAnsi="Calibri"/>
          <w:i/>
          <w:color w:val="6F8073"/>
          <w:sz w:val="16"/>
        </w:rPr>
        <w:t>Fuente: FEDEA (2017), Colección Estudios sobre la Economía Española.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21"/>
      <w:footerReference w:type="default" r:id="rId22"/>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