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1ABC4F" w14:textId="77777777" w:rsidR="0033482A" w:rsidRPr="0033482A" w:rsidRDefault="0033482A" w:rsidP="0033482A">
      <w:pPr>
        <w:rPr>
          <w:b/>
          <w:bCs/>
        </w:rPr>
      </w:pPr>
      <w:r w:rsidRPr="0033482A">
        <w:rPr>
          <w:b/>
          <w:bCs/>
        </w:rPr>
        <w:t>España: posición en protección al empleo (basado en datos de la OCDE)</w:t>
      </w:r>
    </w:p>
    <w:tbl>
      <w:tblPr>
        <w:tblW w:w="9780" w:type="dxa"/>
        <w:tblCellMar>
          <w:top w:w="15" w:type="dxa"/>
          <w:left w:w="15" w:type="dxa"/>
          <w:bottom w:w="15" w:type="dxa"/>
          <w:right w:w="15" w:type="dxa"/>
        </w:tblCellMar>
        <w:tblLook w:val="04A0" w:firstRow="1" w:lastRow="0" w:firstColumn="1" w:lastColumn="0" w:noHBand="0" w:noVBand="1"/>
      </w:tblPr>
      <w:tblGrid>
        <w:gridCol w:w="1863"/>
        <w:gridCol w:w="3490"/>
        <w:gridCol w:w="4427"/>
      </w:tblGrid>
      <w:tr w:rsidR="0033482A" w:rsidRPr="0033482A" w14:paraId="315973D8" w14:textId="77777777">
        <w:tc>
          <w:tcPr>
            <w:tcW w:w="0" w:type="auto"/>
            <w:tcBorders>
              <w:bottom w:val="single" w:sz="4" w:space="0" w:color="2D2F35"/>
            </w:tcBorders>
            <w:tcMar>
              <w:top w:w="120" w:type="dxa"/>
              <w:left w:w="0" w:type="dxa"/>
              <w:bottom w:w="120" w:type="dxa"/>
              <w:right w:w="240" w:type="dxa"/>
            </w:tcMar>
            <w:hideMark/>
          </w:tcPr>
          <w:p w14:paraId="21B705FB" w14:textId="77777777" w:rsidR="0033482A" w:rsidRPr="0033482A" w:rsidRDefault="0033482A" w:rsidP="0033482A">
            <w:r w:rsidRPr="0033482A">
              <w:t>Componente del EPL</w:t>
            </w:r>
          </w:p>
        </w:tc>
        <w:tc>
          <w:tcPr>
            <w:tcW w:w="0" w:type="auto"/>
            <w:tcBorders>
              <w:bottom w:val="single" w:sz="4" w:space="0" w:color="2D2F35"/>
            </w:tcBorders>
            <w:tcMar>
              <w:top w:w="120" w:type="dxa"/>
              <w:left w:w="0" w:type="dxa"/>
              <w:bottom w:w="120" w:type="dxa"/>
              <w:right w:w="240" w:type="dxa"/>
            </w:tcMar>
            <w:hideMark/>
          </w:tcPr>
          <w:p w14:paraId="056D3B83" w14:textId="77777777" w:rsidR="0033482A" w:rsidRPr="0033482A" w:rsidRDefault="0033482A" w:rsidP="0033482A">
            <w:r w:rsidRPr="0033482A">
              <w:t>Posición de España</w:t>
            </w:r>
          </w:p>
        </w:tc>
        <w:tc>
          <w:tcPr>
            <w:tcW w:w="0" w:type="auto"/>
            <w:tcBorders>
              <w:bottom w:val="single" w:sz="4" w:space="0" w:color="2D2F35"/>
            </w:tcBorders>
            <w:tcMar>
              <w:top w:w="120" w:type="dxa"/>
              <w:left w:w="0" w:type="dxa"/>
              <w:bottom w:w="120" w:type="dxa"/>
              <w:right w:w="0" w:type="dxa"/>
            </w:tcMar>
            <w:hideMark/>
          </w:tcPr>
          <w:p w14:paraId="4A90D573" w14:textId="77777777" w:rsidR="0033482A" w:rsidRPr="0033482A" w:rsidRDefault="0033482A" w:rsidP="0033482A">
            <w:r w:rsidRPr="0033482A">
              <w:t>Detalles y contexto</w:t>
            </w:r>
          </w:p>
        </w:tc>
      </w:tr>
      <w:tr w:rsidR="0033482A" w:rsidRPr="0033482A" w14:paraId="66989709" w14:textId="77777777">
        <w:tc>
          <w:tcPr>
            <w:tcW w:w="0" w:type="auto"/>
            <w:tcBorders>
              <w:bottom w:val="single" w:sz="4" w:space="0" w:color="2D2F35"/>
            </w:tcBorders>
            <w:tcMar>
              <w:top w:w="180" w:type="dxa"/>
              <w:left w:w="0" w:type="dxa"/>
              <w:bottom w:w="180" w:type="dxa"/>
              <w:right w:w="240" w:type="dxa"/>
            </w:tcMar>
            <w:hideMark/>
          </w:tcPr>
          <w:p w14:paraId="4FBE01DB" w14:textId="77777777" w:rsidR="0033482A" w:rsidRPr="0033482A" w:rsidRDefault="0033482A" w:rsidP="0033482A">
            <w:r w:rsidRPr="0033482A">
              <w:rPr>
                <w:b/>
                <w:bCs/>
              </w:rPr>
              <w:t>Protección contra el despido de trabajadores fijos</w:t>
            </w:r>
          </w:p>
        </w:tc>
        <w:tc>
          <w:tcPr>
            <w:tcW w:w="0" w:type="auto"/>
            <w:tcBorders>
              <w:bottom w:val="single" w:sz="4" w:space="0" w:color="2D2F35"/>
            </w:tcBorders>
            <w:tcMar>
              <w:top w:w="180" w:type="dxa"/>
              <w:left w:w="0" w:type="dxa"/>
              <w:bottom w:w="180" w:type="dxa"/>
              <w:right w:w="240" w:type="dxa"/>
            </w:tcMar>
            <w:hideMark/>
          </w:tcPr>
          <w:p w14:paraId="475A06F9" w14:textId="39CA0AAB" w:rsidR="0033482A" w:rsidRPr="0033482A" w:rsidRDefault="0033482A" w:rsidP="0033482A">
            <w:r w:rsidRPr="0033482A">
              <w:t xml:space="preserve">Nivel de </w:t>
            </w:r>
            <w:r>
              <w:t>flexibilidad</w:t>
            </w:r>
            <w:r w:rsidRPr="0033482A">
              <w:t> </w:t>
            </w:r>
            <w:r w:rsidRPr="0033482A">
              <w:rPr>
                <w:b/>
                <w:bCs/>
              </w:rPr>
              <w:t xml:space="preserve">por </w:t>
            </w:r>
            <w:r>
              <w:rPr>
                <w:b/>
                <w:bCs/>
              </w:rPr>
              <w:t>debajo</w:t>
            </w:r>
            <w:r w:rsidRPr="0033482A">
              <w:rPr>
                <w:b/>
                <w:bCs/>
              </w:rPr>
              <w:t xml:space="preserve"> de la media de la OCDE</w:t>
            </w:r>
            <w:r w:rsidRPr="0033482A">
              <w:t>.</w:t>
            </w:r>
          </w:p>
        </w:tc>
        <w:tc>
          <w:tcPr>
            <w:tcW w:w="0" w:type="auto"/>
            <w:tcBorders>
              <w:bottom w:val="single" w:sz="4" w:space="0" w:color="2D2F35"/>
            </w:tcBorders>
            <w:tcMar>
              <w:top w:w="180" w:type="dxa"/>
              <w:left w:w="0" w:type="dxa"/>
              <w:bottom w:w="180" w:type="dxa"/>
              <w:right w:w="0" w:type="dxa"/>
            </w:tcMar>
            <w:hideMark/>
          </w:tcPr>
          <w:p w14:paraId="63CA652F" w14:textId="77777777" w:rsidR="0033482A" w:rsidRPr="0033482A" w:rsidRDefault="0033482A" w:rsidP="0033482A">
            <w:r w:rsidRPr="0033482A">
              <w:t>Las regulaciones de España para despedir a trabajadores con contrato fijo han sido históricamente más estrictas que las de muchos otros países. Aunque algunos gobiernos han relajado el EPL en las últimas décadas, España no ha alterado significativamente las provisiones para contratos indefinidos hasta hace poco.</w:t>
            </w:r>
          </w:p>
        </w:tc>
      </w:tr>
      <w:tr w:rsidR="0033482A" w:rsidRPr="0033482A" w14:paraId="4CE47759" w14:textId="77777777">
        <w:tc>
          <w:tcPr>
            <w:tcW w:w="0" w:type="auto"/>
            <w:tcBorders>
              <w:bottom w:val="single" w:sz="4" w:space="0" w:color="2D2F35"/>
            </w:tcBorders>
            <w:tcMar>
              <w:top w:w="180" w:type="dxa"/>
              <w:left w:w="0" w:type="dxa"/>
              <w:bottom w:w="180" w:type="dxa"/>
              <w:right w:w="240" w:type="dxa"/>
            </w:tcMar>
            <w:hideMark/>
          </w:tcPr>
          <w:p w14:paraId="06E721BE" w14:textId="77777777" w:rsidR="0033482A" w:rsidRPr="0033482A" w:rsidRDefault="0033482A" w:rsidP="0033482A">
            <w:r w:rsidRPr="0033482A">
              <w:rPr>
                <w:b/>
                <w:bCs/>
              </w:rPr>
              <w:t>Regulación de contratos temporales</w:t>
            </w:r>
          </w:p>
        </w:tc>
        <w:tc>
          <w:tcPr>
            <w:tcW w:w="0" w:type="auto"/>
            <w:tcBorders>
              <w:bottom w:val="single" w:sz="4" w:space="0" w:color="2D2F35"/>
            </w:tcBorders>
            <w:tcMar>
              <w:top w:w="180" w:type="dxa"/>
              <w:left w:w="0" w:type="dxa"/>
              <w:bottom w:w="180" w:type="dxa"/>
              <w:right w:w="240" w:type="dxa"/>
            </w:tcMar>
            <w:hideMark/>
          </w:tcPr>
          <w:p w14:paraId="6C0637F5" w14:textId="77777777" w:rsidR="0033482A" w:rsidRPr="0033482A" w:rsidRDefault="0033482A" w:rsidP="0033482A">
            <w:r w:rsidRPr="0033482A">
              <w:rPr>
                <w:b/>
                <w:bCs/>
              </w:rPr>
              <w:t>Tercer país de la OCDE con las reglas más estrictas</w:t>
            </w:r>
            <w:r w:rsidRPr="0033482A">
              <w:t> para el uso de contratos de duración determinada (datos hasta 2023).</w:t>
            </w:r>
          </w:p>
        </w:tc>
        <w:tc>
          <w:tcPr>
            <w:tcW w:w="0" w:type="auto"/>
            <w:tcBorders>
              <w:bottom w:val="single" w:sz="4" w:space="0" w:color="2D2F35"/>
            </w:tcBorders>
            <w:tcMar>
              <w:top w:w="180" w:type="dxa"/>
              <w:left w:w="0" w:type="dxa"/>
              <w:bottom w:w="180" w:type="dxa"/>
              <w:right w:w="0" w:type="dxa"/>
            </w:tcMar>
            <w:hideMark/>
          </w:tcPr>
          <w:p w14:paraId="459DAC36" w14:textId="77777777" w:rsidR="0033482A" w:rsidRPr="0033482A" w:rsidRDefault="0033482A" w:rsidP="0033482A">
            <w:r w:rsidRPr="0033482A">
              <w:t>La reforma laboral de 2021 restringió significativamente el uso de contratos temporales, eliminando el contrato por obra o servicio y fortaleciendo las reglas de aplicación. Esto redujo la tasa de temporalidad en España, que históricamente era una de las más altas de la OCDE.</w:t>
            </w:r>
          </w:p>
        </w:tc>
      </w:tr>
      <w:tr w:rsidR="0033482A" w:rsidRPr="0033482A" w14:paraId="1AEDAACC" w14:textId="77777777">
        <w:tc>
          <w:tcPr>
            <w:tcW w:w="0" w:type="auto"/>
            <w:tcBorders>
              <w:bottom w:val="single" w:sz="4" w:space="0" w:color="2D2F35"/>
            </w:tcBorders>
            <w:tcMar>
              <w:top w:w="180" w:type="dxa"/>
              <w:left w:w="0" w:type="dxa"/>
              <w:bottom w:w="180" w:type="dxa"/>
              <w:right w:w="240" w:type="dxa"/>
            </w:tcMar>
            <w:hideMark/>
          </w:tcPr>
          <w:p w14:paraId="73C3621A" w14:textId="77777777" w:rsidR="0033482A" w:rsidRPr="0033482A" w:rsidRDefault="0033482A" w:rsidP="0033482A">
            <w:r w:rsidRPr="0033482A">
              <w:rPr>
                <w:b/>
                <w:bCs/>
              </w:rPr>
              <w:t>Despido colectivo</w:t>
            </w:r>
          </w:p>
        </w:tc>
        <w:tc>
          <w:tcPr>
            <w:tcW w:w="0" w:type="auto"/>
            <w:tcBorders>
              <w:bottom w:val="single" w:sz="4" w:space="0" w:color="2D2F35"/>
            </w:tcBorders>
            <w:tcMar>
              <w:top w:w="180" w:type="dxa"/>
              <w:left w:w="0" w:type="dxa"/>
              <w:bottom w:w="180" w:type="dxa"/>
              <w:right w:w="240" w:type="dxa"/>
            </w:tcMar>
            <w:hideMark/>
          </w:tcPr>
          <w:p w14:paraId="2997784E" w14:textId="3CC78C8E" w:rsidR="0033482A" w:rsidRPr="0033482A" w:rsidRDefault="0033482A" w:rsidP="0033482A">
            <w:r w:rsidRPr="0033482A">
              <w:t xml:space="preserve">Nivel de </w:t>
            </w:r>
            <w:r>
              <w:t>flexibilidad</w:t>
            </w:r>
            <w:r w:rsidRPr="0033482A">
              <w:t> </w:t>
            </w:r>
            <w:r w:rsidRPr="0033482A">
              <w:rPr>
                <w:b/>
                <w:bCs/>
              </w:rPr>
              <w:t xml:space="preserve">por </w:t>
            </w:r>
            <w:r>
              <w:rPr>
                <w:b/>
                <w:bCs/>
              </w:rPr>
              <w:t>debajo</w:t>
            </w:r>
            <w:r w:rsidRPr="0033482A">
              <w:rPr>
                <w:b/>
                <w:bCs/>
              </w:rPr>
              <w:t xml:space="preserve"> de la media de la OCDE</w:t>
            </w:r>
            <w:r w:rsidRPr="0033482A">
              <w:t>.</w:t>
            </w:r>
          </w:p>
        </w:tc>
        <w:tc>
          <w:tcPr>
            <w:tcW w:w="0" w:type="auto"/>
            <w:tcBorders>
              <w:bottom w:val="single" w:sz="4" w:space="0" w:color="2D2F35"/>
            </w:tcBorders>
            <w:tcMar>
              <w:top w:w="180" w:type="dxa"/>
              <w:left w:w="0" w:type="dxa"/>
              <w:bottom w:w="180" w:type="dxa"/>
              <w:right w:w="0" w:type="dxa"/>
            </w:tcMar>
            <w:hideMark/>
          </w:tcPr>
          <w:p w14:paraId="32EF21BA" w14:textId="77777777" w:rsidR="0033482A" w:rsidRPr="0033482A" w:rsidRDefault="0033482A" w:rsidP="0033482A">
            <w:r w:rsidRPr="0033482A">
              <w:t>Existen requisitos adicionales para los despidos colectivos, que incluyen la notificación a representantes de los trabajadores y autoridades gubernamentales, así como posibles periodos de demora extra y planes sociales de compensación.</w:t>
            </w:r>
          </w:p>
        </w:tc>
      </w:tr>
      <w:tr w:rsidR="0033482A" w:rsidRPr="0033482A" w14:paraId="1708133B" w14:textId="77777777">
        <w:tc>
          <w:tcPr>
            <w:tcW w:w="0" w:type="auto"/>
            <w:tcBorders>
              <w:bottom w:val="single" w:sz="4" w:space="0" w:color="2D2F35"/>
            </w:tcBorders>
            <w:tcMar>
              <w:top w:w="180" w:type="dxa"/>
              <w:left w:w="0" w:type="dxa"/>
              <w:bottom w:w="180" w:type="dxa"/>
              <w:right w:w="240" w:type="dxa"/>
            </w:tcMar>
            <w:hideMark/>
          </w:tcPr>
          <w:p w14:paraId="2ABE1FDD" w14:textId="4895FF7E" w:rsidR="0033482A" w:rsidRPr="0033482A" w:rsidRDefault="0033482A" w:rsidP="0033482A">
            <w:r w:rsidRPr="0033482A">
              <w:rPr>
                <w:b/>
                <w:bCs/>
              </w:rPr>
              <w:t xml:space="preserve">Diferencia de </w:t>
            </w:r>
            <w:r>
              <w:rPr>
                <w:b/>
                <w:bCs/>
              </w:rPr>
              <w:t>flexibilidad</w:t>
            </w:r>
            <w:r w:rsidRPr="0033482A">
              <w:rPr>
                <w:b/>
                <w:bCs/>
              </w:rPr>
              <w:t xml:space="preserve"> entre tipos de contrato</w:t>
            </w:r>
          </w:p>
        </w:tc>
        <w:tc>
          <w:tcPr>
            <w:tcW w:w="0" w:type="auto"/>
            <w:tcBorders>
              <w:bottom w:val="single" w:sz="4" w:space="0" w:color="2D2F35"/>
            </w:tcBorders>
            <w:tcMar>
              <w:top w:w="180" w:type="dxa"/>
              <w:left w:w="0" w:type="dxa"/>
              <w:bottom w:w="180" w:type="dxa"/>
              <w:right w:w="240" w:type="dxa"/>
            </w:tcMar>
            <w:hideMark/>
          </w:tcPr>
          <w:p w14:paraId="5AD92D43" w14:textId="77777777" w:rsidR="0033482A" w:rsidRPr="0033482A" w:rsidRDefault="0033482A" w:rsidP="0033482A">
            <w:r w:rsidRPr="0033482A">
              <w:rPr>
                <w:b/>
                <w:bCs/>
              </w:rPr>
              <w:t>Históricamente muy alta</w:t>
            </w:r>
            <w:r w:rsidRPr="0033482A">
              <w:t>. Actualmente </w:t>
            </w:r>
            <w:r w:rsidRPr="0033482A">
              <w:rPr>
                <w:b/>
                <w:bCs/>
              </w:rPr>
              <w:t>reducida considerablemente</w:t>
            </w:r>
            <w:r w:rsidRPr="0033482A">
              <w:t> tras la reforma de 2021.</w:t>
            </w:r>
          </w:p>
        </w:tc>
        <w:tc>
          <w:tcPr>
            <w:tcW w:w="0" w:type="auto"/>
            <w:tcBorders>
              <w:bottom w:val="single" w:sz="4" w:space="0" w:color="2D2F35"/>
            </w:tcBorders>
            <w:tcMar>
              <w:top w:w="180" w:type="dxa"/>
              <w:left w:w="0" w:type="dxa"/>
              <w:bottom w:w="180" w:type="dxa"/>
              <w:right w:w="0" w:type="dxa"/>
            </w:tcMar>
            <w:hideMark/>
          </w:tcPr>
          <w:p w14:paraId="58AA4439" w14:textId="7AC0D56C" w:rsidR="0033482A" w:rsidRPr="0033482A" w:rsidRDefault="0033482A" w:rsidP="0033482A">
            <w:r w:rsidRPr="0033482A">
              <w:t xml:space="preserve">La </w:t>
            </w:r>
            <w:r>
              <w:t>flexibilidad</w:t>
            </w:r>
            <w:r w:rsidRPr="0033482A">
              <w:t xml:space="preserve"> de las regulaciones para los contratos temporales era mucho </w:t>
            </w:r>
            <w:r>
              <w:t>mayor</w:t>
            </w:r>
            <w:r w:rsidRPr="0033482A">
              <w:t xml:space="preserve"> que para los fijos, lo que generaba una alta dualidad en el mercado laboral español. La reforma laboral ha tratado de corregir este desequilibrio, aumentando la protección para los temporales.</w:t>
            </w:r>
          </w:p>
        </w:tc>
      </w:tr>
    </w:tbl>
    <w:p w14:paraId="2BD66DB7" w14:textId="77777777" w:rsidR="0033482A" w:rsidRPr="0033482A" w:rsidRDefault="0033482A" w:rsidP="0033482A">
      <w:pPr>
        <w:rPr>
          <w:b/>
          <w:bCs/>
        </w:rPr>
      </w:pPr>
      <w:r w:rsidRPr="0033482A">
        <w:rPr>
          <w:b/>
          <w:bCs/>
        </w:rPr>
        <w:t>Puntos clave y efectos de las reformas</w:t>
      </w:r>
    </w:p>
    <w:p w14:paraId="5C3BD08F" w14:textId="77777777" w:rsidR="0033482A" w:rsidRPr="0033482A" w:rsidRDefault="0033482A" w:rsidP="0033482A">
      <w:pPr>
        <w:numPr>
          <w:ilvl w:val="0"/>
          <w:numId w:val="1"/>
        </w:numPr>
      </w:pPr>
      <w:r w:rsidRPr="0033482A">
        <w:rPr>
          <w:b/>
          <w:bCs/>
        </w:rPr>
        <w:t>Reforma laboral de 2021</w:t>
      </w:r>
      <w:r w:rsidRPr="0033482A">
        <w:t>: El principal cambio reciente en la posición de España fue la reforma laboral de 2021.</w:t>
      </w:r>
    </w:p>
    <w:p w14:paraId="7DBCD7EF" w14:textId="77777777" w:rsidR="0033482A" w:rsidRPr="0033482A" w:rsidRDefault="0033482A" w:rsidP="0033482A">
      <w:pPr>
        <w:numPr>
          <w:ilvl w:val="1"/>
          <w:numId w:val="1"/>
        </w:numPr>
      </w:pPr>
      <w:r w:rsidRPr="0033482A">
        <w:rPr>
          <w:b/>
          <w:bCs/>
        </w:rPr>
        <w:t>Impacto en la temporalidad</w:t>
      </w:r>
      <w:r w:rsidRPr="0033482A">
        <w:t>: Redujo drásticamente la incidencia de contratos temporales, que cayó del 21% a finales de 2021 a menos del 15% a principios de 2023.</w:t>
      </w:r>
    </w:p>
    <w:p w14:paraId="50B4F1CC" w14:textId="77777777" w:rsidR="0033482A" w:rsidRPr="0033482A" w:rsidRDefault="0033482A" w:rsidP="0033482A">
      <w:pPr>
        <w:numPr>
          <w:ilvl w:val="1"/>
          <w:numId w:val="1"/>
        </w:numPr>
      </w:pPr>
      <w:r w:rsidRPr="0033482A">
        <w:rPr>
          <w:b/>
          <w:bCs/>
        </w:rPr>
        <w:lastRenderedPageBreak/>
        <w:t>Contratos fijos discontinuos</w:t>
      </w:r>
      <w:r w:rsidRPr="0033482A">
        <w:t>: El aumento en el empleo fijo se vio impulsado por el mayor uso de los contratos fijos-discontinuos, que ofrecen más estabilidad que los temporales.</w:t>
      </w:r>
    </w:p>
    <w:p w14:paraId="48ACF042" w14:textId="00D09A0D" w:rsidR="0033482A" w:rsidRPr="0033482A" w:rsidRDefault="0033482A" w:rsidP="0033482A">
      <w:pPr>
        <w:numPr>
          <w:ilvl w:val="0"/>
          <w:numId w:val="1"/>
        </w:numPr>
      </w:pPr>
      <w:r w:rsidRPr="0033482A">
        <w:rPr>
          <w:b/>
          <w:bCs/>
        </w:rPr>
        <w:t>Posición general</w:t>
      </w:r>
      <w:r w:rsidRPr="0033482A">
        <w:t xml:space="preserve">: Si bien España ha sido tradicionalmente un país con una alta protección del empleo (especialmente para trabajadores fijos), la alta dualidad y precariedad de los contratos temporales era un problema destacado. La reforma de 2021 ha reequilibrado esta situación, </w:t>
      </w:r>
      <w:r>
        <w:t>reduciendo</w:t>
      </w:r>
      <w:r w:rsidRPr="0033482A">
        <w:t xml:space="preserve"> la </w:t>
      </w:r>
      <w:r>
        <w:t>flexibilidad</w:t>
      </w:r>
      <w:r w:rsidRPr="0033482A">
        <w:t xml:space="preserve"> de la regulación para contratos temporales y mejorando la calidad del empleo en general.</w:t>
      </w:r>
    </w:p>
    <w:p w14:paraId="2D89E2F4" w14:textId="77777777" w:rsidR="0033482A" w:rsidRPr="0033482A" w:rsidRDefault="0033482A" w:rsidP="0033482A">
      <w:pPr>
        <w:numPr>
          <w:ilvl w:val="0"/>
          <w:numId w:val="1"/>
        </w:numPr>
      </w:pPr>
      <w:r w:rsidRPr="0033482A">
        <w:rPr>
          <w:b/>
          <w:bCs/>
        </w:rPr>
        <w:t>Contexto del mercado laboral</w:t>
      </w:r>
      <w:r w:rsidRPr="0033482A">
        <w:t>: A pesar de los avances en la protección del empleo y la reducción de la temporalidad, la tasa de desempleo en España sigue siendo una de las más altas de la OCDE. Esto subraya que la protección del empleo es solo uno de los factores que influyen en los resultados del mercado laboral.</w:t>
      </w:r>
    </w:p>
    <w:p w14:paraId="1B247BB7" w14:textId="77777777" w:rsidR="00EC2496" w:rsidRDefault="00EC2496"/>
    <w:sectPr w:rsidR="00EC249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B31F78"/>
    <w:multiLevelType w:val="multilevel"/>
    <w:tmpl w:val="DAD4AF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523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482A"/>
    <w:rsid w:val="0033482A"/>
    <w:rsid w:val="003E7540"/>
    <w:rsid w:val="00704A83"/>
    <w:rsid w:val="00A713E8"/>
    <w:rsid w:val="00AD43F2"/>
    <w:rsid w:val="00B07B40"/>
    <w:rsid w:val="00E844C7"/>
    <w:rsid w:val="00EC249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F2C201"/>
  <w15:chartTrackingRefBased/>
  <w15:docId w15:val="{540594C3-A79D-4FF2-9AA9-562A41E34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348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348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3482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3482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3482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3482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3482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3482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3482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3482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3482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3482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3482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3482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3482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3482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3482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3482A"/>
    <w:rPr>
      <w:rFonts w:eastAsiaTheme="majorEastAsia" w:cstheme="majorBidi"/>
      <w:color w:val="272727" w:themeColor="text1" w:themeTint="D8"/>
    </w:rPr>
  </w:style>
  <w:style w:type="paragraph" w:styleId="Ttulo">
    <w:name w:val="Title"/>
    <w:basedOn w:val="Normal"/>
    <w:next w:val="Normal"/>
    <w:link w:val="TtuloCar"/>
    <w:uiPriority w:val="10"/>
    <w:qFormat/>
    <w:rsid w:val="003348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3482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3482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3482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3482A"/>
    <w:pPr>
      <w:spacing w:before="160"/>
      <w:jc w:val="center"/>
    </w:pPr>
    <w:rPr>
      <w:i/>
      <w:iCs/>
      <w:color w:val="404040" w:themeColor="text1" w:themeTint="BF"/>
    </w:rPr>
  </w:style>
  <w:style w:type="character" w:customStyle="1" w:styleId="CitaCar">
    <w:name w:val="Cita Car"/>
    <w:basedOn w:val="Fuentedeprrafopredeter"/>
    <w:link w:val="Cita"/>
    <w:uiPriority w:val="29"/>
    <w:rsid w:val="0033482A"/>
    <w:rPr>
      <w:i/>
      <w:iCs/>
      <w:color w:val="404040" w:themeColor="text1" w:themeTint="BF"/>
    </w:rPr>
  </w:style>
  <w:style w:type="paragraph" w:styleId="Prrafodelista">
    <w:name w:val="List Paragraph"/>
    <w:basedOn w:val="Normal"/>
    <w:uiPriority w:val="34"/>
    <w:qFormat/>
    <w:rsid w:val="0033482A"/>
    <w:pPr>
      <w:ind w:left="720"/>
      <w:contextualSpacing/>
    </w:pPr>
  </w:style>
  <w:style w:type="character" w:styleId="nfasisintenso">
    <w:name w:val="Intense Emphasis"/>
    <w:basedOn w:val="Fuentedeprrafopredeter"/>
    <w:uiPriority w:val="21"/>
    <w:qFormat/>
    <w:rsid w:val="0033482A"/>
    <w:rPr>
      <w:i/>
      <w:iCs/>
      <w:color w:val="0F4761" w:themeColor="accent1" w:themeShade="BF"/>
    </w:rPr>
  </w:style>
  <w:style w:type="paragraph" w:styleId="Citadestacada">
    <w:name w:val="Intense Quote"/>
    <w:basedOn w:val="Normal"/>
    <w:next w:val="Normal"/>
    <w:link w:val="CitadestacadaCar"/>
    <w:uiPriority w:val="30"/>
    <w:qFormat/>
    <w:rsid w:val="003348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3482A"/>
    <w:rPr>
      <w:i/>
      <w:iCs/>
      <w:color w:val="0F4761" w:themeColor="accent1" w:themeShade="BF"/>
    </w:rPr>
  </w:style>
  <w:style w:type="character" w:styleId="Referenciaintensa">
    <w:name w:val="Intense Reference"/>
    <w:basedOn w:val="Fuentedeprrafopredeter"/>
    <w:uiPriority w:val="32"/>
    <w:qFormat/>
    <w:rsid w:val="003348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448</Words>
  <Characters>2467</Characters>
  <Application>Microsoft Office Word</Application>
  <DocSecurity>0</DocSecurity>
  <Lines>20</Lines>
  <Paragraphs>5</Paragraphs>
  <ScaleCrop>false</ScaleCrop>
  <Company/>
  <LinksUpToDate>false</LinksUpToDate>
  <CharactersWithSpaces>2910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Alejandro Hidalgo Perez</dc:creator>
  <cp:keywords/>
  <dc:description/>
  <cp:lastModifiedBy>Manuel Alejandro Hidalgo Perez</cp:lastModifiedBy>
  <cp:revision>1</cp:revision>
  <dcterms:created xsi:type="dcterms:W3CDTF">2025-11-02T17:51:00Z</dcterms:created>
  <dcterms:modified xsi:type="dcterms:W3CDTF">2025-11-02T17:55:00Z</dcterms:modified>
</cp:coreProperties>
</file>