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5232" w14:textId="77777777" w:rsidR="00A31C8C" w:rsidRDefault="00A31C8C">
      <w:pPr>
        <w:pBdr>
          <w:top w:val="nil"/>
          <w:left w:val="nil"/>
          <w:bottom w:val="nil"/>
          <w:right w:val="nil"/>
          <w:between w:val="nil"/>
        </w:pBdr>
        <w:spacing w:after="240" w:line="275" w:lineRule="auto"/>
        <w:rPr>
          <w:color w:val="000000"/>
        </w:rPr>
      </w:pPr>
    </w:p>
    <w:p w14:paraId="19BB2228" w14:textId="77777777" w:rsidR="00A31C8C" w:rsidRDefault="00000000">
      <w:pPr>
        <w:pStyle w:val="Ttulo1"/>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Las Políticas Pasivas de Empleo en España: Un Análisis Estructural y Comparativa Internacional</w:t>
      </w:r>
    </w:p>
    <w:p w14:paraId="3B1A11C7"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228D070"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22D14E07" w14:textId="77777777" w:rsidR="00A31C8C"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Introducción: Marco Conceptual y Contexto de las Políticas Pasivas de Empleo</w:t>
      </w:r>
    </w:p>
    <w:p w14:paraId="52AB2767"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0B13717D"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03F57E70"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Definición y Objetivos</w:t>
      </w:r>
    </w:p>
    <w:p w14:paraId="7C0040BC"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30C07963"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Las políticas de empleo se dividen tradicionalmente en dos grandes categorías: activas y pasivas. Las políticas pasivas del mercado de trabajo (PPMT) son aquellas intervenciones públicas diseñadas para proporcionar una sustitución de ingresos a las personas que se encuentran en situación de desempleo o en riesgo inminente de sufrirlo.</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xml:space="preserve"> Su finalidad primordial es doble. A nivel microeconómico, actúan como una red de seguridad financiera para los trabajadores y sus familias, mitigando la pérdida de renta asociada a la pérdida del empleo. Esta protección económica permite a los desempleados no aceptar la primera oferta de trabajo disponible, facilitando un proceso de búsqueda más ajustado a sus cualificaciones y, teóricamente, mejorando la eficiencia del emparejamiento en el mercado laboral.</w:t>
      </w:r>
      <w:r>
        <w:rPr>
          <w:rFonts w:ascii="Google Sans Text" w:eastAsia="Google Sans Text" w:hAnsi="Google Sans Text" w:cs="Google Sans Text"/>
          <w:color w:val="444746"/>
          <w:sz w:val="24"/>
          <w:szCs w:val="24"/>
          <w:vertAlign w:val="superscript"/>
        </w:rPr>
        <w:t>2</w:t>
      </w:r>
      <w:r>
        <w:rPr>
          <w:rFonts w:ascii="Google Sans Text" w:eastAsia="Google Sans Text" w:hAnsi="Google Sans Text" w:cs="Google Sans Text"/>
          <w:color w:val="1B1C1D"/>
        </w:rPr>
        <w:t xml:space="preserve"> A nivel macroeconómico, las prestaciones por desempleo funcionan como un estabilizador automático fundamental, sosteniendo la demanda agregada durante las fases recesivas del ciclo económico al mantener un nivel mínimo de consumo en los hogares afectados por el paro.</w:t>
      </w:r>
    </w:p>
    <w:p w14:paraId="62FDA600"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D64270"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Debate Terminológico y Funcional</w:t>
      </w:r>
    </w:p>
    <w:p w14:paraId="31BFA6DE"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207166DF"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lastRenderedPageBreak/>
        <w:t>El adjetivo "pasivo" ha sido objeto de un intenso debate académico e institucional. La crítica principal es que sugiere una mera transferencia de renta sin contraprestación, lo cual subestima su rol sistémico en las economías modernas. De hecho, las PPMT son un pilar indispensable de los modelos de "</w:t>
      </w:r>
      <w:proofErr w:type="spellStart"/>
      <w:r>
        <w:rPr>
          <w:rFonts w:ascii="Google Sans Text" w:eastAsia="Google Sans Text" w:hAnsi="Google Sans Text" w:cs="Google Sans Text"/>
          <w:color w:val="1B1C1D"/>
        </w:rPr>
        <w:t>flexiseguridad</w:t>
      </w:r>
      <w:proofErr w:type="spellEnd"/>
      <w:r>
        <w:rPr>
          <w:rFonts w:ascii="Google Sans Text" w:eastAsia="Google Sans Text" w:hAnsi="Google Sans Text" w:cs="Google Sans Text"/>
          <w:color w:val="1B1C1D"/>
        </w:rPr>
        <w:t>", un paradigma que busca combinar la flexibilidad del mercado laboral para las empresas con una alta seguridad para los trabajadores.</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En este modelo, una generosa protección por desempleo (la faceta "pasiva") no es un obstáculo, sino una condición necesaria para que los trabajadores acepten un mayor grado de flexibilidad, como la facilidad de despido o la adaptabilidad de las jornadas. Un ejemplo paradigmático en España ha sido el uso extendido de los Expedientes de Regulación Temporal de Empleo (ERTE) durante la crisis de la COVID-19. Este mecanismo de flexibilidad interna, que evitó despidos masivos, fue viable gracias a que el sistema de protección por desempleo garantizó los ingresos de los trabajadores afectados.</w:t>
      </w:r>
      <w:r>
        <w:rPr>
          <w:rFonts w:ascii="Google Sans Text" w:eastAsia="Google Sans Text" w:hAnsi="Google Sans Text" w:cs="Google Sans Text"/>
          <w:color w:val="444746"/>
          <w:sz w:val="24"/>
          <w:szCs w:val="24"/>
          <w:vertAlign w:val="superscript"/>
        </w:rPr>
        <w:t>3</w:t>
      </w:r>
    </w:p>
    <w:p w14:paraId="398432C8"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A lo largo de las últimas décadas, se ha observado una tensión creciente entre la función original de garantía de rentas y una presión cada vez mayor por la "activación" de los perceptores de prestaciones. Esta tendencia, impulsada por organismos internacionales y la propia Unión Europea, busca vincular estrechamente el cobro de las ayudas a la participación en políticas activas (formación, orientación) y a la búsqueda activa de empleo.</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Este enfoque ha llevado a una progresiva "condicionalidad" de las prestaciones, desfigurando en parte su función primigenia de protección social y transformándolas en un instrumento al servicio de la empleabilidad, a veces con un fuerte componente disciplinario.</w:t>
      </w:r>
      <w:r>
        <w:rPr>
          <w:rFonts w:ascii="Google Sans Text" w:eastAsia="Google Sans Text" w:hAnsi="Google Sans Text" w:cs="Google Sans Text"/>
          <w:color w:val="444746"/>
          <w:sz w:val="24"/>
          <w:szCs w:val="24"/>
          <w:vertAlign w:val="superscript"/>
        </w:rPr>
        <w:t>3</w:t>
      </w:r>
    </w:p>
    <w:p w14:paraId="1F9CFE39"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64D182D5"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Estructura del Informe</w:t>
      </w:r>
    </w:p>
    <w:p w14:paraId="54951313"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60996BE"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El presente informe tiene como objetivo ofrecer un análisis exhaustivo y pormenorizado del sistema de políticas pasivas de empleo en España. Para ello, se estructura en cuatro secciones principales. La </w:t>
      </w:r>
      <w:r>
        <w:rPr>
          <w:rFonts w:ascii="Google Sans Text" w:eastAsia="Google Sans Text" w:hAnsi="Google Sans Text" w:cs="Google Sans Text"/>
          <w:b/>
          <w:color w:val="1B1C1D"/>
        </w:rPr>
        <w:t>Sección 1</w:t>
      </w:r>
      <w:r>
        <w:rPr>
          <w:rFonts w:ascii="Google Sans Text" w:eastAsia="Google Sans Text" w:hAnsi="Google Sans Text" w:cs="Google Sans Text"/>
          <w:color w:val="1B1C1D"/>
        </w:rPr>
        <w:t xml:space="preserve"> desglosa la arquitectura del sistema español, detallando los componentes de su nivel contributivo y asistencial, con especial atención a la profunda reforma de los subsidios aprobada en 2024. La </w:t>
      </w:r>
      <w:r>
        <w:rPr>
          <w:rFonts w:ascii="Google Sans Text" w:eastAsia="Google Sans Text" w:hAnsi="Google Sans Text" w:cs="Google Sans Text"/>
          <w:b/>
          <w:color w:val="1B1C1D"/>
        </w:rPr>
        <w:t>Sección 2</w:t>
      </w:r>
      <w:r>
        <w:rPr>
          <w:rFonts w:ascii="Google Sans Text" w:eastAsia="Google Sans Text" w:hAnsi="Google Sans Text" w:cs="Google Sans Text"/>
          <w:color w:val="1B1C1D"/>
        </w:rPr>
        <w:t xml:space="preserve"> presenta la dimensión cuantitativa del sistema, aportando datos sobre gasto público, número de beneficiarios y tasa de cobertura. La </w:t>
      </w:r>
      <w:r>
        <w:rPr>
          <w:rFonts w:ascii="Google Sans Text" w:eastAsia="Google Sans Text" w:hAnsi="Google Sans Text" w:cs="Google Sans Text"/>
          <w:b/>
          <w:color w:val="1B1C1D"/>
        </w:rPr>
        <w:t>Sección 3</w:t>
      </w:r>
      <w:r>
        <w:rPr>
          <w:rFonts w:ascii="Google Sans Text" w:eastAsia="Google Sans Text" w:hAnsi="Google Sans Text" w:cs="Google Sans Text"/>
          <w:color w:val="1B1C1D"/>
        </w:rPr>
        <w:t xml:space="preserve"> sitúa el modelo español en una perspectiva comparada, contrastando sus principales indicadores con los de otros países europeos de referencia. Finalmente, la </w:t>
      </w:r>
      <w:r>
        <w:rPr>
          <w:rFonts w:ascii="Google Sans Text" w:eastAsia="Google Sans Text" w:hAnsi="Google Sans Text" w:cs="Google Sans Text"/>
          <w:b/>
          <w:color w:val="1B1C1D"/>
        </w:rPr>
        <w:t>Sección 4</w:t>
      </w:r>
      <w:r>
        <w:rPr>
          <w:rFonts w:ascii="Google Sans Text" w:eastAsia="Google Sans Text" w:hAnsi="Google Sans Text" w:cs="Google Sans Text"/>
          <w:color w:val="1B1C1D"/>
        </w:rPr>
        <w:t xml:space="preserve"> aborda los debates clave en torno a la eficiencia, los incentivos y la sostenibilidad del sistema, sintetizando las perspectivas de los principales organismos de análisis económico. El informe se nutre de datos oficiales y análisis institucionales para proporcionar una visión integral y rigurosa, útil para la investigación y la toma de decisiones.</w:t>
      </w:r>
    </w:p>
    <w:p w14:paraId="68E8E4DE"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A0FD94" w14:textId="77777777" w:rsidR="00A31C8C"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Sección 1: El Sistema Español de Protección por Desempleo: Estructura y Componentes</w:t>
      </w:r>
    </w:p>
    <w:p w14:paraId="402CE3F1"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153171D7"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arquitectura del sistema español de protección por desempleo se articula en dos niveles jerárquicos: el nivel contributivo, basado en las cotizaciones previas del trabajador, y el nivel asistencial, de carácter subsidiario y condicionado a la insuficiencia de rentas. A esta estructura se añade una red de seguridad de último recurso, materializada principalmente en el Ingreso Mínimo Vital (IMV). En 2024, el nivel asistencial ha sido objeto de una reforma de gran calado que redefine su alcance, cuantía y compatibilidad con el empleo.</w:t>
      </w:r>
    </w:p>
    <w:p w14:paraId="24E8FE0E"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67145D"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Nivel Contributivo: La Prestación por Desempleo</w:t>
      </w:r>
    </w:p>
    <w:p w14:paraId="2284ECE2"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60805D50"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prestación contributiva, comúnmente conocida como "el paro", es la principal herramienta del sistema. Se financia a través de las cotizaciones por desempleo de trabajadores y empresas, y su acceso, duración y cuantía dependen directamente del historial laboral del beneficiario.</w:t>
      </w:r>
    </w:p>
    <w:p w14:paraId="37889D48"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F06971F"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Requisitos de Acceso</w:t>
      </w:r>
    </w:p>
    <w:p w14:paraId="0AE02A13"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54BADC04"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El requisito fundamental para acceder a la prestación contributiva es haber cotizado por desempleo un período mínimo de 360 días dentro de los seis años inmediatamente anteriores a la situación legal de desempleo.</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B1C1D"/>
        </w:rPr>
        <w:t xml:space="preserve"> Además, es imprescindible encontrarse en situación legal de desempleo (por despido, fin de contrato, etc.), estar inscrito como demandante de empleo y suscribir el "acuerdo de actividad".</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El procedimiento de solicitud debe realizarse en los 15 días hábiles siguientes al cese de la actividad laboral ante el Servicio Público de Empleo Estatal (SEPE), ya sea de forma telemática —a través de la Sede Electrónica del SEPE con certificado digital, DNIe o </w:t>
      </w:r>
      <w:proofErr w:type="spellStart"/>
      <w:r>
        <w:rPr>
          <w:rFonts w:ascii="Google Sans Text" w:eastAsia="Google Sans Text" w:hAnsi="Google Sans Text" w:cs="Google Sans Text"/>
          <w:color w:val="1B1C1D"/>
        </w:rPr>
        <w:t>Cl@ve</w:t>
      </w:r>
      <w:proofErr w:type="spellEnd"/>
      <w:r>
        <w:rPr>
          <w:rFonts w:ascii="Google Sans Text" w:eastAsia="Google Sans Text" w:hAnsi="Google Sans Text" w:cs="Google Sans Text"/>
          <w:color w:val="1B1C1D"/>
        </w:rPr>
        <w:t>— o presencialmente en una oficina de prestaciones, previa solicitud de cita.</w:t>
      </w:r>
      <w:r>
        <w:rPr>
          <w:rFonts w:ascii="Google Sans Text" w:eastAsia="Google Sans Text" w:hAnsi="Google Sans Text" w:cs="Google Sans Text"/>
          <w:color w:val="444746"/>
          <w:sz w:val="24"/>
          <w:szCs w:val="24"/>
          <w:vertAlign w:val="superscript"/>
        </w:rPr>
        <w:t>8</w:t>
      </w:r>
    </w:p>
    <w:p w14:paraId="1F975960"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0C4C7C23"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Duración de la Prestación</w:t>
      </w:r>
    </w:p>
    <w:p w14:paraId="6D431065"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40D8F00C"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La duración del derecho a percibir la prestación está directamente ligada al período de cotización acumulado en los últimos seis años. El sistema establece una escala progresiva que comienza con 120 días (4 meses) de prestación por el mínimo cotizado de 360 días, y se extiende hasta un máximo de 720 días (24 meses) para aquellos trabajadores que acrediten 2.160 o más días de cotización.</w:t>
      </w:r>
      <w:r>
        <w:rPr>
          <w:rFonts w:ascii="Google Sans Text" w:eastAsia="Google Sans Text" w:hAnsi="Google Sans Text" w:cs="Google Sans Text"/>
          <w:color w:val="444746"/>
          <w:sz w:val="24"/>
          <w:szCs w:val="24"/>
          <w:vertAlign w:val="superscript"/>
        </w:rPr>
        <w:t>6</w:t>
      </w:r>
    </w:p>
    <w:p w14:paraId="5D7DD1DA"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443AE660">
          <v:rect id="_x0000_i1025" style="width:0;height:1.5pt" o:hralign="center" o:hrstd="t" o:hr="t" fillcolor="#a0a0a0" stroked="f"/>
        </w:pict>
      </w:r>
      <w:r>
        <w:rPr>
          <w:rFonts w:ascii="Google Sans Text" w:eastAsia="Google Sans Text" w:hAnsi="Google Sans Text" w:cs="Google Sans Text"/>
          <w:b/>
          <w:color w:val="1B1C1D"/>
        </w:rPr>
        <w:t>Tabla 1: Duración de la Prestación Contributiva según Días Cotizados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A31C8C" w14:paraId="29B916D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E87BB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Período de cotización (días)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E644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Período de prestación (días)</w:t>
            </w:r>
          </w:p>
        </w:tc>
      </w:tr>
      <w:tr w:rsidR="00A31C8C" w14:paraId="717EAE0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DE81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360 a 539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D4D6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120</w:t>
            </w:r>
          </w:p>
        </w:tc>
      </w:tr>
      <w:tr w:rsidR="00A31C8C" w14:paraId="2078AF9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7EF8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540 a 719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D00E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180</w:t>
            </w:r>
          </w:p>
        </w:tc>
      </w:tr>
      <w:tr w:rsidR="00A31C8C" w14:paraId="7C12897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49EC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720 a 899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7CF6B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240</w:t>
            </w:r>
          </w:p>
        </w:tc>
      </w:tr>
      <w:tr w:rsidR="00A31C8C" w14:paraId="38118D5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FE3F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900 a 1.079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A00E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300</w:t>
            </w:r>
          </w:p>
        </w:tc>
      </w:tr>
      <w:tr w:rsidR="00A31C8C" w14:paraId="16D45CC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67F9E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1.080 a 1.259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AEEB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360</w:t>
            </w:r>
          </w:p>
        </w:tc>
      </w:tr>
      <w:tr w:rsidR="00A31C8C" w14:paraId="1DF786D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86C5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1.260 a 1.439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6190A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420</w:t>
            </w:r>
          </w:p>
        </w:tc>
      </w:tr>
      <w:tr w:rsidR="00A31C8C" w14:paraId="7475A7B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C27E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1.440 a 1.619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41EF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480</w:t>
            </w:r>
          </w:p>
        </w:tc>
      </w:tr>
      <w:tr w:rsidR="00A31C8C" w14:paraId="194DF6C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5FE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1.620 a 1.799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C69A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540</w:t>
            </w:r>
          </w:p>
        </w:tc>
      </w:tr>
      <w:tr w:rsidR="00A31C8C" w14:paraId="616D2F3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FFD76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1.800 a 1.979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F65D7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600</w:t>
            </w:r>
          </w:p>
        </w:tc>
      </w:tr>
      <w:tr w:rsidR="00A31C8C" w14:paraId="467D538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B8602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1.980 a 2.159</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D09C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660</w:t>
            </w:r>
          </w:p>
        </w:tc>
      </w:tr>
      <w:tr w:rsidR="00A31C8C" w14:paraId="146DDB8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9AD3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Desde 2.160</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77150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720</w:t>
            </w:r>
          </w:p>
        </w:tc>
      </w:tr>
    </w:tbl>
    <w:p w14:paraId="558A74F2"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Fuente: Servicio Público de Empleo Estatal (SEPE).</w:t>
      </w:r>
      <w:r>
        <w:rPr>
          <w:rFonts w:ascii="Google Sans Text" w:eastAsia="Google Sans Text" w:hAnsi="Google Sans Text" w:cs="Google Sans Text"/>
          <w:color w:val="444746"/>
          <w:sz w:val="24"/>
          <w:szCs w:val="24"/>
          <w:vertAlign w:val="superscript"/>
        </w:rPr>
        <w:t>12</w:t>
      </w:r>
    </w:p>
    <w:p w14:paraId="3BB551A3"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22A4D714">
          <v:rect id="_x0000_i1026" style="width:0;height:1.5pt" o:hralign="center" o:hrstd="t" o:hr="t" fillcolor="#a0a0a0" stroked="f"/>
        </w:pict>
      </w:r>
    </w:p>
    <w:p w14:paraId="3609BF5E"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Cálculo de la Cuantía</w:t>
      </w:r>
    </w:p>
    <w:p w14:paraId="2EFF5B3B"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155BB75C" w14:textId="77777777" w:rsidR="00A31C8C"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cuantía de la prestación se determina aplicando un porcentaje a la </w:t>
      </w:r>
      <w:r>
        <w:rPr>
          <w:rFonts w:ascii="Google Sans Text" w:eastAsia="Google Sans Text" w:hAnsi="Google Sans Text" w:cs="Google Sans Text"/>
          <w:b/>
          <w:color w:val="1B1C1D"/>
        </w:rPr>
        <w:t>base reguladora</w:t>
      </w:r>
      <w:r>
        <w:rPr>
          <w:rFonts w:ascii="Google Sans Text" w:eastAsia="Google Sans Text" w:hAnsi="Google Sans Text" w:cs="Google Sans Text"/>
          <w:color w:val="1B1C1D"/>
        </w:rPr>
        <w:t>, que es el promedio de las bases de cotización por contingencias profesionales durante los últimos 180 días cotizados.</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El importe a percibir es el siguiente:</w:t>
      </w:r>
    </w:p>
    <w:p w14:paraId="7A95FE7D" w14:textId="77777777" w:rsidR="00A31C8C"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Durante los </w:t>
      </w:r>
      <w:r>
        <w:rPr>
          <w:rFonts w:ascii="Google Sans Text" w:eastAsia="Google Sans Text" w:hAnsi="Google Sans Text" w:cs="Google Sans Text"/>
          <w:b/>
          <w:color w:val="1B1C1D"/>
        </w:rPr>
        <w:t>primeros 180 días</w:t>
      </w:r>
      <w:r>
        <w:rPr>
          <w:rFonts w:ascii="Google Sans Text" w:eastAsia="Google Sans Text" w:hAnsi="Google Sans Text" w:cs="Google Sans Text"/>
          <w:color w:val="1B1C1D"/>
        </w:rPr>
        <w:t xml:space="preserve">: se percibe el </w:t>
      </w:r>
      <w:r>
        <w:rPr>
          <w:rFonts w:ascii="Google Sans Text" w:eastAsia="Google Sans Text" w:hAnsi="Google Sans Text" w:cs="Google Sans Text"/>
          <w:b/>
          <w:color w:val="1B1C1D"/>
        </w:rPr>
        <w:t>70%</w:t>
      </w:r>
      <w:r>
        <w:rPr>
          <w:rFonts w:ascii="Google Sans Text" w:eastAsia="Google Sans Text" w:hAnsi="Google Sans Text" w:cs="Google Sans Text"/>
          <w:color w:val="1B1C1D"/>
        </w:rPr>
        <w:t xml:space="preserve"> de la base reguladora.</w:t>
      </w:r>
    </w:p>
    <w:p w14:paraId="6750F8D8" w14:textId="77777777" w:rsidR="00A31C8C"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A partir del </w:t>
      </w:r>
      <w:r>
        <w:rPr>
          <w:rFonts w:ascii="Google Sans Text" w:eastAsia="Google Sans Text" w:hAnsi="Google Sans Text" w:cs="Google Sans Text"/>
          <w:b/>
          <w:color w:val="1B1C1D"/>
        </w:rPr>
        <w:t>día 181</w:t>
      </w:r>
      <w:r>
        <w:rPr>
          <w:rFonts w:ascii="Google Sans Text" w:eastAsia="Google Sans Text" w:hAnsi="Google Sans Text" w:cs="Google Sans Text"/>
          <w:color w:val="1B1C1D"/>
        </w:rPr>
        <w:t xml:space="preserve">: el porcentaje se reduce al </w:t>
      </w:r>
      <w:r>
        <w:rPr>
          <w:rFonts w:ascii="Google Sans Text" w:eastAsia="Google Sans Text" w:hAnsi="Google Sans Text" w:cs="Google Sans Text"/>
          <w:b/>
          <w:color w:val="1B1C1D"/>
        </w:rPr>
        <w:t>60%</w:t>
      </w:r>
      <w:r>
        <w:rPr>
          <w:rFonts w:ascii="Google Sans Text" w:eastAsia="Google Sans Text" w:hAnsi="Google Sans Text" w:cs="Google Sans Text"/>
          <w:color w:val="1B1C1D"/>
        </w:rPr>
        <w:t xml:space="preserve"> de la base reguladora hasta el final de la prestación.</w:t>
      </w:r>
      <w:r>
        <w:rPr>
          <w:rFonts w:ascii="Google Sans Text" w:eastAsia="Google Sans Text" w:hAnsi="Google Sans Text" w:cs="Google Sans Text"/>
          <w:color w:val="444746"/>
          <w:sz w:val="24"/>
          <w:szCs w:val="24"/>
          <w:vertAlign w:val="superscript"/>
        </w:rPr>
        <w:t>7</w:t>
      </w:r>
    </w:p>
    <w:p w14:paraId="286764FD" w14:textId="77777777" w:rsidR="00A31C8C"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Es relevante señalar que este segundo tramo fue reducido al 50% por el Real Decreto-ley 20/2012, en un contexto de austeridad, pero fue restaurado al 60% por el Real Decreto-ley 1/2023, en un esfuerzo por mejorar la suficiencia de la prestación.</w:t>
      </w:r>
      <w:r>
        <w:rPr>
          <w:rFonts w:ascii="Google Sans Text" w:eastAsia="Google Sans Text" w:hAnsi="Google Sans Text" w:cs="Google Sans Text"/>
          <w:color w:val="444746"/>
          <w:sz w:val="24"/>
          <w:szCs w:val="24"/>
          <w:vertAlign w:val="superscript"/>
        </w:rPr>
        <w:t>7</w:t>
      </w:r>
    </w:p>
    <w:p w14:paraId="219A14AE"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2F1817BA"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Topes Máximos y Mínimos</w:t>
      </w:r>
    </w:p>
    <w:p w14:paraId="4A52FD1B"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6CC4DA09"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cuantía final de la prestación está sujeta a unos topes máximos y mínimos, que se calculan en función del Indicador Público de Renta de Efectos Múltiples (IPREM) y de si el beneficiario tiene o no responsabilidades familiares (hijos a cargo menores de 26 años o mayores con discapacidad).</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B1C1D"/>
        </w:rPr>
        <w:t xml:space="preserve"> Estos límites garantizan una prestación mínima con independencia de la base de cotización y, a su vez, contienen el gasto público para los salarios más elevados.</w:t>
      </w:r>
    </w:p>
    <w:p w14:paraId="56ED7451"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28DBEAD1">
          <v:rect id="_x0000_i1027" style="width:0;height:1.5pt" o:hralign="center" o:hrstd="t" o:hr="t" fillcolor="#a0a0a0" stroked="f"/>
        </w:pict>
      </w:r>
      <w:r>
        <w:rPr>
          <w:rFonts w:ascii="Google Sans Text" w:eastAsia="Google Sans Text" w:hAnsi="Google Sans Text" w:cs="Google Sans Text"/>
          <w:b/>
          <w:color w:val="1B1C1D"/>
        </w:rPr>
        <w:t>Tabla 2: Topes Máximos y Mínimos de la Prestación Contributiva (Valores 2024)</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1C8C" w14:paraId="357B469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43AB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E536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Cuantía Mensual (</w:t>
            </w:r>
            <w:proofErr w:type="gramStart"/>
            <w:r>
              <w:rPr>
                <w:rFonts w:ascii="Google Sans Text" w:eastAsia="Google Sans Text" w:hAnsi="Google Sans Text" w:cs="Google Sans Text"/>
                <w:b/>
                <w:color w:val="1B1C1D"/>
              </w:rPr>
              <w:t>Euros</w:t>
            </w:r>
            <w:proofErr w:type="gramEnd"/>
            <w:r>
              <w:rPr>
                <w:rFonts w:ascii="Google Sans Text" w:eastAsia="Google Sans Text" w:hAnsi="Google Sans Text" w:cs="Google Sans Text"/>
                <w:b/>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F2823E"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Porcentaje del IPREM (aprox.)</w:t>
            </w:r>
          </w:p>
        </w:tc>
      </w:tr>
      <w:tr w:rsidR="00A31C8C" w14:paraId="69F913A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0B07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Cuantía máxima sin hijos/as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E2D8E"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66B2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175%</w:t>
            </w:r>
          </w:p>
        </w:tc>
      </w:tr>
      <w:tr w:rsidR="00A31C8C" w14:paraId="0E8C070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3C3C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Cuantía máxima con 1 hijo/a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9DE5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47D6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w:t>
            </w:r>
          </w:p>
        </w:tc>
      </w:tr>
      <w:tr w:rsidR="00A31C8C" w14:paraId="1D89835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56D8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Cuantía máxima con 2 o más hijos/as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7CEC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1.575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4700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225%</w:t>
            </w:r>
          </w:p>
        </w:tc>
      </w:tr>
      <w:tr w:rsidR="00A31C8C" w14:paraId="21CA272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FBA0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Cuantía mínima sin hijos/as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0853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560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2A32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80%</w:t>
            </w:r>
          </w:p>
        </w:tc>
      </w:tr>
      <w:tr w:rsidR="00A31C8C" w14:paraId="3B04C44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4BB82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Cuantía mínima con hijos/as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E5E0C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749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E10B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107%</w:t>
            </w:r>
          </w:p>
        </w:tc>
      </w:tr>
    </w:tbl>
    <w:p w14:paraId="40EBAD2B"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Nota: Los importes son aproximados y se basan en el IPREM mensual de 600 euros para 2023, prorrogado para 2024. Los porcentajes del IPREM incluyen el incremento de una sexta parte. Fuentes:.</w:t>
      </w:r>
      <w:r>
        <w:rPr>
          <w:rFonts w:ascii="Google Sans Text" w:eastAsia="Google Sans Text" w:hAnsi="Google Sans Text" w:cs="Google Sans Text"/>
          <w:color w:val="444746"/>
          <w:sz w:val="24"/>
          <w:szCs w:val="24"/>
          <w:vertAlign w:val="superscript"/>
        </w:rPr>
        <w:t>6</w:t>
      </w:r>
    </w:p>
    <w:p w14:paraId="2C5F1361"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17CC1185">
          <v:rect id="_x0000_i1028" style="width:0;height:1.5pt" o:hralign="center" o:hrstd="t" o:hr="t" fillcolor="#a0a0a0" stroked="f"/>
        </w:pict>
      </w:r>
    </w:p>
    <w:p w14:paraId="56773206"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Nivel Asistencial: Los Subsidios por Desempleo (Pre-Reforma 2024)</w:t>
      </w:r>
    </w:p>
    <w:p w14:paraId="35C6FC74"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2DCFB3AD" w14:textId="77777777" w:rsidR="00A31C8C"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nivel asistencial está diseñado para proteger a aquellos trabajadores que no tienen derecho a la prestación contributiva (por no alcanzar la cotización mínima) o que ya la han agotado y siguen en desempleo. Su acceso está condicionado por dos requisitos clave:</w:t>
      </w:r>
    </w:p>
    <w:p w14:paraId="142CBCE8" w14:textId="77777777" w:rsidR="00A31C8C"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Carencia de rentas:</w:t>
      </w:r>
      <w:r>
        <w:rPr>
          <w:rFonts w:ascii="Google Sans Text" w:eastAsia="Google Sans Text" w:hAnsi="Google Sans Text" w:cs="Google Sans Text"/>
          <w:color w:val="1B1C1D"/>
        </w:rPr>
        <w:t xml:space="preserve"> El solicitante no puede tener rentas de cualquier naturaleza superiores al 75% del Salario Mínimo Interprofesional (SMI) vigente, excluida la parte proporcional de dos pagas extraordinarias.</w:t>
      </w:r>
      <w:r>
        <w:rPr>
          <w:rFonts w:ascii="Google Sans Text" w:eastAsia="Google Sans Text" w:hAnsi="Google Sans Text" w:cs="Google Sans Text"/>
          <w:color w:val="444746"/>
          <w:sz w:val="24"/>
          <w:szCs w:val="24"/>
          <w:vertAlign w:val="superscript"/>
        </w:rPr>
        <w:t>13</w:t>
      </w:r>
    </w:p>
    <w:p w14:paraId="1357C795" w14:textId="77777777" w:rsidR="00A31C8C"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Responsabilidades familiares:</w:t>
      </w:r>
      <w:r>
        <w:rPr>
          <w:rFonts w:ascii="Google Sans Text" w:eastAsia="Google Sans Text" w:hAnsi="Google Sans Text" w:cs="Google Sans Text"/>
          <w:color w:val="1B1C1D"/>
        </w:rPr>
        <w:t xml:space="preserve"> Para acceder a ciertos subsidios o para obtener una mayor duración, se exige tener a cargo al cónyuge o hijos menores de 26 años (o mayores con discapacidad) que también cumplan el requisito de carencia de rentas.</w:t>
      </w:r>
      <w:r>
        <w:rPr>
          <w:rFonts w:ascii="Google Sans Text" w:eastAsia="Google Sans Text" w:hAnsi="Google Sans Text" w:cs="Google Sans Text"/>
          <w:color w:val="444746"/>
          <w:sz w:val="24"/>
          <w:szCs w:val="24"/>
          <w:vertAlign w:val="superscript"/>
        </w:rPr>
        <w:t>14</w:t>
      </w:r>
    </w:p>
    <w:p w14:paraId="2990548E" w14:textId="77777777" w:rsidR="00A31C8C" w:rsidRDefault="00000000">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Antes de la reforma de 2024, la tipología de subsidios era compleja y fragmentada, incluyendo, entre otros:</w:t>
      </w:r>
    </w:p>
    <w:p w14:paraId="2108929F" w14:textId="77777777" w:rsidR="00A31C8C"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Subsidio por cotización insuficiente:</w:t>
      </w:r>
      <w:r>
        <w:rPr>
          <w:rFonts w:ascii="Google Sans Text" w:eastAsia="Google Sans Text" w:hAnsi="Google Sans Text" w:cs="Google Sans Text"/>
          <w:color w:val="1B1C1D"/>
        </w:rPr>
        <w:t xml:space="preserve"> Para quienes habían cotizado menos de 360 días. Su duración dependía de los meses cotizados y de la existencia de responsabilidades familiares.</w:t>
      </w:r>
      <w:r>
        <w:rPr>
          <w:rFonts w:ascii="Google Sans Text" w:eastAsia="Google Sans Text" w:hAnsi="Google Sans Text" w:cs="Google Sans Text"/>
          <w:color w:val="444746"/>
          <w:sz w:val="24"/>
          <w:szCs w:val="24"/>
          <w:vertAlign w:val="superscript"/>
        </w:rPr>
        <w:t>15</w:t>
      </w:r>
    </w:p>
    <w:p w14:paraId="60ED98BB" w14:textId="77777777" w:rsidR="00A31C8C"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Subsidio por agotamiento de la prestación contributiva:</w:t>
      </w:r>
      <w:r>
        <w:rPr>
          <w:rFonts w:ascii="Google Sans Text" w:eastAsia="Google Sans Text" w:hAnsi="Google Sans Text" w:cs="Google Sans Text"/>
          <w:color w:val="1B1C1D"/>
        </w:rPr>
        <w:t xml:space="preserve"> Conocido como "ayuda familiar", estaba destinado a quienes agotaban la prestación contributiva y tenían responsabilidades familiares.</w:t>
      </w:r>
      <w:r>
        <w:rPr>
          <w:rFonts w:ascii="Google Sans Text" w:eastAsia="Google Sans Text" w:hAnsi="Google Sans Text" w:cs="Google Sans Text"/>
          <w:color w:val="444746"/>
          <w:sz w:val="24"/>
          <w:szCs w:val="24"/>
          <w:vertAlign w:val="superscript"/>
        </w:rPr>
        <w:t>15</w:t>
      </w:r>
    </w:p>
    <w:p w14:paraId="160915E7" w14:textId="77777777" w:rsidR="00A31C8C"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Subsidio para mayores de 52 años:</w:t>
      </w:r>
      <w:r>
        <w:rPr>
          <w:rFonts w:ascii="Google Sans Text" w:eastAsia="Google Sans Text" w:hAnsi="Google Sans Text" w:cs="Google Sans Text"/>
          <w:color w:val="1B1C1D"/>
        </w:rPr>
        <w:t xml:space="preserve"> El más protector, se concedía hasta la edad de jubilación y era el único que incluía la cotización a la Seguridad Social para la pensión de jubilación.</w:t>
      </w:r>
      <w:r>
        <w:rPr>
          <w:rFonts w:ascii="Google Sans Text" w:eastAsia="Google Sans Text" w:hAnsi="Google Sans Text" w:cs="Google Sans Text"/>
          <w:color w:val="444746"/>
          <w:sz w:val="24"/>
          <w:szCs w:val="24"/>
          <w:vertAlign w:val="superscript"/>
        </w:rPr>
        <w:t>13</w:t>
      </w:r>
    </w:p>
    <w:p w14:paraId="7599FBD5" w14:textId="77777777" w:rsidR="00A31C8C" w:rsidRDefault="00A31C8C">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p>
    <w:p w14:paraId="2F5F0E12"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La Reforma de 2024 (Real Decreto-ley 2/2024): Simplificación y Mejora del Nivel Asistencial</w:t>
      </w:r>
    </w:p>
    <w:p w14:paraId="6CAB8D65"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0C5C5920"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Publicado en el BOE el 22 de mayo de 2024, el Real Decreto-ley 2/2024 introduce una profunda reestructuración del nivel asistencial, con entrada en vigor de la mayoría de sus medidas el 1 de noviembre de 2024.</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La reforma persigue simplificar el sistema, ampliar su cobertura y, de forma crucial, mejorar la compatibilidad con el empleo, en línea con los compromisos adquiridos en el Plan de Recuperación, Transformación y Resiliencia.</w:t>
      </w:r>
      <w:r>
        <w:rPr>
          <w:rFonts w:ascii="Google Sans Text" w:eastAsia="Google Sans Text" w:hAnsi="Google Sans Text" w:cs="Google Sans Text"/>
          <w:color w:val="444746"/>
          <w:sz w:val="24"/>
          <w:szCs w:val="24"/>
          <w:vertAlign w:val="superscript"/>
        </w:rPr>
        <w:t>24</w:t>
      </w:r>
    </w:p>
    <w:p w14:paraId="4DD3D6CC"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52E43676"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Nuevas Cuantías y Estructura Decreciente</w:t>
      </w:r>
    </w:p>
    <w:p w14:paraId="180A2B5B"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592DF768" w14:textId="77777777" w:rsidR="00A31C8C"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Una de las principales novedades es el aumento de la cuantía inicial del subsidio y la introducción de un perfil decreciente a lo largo del tiempo. Esta estructura busca proporcionar una mayor protección en los primeros meses de desempleo, al tiempo que genera un incentivo económico creciente para la reincorporación al mercado laboral. La lógica subyacente es que la probabilidad de encontrar empleo aumenta a medida que se acerca el agotamiento de la prestación, y un diseño decreciente puede adelantar este comportamiento.</w:t>
      </w:r>
      <w:r>
        <w:rPr>
          <w:rFonts w:ascii="Google Sans Text" w:eastAsia="Google Sans Text" w:hAnsi="Google Sans Text" w:cs="Google Sans Text"/>
          <w:color w:val="444746"/>
          <w:sz w:val="24"/>
          <w:szCs w:val="24"/>
          <w:vertAlign w:val="superscript"/>
        </w:rPr>
        <w:t>26</w:t>
      </w:r>
      <w:r>
        <w:rPr>
          <w:rFonts w:ascii="Google Sans Text" w:eastAsia="Google Sans Text" w:hAnsi="Google Sans Text" w:cs="Google Sans Text"/>
          <w:color w:val="1B1C1D"/>
        </w:rPr>
        <w:t xml:space="preserve"> La nueva escala es la siguiente:</w:t>
      </w:r>
    </w:p>
    <w:p w14:paraId="53793735" w14:textId="77777777" w:rsidR="00A31C8C"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Primeros 6 meses (180 días):</w:t>
      </w:r>
      <w:r>
        <w:rPr>
          <w:rFonts w:ascii="Google Sans Text" w:eastAsia="Google Sans Text" w:hAnsi="Google Sans Text" w:cs="Google Sans Text"/>
          <w:color w:val="1B1C1D"/>
        </w:rPr>
        <w:t xml:space="preserve"> 95% del IPREM (aproximadamente 570 euros mensuales).</w:t>
      </w:r>
    </w:p>
    <w:p w14:paraId="6C47D1B4" w14:textId="77777777" w:rsidR="00A31C8C"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Siguientes 6 meses (días 181 a 360):</w:t>
      </w:r>
      <w:r>
        <w:rPr>
          <w:rFonts w:ascii="Google Sans Text" w:eastAsia="Google Sans Text" w:hAnsi="Google Sans Text" w:cs="Google Sans Text"/>
          <w:color w:val="1B1C1D"/>
        </w:rPr>
        <w:t xml:space="preserve"> 90% del IPREM (aproximadamente 540 euros mensuales).</w:t>
      </w:r>
    </w:p>
    <w:p w14:paraId="1A44E459" w14:textId="77777777" w:rsidR="00A31C8C"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Resto del período:</w:t>
      </w:r>
      <w:r>
        <w:rPr>
          <w:rFonts w:ascii="Google Sans Text" w:eastAsia="Google Sans Text" w:hAnsi="Google Sans Text" w:cs="Google Sans Text"/>
          <w:color w:val="1B1C1D"/>
        </w:rPr>
        <w:t xml:space="preserve"> 80% del IPREM (aproximadamente 480 euros mensuales).</w:t>
      </w:r>
      <w:r>
        <w:rPr>
          <w:rFonts w:ascii="Google Sans Text" w:eastAsia="Google Sans Text" w:hAnsi="Google Sans Text" w:cs="Google Sans Text"/>
          <w:color w:val="444746"/>
          <w:sz w:val="24"/>
          <w:szCs w:val="24"/>
          <w:vertAlign w:val="superscript"/>
        </w:rPr>
        <w:t>10</w:t>
      </w:r>
    </w:p>
    <w:p w14:paraId="5FF8EAD8" w14:textId="77777777" w:rsidR="00A31C8C"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Una excepción importante es el </w:t>
      </w:r>
      <w:r>
        <w:rPr>
          <w:rFonts w:ascii="Google Sans Text" w:eastAsia="Google Sans Text" w:hAnsi="Google Sans Text" w:cs="Google Sans Text"/>
          <w:b/>
          <w:color w:val="1B1C1D"/>
        </w:rPr>
        <w:t>subsidio para mayores de 52 años</w:t>
      </w:r>
      <w:r>
        <w:rPr>
          <w:rFonts w:ascii="Google Sans Text" w:eastAsia="Google Sans Text" w:hAnsi="Google Sans Text" w:cs="Google Sans Text"/>
          <w:color w:val="1B1C1D"/>
        </w:rPr>
        <w:t>, que mantiene su cuantía fija en el 80% del IPREM durante todo el período de percepción, debido a su mayor duración y a que sigue siendo el único que cotiza para la jubilación.</w:t>
      </w:r>
      <w:r>
        <w:rPr>
          <w:rFonts w:ascii="Google Sans Text" w:eastAsia="Google Sans Text" w:hAnsi="Google Sans Text" w:cs="Google Sans Text"/>
          <w:color w:val="444746"/>
          <w:sz w:val="24"/>
          <w:szCs w:val="24"/>
          <w:vertAlign w:val="superscript"/>
        </w:rPr>
        <w:t>22</w:t>
      </w:r>
    </w:p>
    <w:p w14:paraId="6B56495E"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0AC8DAA2">
          <v:rect id="_x0000_i1029" style="width:0;height:1.5pt" o:hralign="center" o:hrstd="t" o:hr="t" fillcolor="#a0a0a0" stroked="f"/>
        </w:pict>
      </w:r>
      <w:r>
        <w:rPr>
          <w:rFonts w:ascii="Google Sans Text" w:eastAsia="Google Sans Text" w:hAnsi="Google Sans Text" w:cs="Google Sans Text"/>
          <w:b/>
          <w:color w:val="1B1C1D"/>
        </w:rPr>
        <w:t>Tabla 3: Cuantía del Subsidio por Desempleo tras la Reforma de 2024</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1C8C" w14:paraId="6F1F354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9806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Período de percepción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ECBF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Porcentaje del IPREM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4EFC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Importe Mensual (aprox. con IPREM 2024)</w:t>
            </w:r>
          </w:p>
        </w:tc>
      </w:tr>
      <w:tr w:rsidR="00A31C8C" w14:paraId="22F445A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4ACC8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Primeros 180 días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5A06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65F5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570 €</w:t>
            </w:r>
          </w:p>
        </w:tc>
      </w:tr>
      <w:tr w:rsidR="00A31C8C" w14:paraId="5F23542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FEDB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Días 181 a 360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FFA4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1130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540 €</w:t>
            </w:r>
          </w:p>
        </w:tc>
      </w:tr>
      <w:tr w:rsidR="00A31C8C" w14:paraId="5CE036A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00B8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partir del día 361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6E5B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7E67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480 €</w:t>
            </w:r>
          </w:p>
        </w:tc>
      </w:tr>
    </w:tbl>
    <w:p w14:paraId="209E321D"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Fuente: Real Decreto-ley 2/2024.</w:t>
      </w:r>
      <w:r>
        <w:rPr>
          <w:rFonts w:ascii="Google Sans Text" w:eastAsia="Google Sans Text" w:hAnsi="Google Sans Text" w:cs="Google Sans Text"/>
          <w:color w:val="444746"/>
          <w:sz w:val="24"/>
          <w:szCs w:val="24"/>
          <w:vertAlign w:val="superscript"/>
        </w:rPr>
        <w:t>23</w:t>
      </w:r>
    </w:p>
    <w:p w14:paraId="6FF53CE7"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56783EFC">
          <v:rect id="_x0000_i1030" style="width:0;height:1.5pt" o:hralign="center" o:hrstd="t" o:hr="t" fillcolor="#a0a0a0" stroked="f"/>
        </w:pict>
      </w:r>
    </w:p>
    <w:p w14:paraId="2E2E56DD"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Ampliación de la Cobertura</w:t>
      </w:r>
    </w:p>
    <w:p w14:paraId="42C73A52"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015340D"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La reforma elimina barreras de acceso que dejaban fuera a ciertos colectivos. La novedad más destacada es la </w:t>
      </w:r>
      <w:r>
        <w:rPr>
          <w:rFonts w:ascii="Google Sans Text" w:eastAsia="Google Sans Text" w:hAnsi="Google Sans Text" w:cs="Google Sans Text"/>
          <w:b/>
          <w:color w:val="1B1C1D"/>
        </w:rPr>
        <w:t>ampliación del subsidio por agotamiento de la prestación contributiva a los menores de 45 años sin responsabilidades familiares</w:t>
      </w:r>
      <w:r>
        <w:rPr>
          <w:rFonts w:ascii="Google Sans Text" w:eastAsia="Google Sans Text" w:hAnsi="Google Sans Text" w:cs="Google Sans Text"/>
          <w:color w:val="1B1C1D"/>
        </w:rPr>
        <w:t>, siempre que hayan agotado una prestación de, al menos, 360 días.</w:t>
      </w:r>
      <w:r>
        <w:rPr>
          <w:rFonts w:ascii="Google Sans Text" w:eastAsia="Google Sans Text" w:hAnsi="Google Sans Text" w:cs="Google Sans Text"/>
          <w:color w:val="444746"/>
          <w:sz w:val="24"/>
          <w:szCs w:val="24"/>
          <w:vertAlign w:val="superscript"/>
        </w:rPr>
        <w:t>23</w:t>
      </w:r>
      <w:r>
        <w:rPr>
          <w:rFonts w:ascii="Google Sans Text" w:eastAsia="Google Sans Text" w:hAnsi="Google Sans Text" w:cs="Google Sans Text"/>
          <w:color w:val="1B1C1D"/>
        </w:rPr>
        <w:t xml:space="preserve"> Asimismo, se universaliza el acceso al subsidio por cotizaciones insuficientes a los trabajadores eventuales agrarios de todo el territorio nacional.</w:t>
      </w:r>
      <w:r>
        <w:rPr>
          <w:rFonts w:ascii="Google Sans Text" w:eastAsia="Google Sans Text" w:hAnsi="Google Sans Text" w:cs="Google Sans Text"/>
          <w:color w:val="444746"/>
          <w:sz w:val="24"/>
          <w:szCs w:val="24"/>
          <w:vertAlign w:val="superscript"/>
        </w:rPr>
        <w:t>24</w:t>
      </w:r>
    </w:p>
    <w:p w14:paraId="787AD5DF"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1B6BD5A8"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Simplificación y Dinámica del Derecho</w:t>
      </w:r>
    </w:p>
    <w:p w14:paraId="12F05B6F"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29F07D27"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Se introducen medidas para agilizar el acceso a la protección. La más relevante es la </w:t>
      </w:r>
      <w:r>
        <w:rPr>
          <w:rFonts w:ascii="Google Sans Text" w:eastAsia="Google Sans Text" w:hAnsi="Google Sans Text" w:cs="Google Sans Text"/>
          <w:b/>
          <w:color w:val="1B1C1D"/>
        </w:rPr>
        <w:t>eliminación del mes de espera</w:t>
      </w:r>
      <w:r>
        <w:rPr>
          <w:rFonts w:ascii="Google Sans Text" w:eastAsia="Google Sans Text" w:hAnsi="Google Sans Text" w:cs="Google Sans Text"/>
          <w:color w:val="1B1C1D"/>
        </w:rPr>
        <w:t xml:space="preserve"> que antes era necesario para solicitar el subsidio tras agotar la prestación contributiva, evitando así vacíos de cobertura.</w:t>
      </w:r>
      <w:r>
        <w:rPr>
          <w:rFonts w:ascii="Google Sans Text" w:eastAsia="Google Sans Text" w:hAnsi="Google Sans Text" w:cs="Google Sans Text"/>
          <w:color w:val="444746"/>
          <w:sz w:val="24"/>
          <w:szCs w:val="24"/>
          <w:vertAlign w:val="superscript"/>
        </w:rPr>
        <w:t>24</w:t>
      </w:r>
      <w:r>
        <w:rPr>
          <w:rFonts w:ascii="Google Sans Text" w:eastAsia="Google Sans Text" w:hAnsi="Google Sans Text" w:cs="Google Sans Text"/>
          <w:color w:val="1B1C1D"/>
        </w:rPr>
        <w:t xml:space="preserve"> También se simplifican los requisitos de rentas en algunos supuestos, eliminando el doble requisito de carencia de rentas (propias y de la unidad familiar) y facilitando la gestión.</w:t>
      </w:r>
      <w:r>
        <w:rPr>
          <w:rFonts w:ascii="Google Sans Text" w:eastAsia="Google Sans Text" w:hAnsi="Google Sans Text" w:cs="Google Sans Text"/>
          <w:color w:val="444746"/>
          <w:sz w:val="24"/>
          <w:szCs w:val="24"/>
          <w:vertAlign w:val="superscript"/>
        </w:rPr>
        <w:t>23</w:t>
      </w:r>
    </w:p>
    <w:p w14:paraId="09FE141E"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7356794B"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Compatibilidad con el Empleo: El Complemento de Apoyo al Empleo (CAE)</w:t>
      </w:r>
    </w:p>
    <w:p w14:paraId="57782D81"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3876800F"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Esta es, quizás, la innovación más transformadora de la reforma, ya que representa un cambio de paradigma hacia un modelo de "activación subsidiada". El subsidio podrá ser compatible con un trabajo por cuenta ajena (a tiempo completo o parcial) durante un </w:t>
      </w:r>
      <w:r>
        <w:rPr>
          <w:rFonts w:ascii="Google Sans Text" w:eastAsia="Google Sans Text" w:hAnsi="Google Sans Text" w:cs="Google Sans Text"/>
          <w:b/>
          <w:color w:val="1B1C1D"/>
        </w:rPr>
        <w:t>máximo de 180 días</w:t>
      </w:r>
      <w:r>
        <w:rPr>
          <w:rFonts w:ascii="Google Sans Text" w:eastAsia="Google Sans Text" w:hAnsi="Google Sans Text" w:cs="Google Sans Text"/>
          <w:color w:val="1B1C1D"/>
        </w:rPr>
        <w:t xml:space="preserve"> por cada nuevo derecho reconocido.</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B1C1D"/>
        </w:rPr>
        <w:t xml:space="preserve"> Durante este período, el subsidio deja de ser una mera prestación por desempleo para convertirse en un </w:t>
      </w:r>
      <w:r>
        <w:rPr>
          <w:rFonts w:ascii="Google Sans Text" w:eastAsia="Google Sans Text" w:hAnsi="Google Sans Text" w:cs="Google Sans Text"/>
          <w:b/>
          <w:color w:val="1B1C1D"/>
        </w:rPr>
        <w:t>Complemento de Apoyo al Empleo (CAE)</w:t>
      </w:r>
      <w:r>
        <w:rPr>
          <w:rFonts w:ascii="Google Sans Text" w:eastAsia="Google Sans Text" w:hAnsi="Google Sans Text" w:cs="Google Sans Text"/>
          <w:color w:val="1B1C1D"/>
        </w:rPr>
        <w:t>, es decir, un complemento salarial. El objetivo es incentivar la aceptación de empleos, incluso si el salario inicial es relativamente bajo, facilitando así una reincorporación más rápida al mercado laboral. La cuantía del CAE se irá reduciendo trimestralmente en función de la jornada laboral y el tiempo transcurrido.</w:t>
      </w:r>
      <w:r>
        <w:rPr>
          <w:rFonts w:ascii="Google Sans Text" w:eastAsia="Google Sans Text" w:hAnsi="Google Sans Text" w:cs="Google Sans Text"/>
          <w:color w:val="444746"/>
          <w:sz w:val="24"/>
          <w:szCs w:val="24"/>
          <w:vertAlign w:val="superscript"/>
        </w:rPr>
        <w:t>22</w:t>
      </w:r>
      <w:r>
        <w:rPr>
          <w:rFonts w:ascii="Google Sans Text" w:eastAsia="Google Sans Text" w:hAnsi="Google Sans Text" w:cs="Google Sans Text"/>
          <w:color w:val="1B1C1D"/>
        </w:rPr>
        <w:t xml:space="preserve"> Este mecanismo alinea las políticas pasivas con un objetivo activo, reflejando las recomendaciones de organismos como la OCDE o el Banco de España para vincular más estrechamente protección y activación.</w:t>
      </w:r>
    </w:p>
    <w:p w14:paraId="351BA341"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52CC5C"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1.4. La Red de Seguridad de Último Recurso</w:t>
      </w:r>
    </w:p>
    <w:p w14:paraId="03768D70"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61CB503"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 aquellas personas que agotan toda la protección por desempleo o que nunca tuvieron acceso a ella, existen dos instrumentos principales que actúan como red de seguridad final.</w:t>
      </w:r>
    </w:p>
    <w:p w14:paraId="46592C8F"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0F565E"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Renta Activa de Inserción (RAI)</w:t>
      </w:r>
    </w:p>
    <w:p w14:paraId="75714DFB"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16C97D5D"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La RAI era un programa específico gestionado por el SEPE, destinado a desempleados con especiales dificultades de inserción y necesidades económicas, como parados de larga duración mayores de 45 años, personas con discapacidad, emigrantes retornados o víctimas de violencia de género.</w:t>
      </w:r>
      <w:r>
        <w:rPr>
          <w:rFonts w:ascii="Google Sans Text" w:eastAsia="Google Sans Text" w:hAnsi="Google Sans Text" w:cs="Google Sans Text"/>
          <w:color w:val="444746"/>
          <w:sz w:val="24"/>
          <w:szCs w:val="24"/>
          <w:vertAlign w:val="superscript"/>
        </w:rPr>
        <w:t>31</w:t>
      </w:r>
      <w:r>
        <w:rPr>
          <w:rFonts w:ascii="Google Sans Text" w:eastAsia="Google Sans Text" w:hAnsi="Google Sans Text" w:cs="Google Sans Text"/>
          <w:color w:val="1B1C1D"/>
        </w:rPr>
        <w:t xml:space="preserve"> Ofrecía una ayuda económica del 80% del IPREM (480 euros) durante 11 meses, con la posibilidad de solicitarse hasta en tres ocasiones.</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Sin embargo, la reforma de 2024 ha supuesto un punto de inflexión: </w:t>
      </w:r>
      <w:r>
        <w:rPr>
          <w:rFonts w:ascii="Google Sans Text" w:eastAsia="Google Sans Text" w:hAnsi="Google Sans Text" w:cs="Google Sans Text"/>
          <w:b/>
          <w:color w:val="1B1C1D"/>
        </w:rPr>
        <w:t>a partir del 1 de noviembre de 2024, se suprime el acceso a nuevos programas de RAI</w:t>
      </w:r>
      <w:r>
        <w:rPr>
          <w:rFonts w:ascii="Google Sans Text" w:eastAsia="Google Sans Text" w:hAnsi="Google Sans Text" w:cs="Google Sans Text"/>
          <w:color w:val="1B1C1D"/>
        </w:rPr>
        <w:t>. Las personas que ya fueran beneficiarias antes de esa fecha mantendrán su derecho hasta su extinción, pero no se admitirán nuevas solicitudes.</w:t>
      </w:r>
      <w:r>
        <w:rPr>
          <w:rFonts w:ascii="Google Sans Text" w:eastAsia="Google Sans Text" w:hAnsi="Google Sans Text" w:cs="Google Sans Text"/>
          <w:color w:val="444746"/>
          <w:sz w:val="24"/>
          <w:szCs w:val="24"/>
          <w:vertAlign w:val="superscript"/>
        </w:rPr>
        <w:t>23</w:t>
      </w:r>
    </w:p>
    <w:p w14:paraId="4ADB10E8"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51246FFE"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 Ingreso Mínimo Vital (IMV) como Última Red</w:t>
      </w:r>
    </w:p>
    <w:p w14:paraId="7DE949B2"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9BD3D7A"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Con la supresión paulatina de la RAI, el Ingreso Mínimo Vital (IMV) se consolida como la principal red de seguridad de último recurso del sistema de protección social español. A diferencia de las prestaciones por desempleo, el IMV es una prestación no contributiva de la Seguridad Social, gestionada por el Instituto Nacional de la Seguridad Social (INSS). Su objetivo es prevenir el riesgo de pobreza y exclusión social, garantizando un nivel de renta mínimo que no depende de un historial de cotización, sino de la situación de vulnerabilidad económica de la persona o de su unidad de convivencia, acreditada mediante un umbral de ingresos y patrimonio.</w:t>
      </w:r>
      <w:r>
        <w:rPr>
          <w:rFonts w:ascii="Google Sans Text" w:eastAsia="Google Sans Text" w:hAnsi="Google Sans Text" w:cs="Google Sans Text"/>
          <w:color w:val="444746"/>
          <w:sz w:val="24"/>
          <w:szCs w:val="24"/>
          <w:vertAlign w:val="superscript"/>
        </w:rPr>
        <w:t>36</w:t>
      </w:r>
    </w:p>
    <w:p w14:paraId="6BEC6F6C"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687B770C"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"Pasarela" entre Desempleo e IMV</w:t>
      </w:r>
    </w:p>
    <w:p w14:paraId="6392E817"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15DEA74E" w14:textId="77777777" w:rsidR="00A31C8C"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supresión de la RAI y la consolidación del IMV han venido acompañadas de una medida clave para asegurar la coherencia del sistema: la creación de una "pasarela" administrativa. Este mecanismo, introducido también por el RDL 2/2024, establece un procedimiento automático para facilitar la transición de los beneficiarios que agotan el subsidio por desempleo hacia el IMV, evitando lagunas en la cobertura.</w:t>
      </w:r>
      <w:r>
        <w:rPr>
          <w:rFonts w:ascii="Google Sans Text" w:eastAsia="Google Sans Text" w:hAnsi="Google Sans Text" w:cs="Google Sans Text"/>
          <w:color w:val="444746"/>
          <w:sz w:val="24"/>
          <w:szCs w:val="24"/>
          <w:vertAlign w:val="superscript"/>
        </w:rPr>
        <w:t>38</w:t>
      </w:r>
      <w:r>
        <w:rPr>
          <w:rFonts w:ascii="Google Sans Text" w:eastAsia="Google Sans Text" w:hAnsi="Google Sans Text" w:cs="Google Sans Text"/>
          <w:color w:val="1B1C1D"/>
        </w:rPr>
        <w:t xml:space="preserve"> El procedimiento es el siguiente:</w:t>
      </w:r>
    </w:p>
    <w:p w14:paraId="19C512DC" w14:textId="77777777" w:rsidR="00A31C8C"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Durante el trimestre previo al agotamiento del subsidio, el SEPE informa al beneficiario de esta posibilidad.</w:t>
      </w:r>
    </w:p>
    <w:p w14:paraId="38714C40" w14:textId="77777777" w:rsidR="00A31C8C"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El interesado debe dar su consentimiento explícito para que el SEPE remita sus datos al INSS.</w:t>
      </w:r>
    </w:p>
    <w:p w14:paraId="6D871448" w14:textId="77777777" w:rsidR="00A31C8C"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B1C1D"/>
        </w:rPr>
        <w:t>Tras el agotamiento, el SEPE envía la información necesaria al INSS, que inicia de oficio la tramitación del IMV.</w:t>
      </w:r>
      <w:r>
        <w:rPr>
          <w:rFonts w:ascii="Google Sans Text" w:eastAsia="Google Sans Text" w:hAnsi="Google Sans Text" w:cs="Google Sans Text"/>
          <w:color w:val="444746"/>
          <w:sz w:val="24"/>
          <w:szCs w:val="24"/>
          <w:vertAlign w:val="superscript"/>
        </w:rPr>
        <w:t>38</w:t>
      </w:r>
    </w:p>
    <w:p w14:paraId="7221F09C" w14:textId="77777777" w:rsidR="00A31C8C"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Este proceso no solo agiliza la gestión, sino que también clarifica la arquitectura del sistema: el SEPE se encarga de la protección vinculada a la carrera laboral, mientras que el INSS gestiona la protección social básica ligada a la situación de necesidad. Para reforzar esta articulación, la reforma establece que el subsidio por desempleo ya extinguido no computará como renta a la hora de calcular el derecho al IMV, facilitando el acceso a este último.</w:t>
      </w:r>
      <w:r>
        <w:rPr>
          <w:rFonts w:ascii="Google Sans Text" w:eastAsia="Google Sans Text" w:hAnsi="Google Sans Text" w:cs="Google Sans Text"/>
          <w:color w:val="444746"/>
          <w:sz w:val="24"/>
          <w:szCs w:val="24"/>
          <w:vertAlign w:val="superscript"/>
        </w:rPr>
        <w:t>38</w:t>
      </w:r>
    </w:p>
    <w:p w14:paraId="1B188497"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16A34856" w14:textId="77777777" w:rsidR="00A31C8C"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Sección 2: Dimensión Cuantitativa del Sistema de Protección Español</w:t>
      </w:r>
    </w:p>
    <w:p w14:paraId="111AB68E"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48DA189D"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 comprender la magnitud y el alcance real de las políticas pasivas en España, es fundamental analizar las cifras de gasto público, el número de personas protegidas y la tasa de cobertura del sistema. Estos indicadores, además de cuantificar el esfuerzo fiscal, revelan la sensibilidad del sistema al ciclo económico y permiten identificar tendencias estructurales en el mercado de trabajo.</w:t>
      </w:r>
    </w:p>
    <w:p w14:paraId="71EF0D42"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DC8F17"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Gasto Público en Prestaciones por Desempleo</w:t>
      </w:r>
    </w:p>
    <w:p w14:paraId="7A6A57C5"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5CB6087E"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4E70A137"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Evolución y Composición del Gasto</w:t>
      </w:r>
    </w:p>
    <w:p w14:paraId="51E593D8"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6F65AFA4"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El gasto en prestaciones por desempleo es uno de los componentes más cíclicos del presupuesto público. Aumenta drásticamente durante las recesiones, actuando como estabilizador, y se reduce en fases de crecimiento económico. Sin embargo, en el período reciente se ha observado una dinámica particular: a pesar de la continua reducción del número de parados registrados, el gasto en prestaciones ha experimentado un notable incremento. Durante el primer semestre de 2025, el gasto aumentó un 6,8% respecto al mismo período de 2024, lo que supuso 778 millones de euros adicionales.</w:t>
      </w:r>
      <w:r>
        <w:rPr>
          <w:rFonts w:ascii="Google Sans Text" w:eastAsia="Google Sans Text" w:hAnsi="Google Sans Text" w:cs="Google Sans Text"/>
          <w:color w:val="444746"/>
          <w:sz w:val="24"/>
          <w:szCs w:val="24"/>
          <w:vertAlign w:val="superscript"/>
        </w:rPr>
        <w:t>41</w:t>
      </w:r>
      <w:r>
        <w:rPr>
          <w:rFonts w:ascii="Google Sans Text" w:eastAsia="Google Sans Text" w:hAnsi="Google Sans Text" w:cs="Google Sans Text"/>
          <w:color w:val="1B1C1D"/>
        </w:rPr>
        <w:t xml:space="preserve"> Este crecimiento se desglosa de forma desigual: mientras el gasto en prestaciones contributivas se mantiene más estable, el destinado a subsidios ha sido el que más ha crecido, con un aumento del 11,4%.</w:t>
      </w:r>
      <w:r>
        <w:rPr>
          <w:rFonts w:ascii="Google Sans Text" w:eastAsia="Google Sans Text" w:hAnsi="Google Sans Text" w:cs="Google Sans Text"/>
          <w:color w:val="444746"/>
          <w:sz w:val="24"/>
          <w:szCs w:val="24"/>
          <w:vertAlign w:val="superscript"/>
        </w:rPr>
        <w:t>42</w:t>
      </w:r>
    </w:p>
    <w:p w14:paraId="2B100F2E"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Esta aparente paradoja se explica, en gran medida, por cambios estructurales en el mercado laboral español. El principal factor es la creciente incidencia de los </w:t>
      </w:r>
      <w:r>
        <w:rPr>
          <w:rFonts w:ascii="Google Sans Text" w:eastAsia="Google Sans Text" w:hAnsi="Google Sans Text" w:cs="Google Sans Text"/>
          <w:b/>
          <w:color w:val="1B1C1D"/>
        </w:rPr>
        <w:t>contratos fijos-discontinuos</w:t>
      </w:r>
      <w:r>
        <w:rPr>
          <w:rFonts w:ascii="Google Sans Text" w:eastAsia="Google Sans Text" w:hAnsi="Google Sans Text" w:cs="Google Sans Text"/>
          <w:color w:val="1B1C1D"/>
        </w:rPr>
        <w:t xml:space="preserve">, impulsados por la reforma laboral de 2021. Los trabajadores con esta modalidad contractual, durante sus períodos de inactividad, no figuran como parados </w:t>
      </w:r>
      <w:proofErr w:type="gramStart"/>
      <w:r>
        <w:rPr>
          <w:rFonts w:ascii="Google Sans Text" w:eastAsia="Google Sans Text" w:hAnsi="Google Sans Text" w:cs="Google Sans Text"/>
          <w:color w:val="1B1C1D"/>
        </w:rPr>
        <w:t>registrados</w:t>
      </w:r>
      <w:proofErr w:type="gramEnd"/>
      <w:r>
        <w:rPr>
          <w:rFonts w:ascii="Google Sans Text" w:eastAsia="Google Sans Text" w:hAnsi="Google Sans Text" w:cs="Google Sans Text"/>
          <w:color w:val="1B1C1D"/>
        </w:rPr>
        <w:t xml:space="preserve"> pero sí tienen derecho a percibir la prestación por desempleo si han generado el derecho. Este fenómeno provoca que el número de beneficiarios de prestaciones pueda crecer o mantenerse elevado incluso cuando el paro registrado desciende, impulsando el gasto total.</w:t>
      </w:r>
      <w:r>
        <w:rPr>
          <w:rFonts w:ascii="Google Sans Text" w:eastAsia="Google Sans Text" w:hAnsi="Google Sans Text" w:cs="Google Sans Text"/>
          <w:color w:val="444746"/>
          <w:sz w:val="24"/>
          <w:szCs w:val="24"/>
          <w:vertAlign w:val="superscript"/>
        </w:rPr>
        <w:t>42</w:t>
      </w:r>
    </w:p>
    <w:p w14:paraId="22232111"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5E1523FC">
          <v:rect id="_x0000_i1031" style="width:0;height:1.5pt" o:hralign="center" o:hrstd="t" o:hr="t" fillcolor="#a0a0a0" stroked="f"/>
        </w:pict>
      </w:r>
      <w:r>
        <w:rPr>
          <w:rFonts w:ascii="Google Sans Text" w:eastAsia="Google Sans Text" w:hAnsi="Google Sans Text" w:cs="Google Sans Text"/>
          <w:b/>
          <w:color w:val="1B1C1D"/>
        </w:rPr>
        <w:t>Tabla 4: Gasto en Prestaciones por Desempleo en España (2019-2023)</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31C8C" w14:paraId="6DF14D0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B85C5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Año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B8DA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Gasto Total (Millones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56EB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Gasto Prestación Contributiva (M€)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668A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Gasto Subsidios y otras (M€)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8E12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Gasto Total como % del PIB</w:t>
            </w:r>
          </w:p>
        </w:tc>
      </w:tr>
      <w:tr w:rsidR="00A31C8C" w14:paraId="5F977D7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525E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2019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B6A9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18.471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485F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11.230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B2F77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7.241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C81A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1,48%</w:t>
            </w:r>
          </w:p>
        </w:tc>
      </w:tr>
      <w:tr w:rsidR="00A31C8C" w14:paraId="4DBA35A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B56A9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60DD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33.394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D26A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FB33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8.271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A74A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2,97%</w:t>
            </w:r>
          </w:p>
        </w:tc>
      </w:tr>
      <w:tr w:rsidR="00A31C8C" w14:paraId="0A5C61A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96C2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A6491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24.814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ED13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16.545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C3CD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8.269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6B72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2,06%</w:t>
            </w:r>
          </w:p>
        </w:tc>
      </w:tr>
      <w:tr w:rsidR="00A31C8C" w14:paraId="038AEA4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B166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36C22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22.547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4665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14.120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69BE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8.427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E6C7C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1,69%</w:t>
            </w:r>
          </w:p>
        </w:tc>
      </w:tr>
      <w:tr w:rsidR="00A31C8C" w14:paraId="3EC3CF3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93B5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66B3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23.000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D264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14.500 (</w:t>
            </w:r>
            <w:proofErr w:type="spellStart"/>
            <w:r>
              <w:rPr>
                <w:rFonts w:ascii="Google Sans Text" w:eastAsia="Google Sans Text" w:hAnsi="Google Sans Text" w:cs="Google Sans Text"/>
                <w:color w:val="1B1C1D"/>
              </w:rPr>
              <w:t>est</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2733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8.500 (</w:t>
            </w:r>
            <w:proofErr w:type="spellStart"/>
            <w:r>
              <w:rPr>
                <w:rFonts w:ascii="Google Sans Text" w:eastAsia="Google Sans Text" w:hAnsi="Google Sans Text" w:cs="Google Sans Text"/>
                <w:color w:val="1B1C1D"/>
              </w:rPr>
              <w:t>est</w:t>
            </w:r>
            <w:proofErr w:type="spell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A135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1,58%</w:t>
            </w:r>
          </w:p>
        </w:tc>
      </w:tr>
    </w:tbl>
    <w:p w14:paraId="78F11AB6"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Nota: Los datos de 2020 y 2021 están fuertemente influenciados por el gasto extraordinario en </w:t>
      </w:r>
      <w:proofErr w:type="spellStart"/>
      <w:r>
        <w:rPr>
          <w:rFonts w:ascii="Google Sans Text" w:eastAsia="Google Sans Text" w:hAnsi="Google Sans Text" w:cs="Google Sans Text"/>
          <w:color w:val="1B1C1D"/>
        </w:rPr>
        <w:t>ERTEs</w:t>
      </w:r>
      <w:proofErr w:type="spellEnd"/>
      <w:r>
        <w:rPr>
          <w:rFonts w:ascii="Google Sans Text" w:eastAsia="Google Sans Text" w:hAnsi="Google Sans Text" w:cs="Google Sans Text"/>
          <w:color w:val="1B1C1D"/>
        </w:rPr>
        <w:t xml:space="preserve"> debido a la pandemia. Los datos de 2023 son estimaciones basadas en cifras preliminares. Las cifras de gasto y PIB son nominales. Fuentes: Elaboración propia a partir de datos del SEPE, Ministerio de Trabajo y Economía Social, e INE.</w:t>
      </w:r>
      <w:r>
        <w:rPr>
          <w:rFonts w:ascii="Google Sans Text" w:eastAsia="Google Sans Text" w:hAnsi="Google Sans Text" w:cs="Google Sans Text"/>
          <w:color w:val="444746"/>
          <w:sz w:val="24"/>
          <w:szCs w:val="24"/>
          <w:vertAlign w:val="superscript"/>
        </w:rPr>
        <w:t>41</w:t>
      </w:r>
    </w:p>
    <w:p w14:paraId="549ABEFD"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6C125D9A">
          <v:rect id="_x0000_i1032" style="width:0;height:1.5pt" o:hralign="center" o:hrstd="t" o:hr="t" fillcolor="#a0a0a0" stroked="f"/>
        </w:pict>
      </w:r>
    </w:p>
    <w:p w14:paraId="4F9DC7F3"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Cobertura y Beneficiarios del Sistema</w:t>
      </w:r>
    </w:p>
    <w:p w14:paraId="730C9F86"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4650C73F"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23F8A790"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Tasa de Cobertura</w:t>
      </w:r>
    </w:p>
    <w:p w14:paraId="1540F377"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7C8DFE3"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La tasa de cobertura mide la eficacia del sistema al calcular el porcentaje de personas desempleadas (parados registrados con experiencia laboral) que reciben algún tipo de prestación económica.</w:t>
      </w:r>
      <w:r>
        <w:rPr>
          <w:rFonts w:ascii="Google Sans Text" w:eastAsia="Google Sans Text" w:hAnsi="Google Sans Text" w:cs="Google Sans Text"/>
          <w:color w:val="444746"/>
          <w:sz w:val="24"/>
          <w:szCs w:val="24"/>
          <w:vertAlign w:val="superscript"/>
        </w:rPr>
        <w:t>45</w:t>
      </w:r>
      <w:r>
        <w:rPr>
          <w:rFonts w:ascii="Google Sans Text" w:eastAsia="Google Sans Text" w:hAnsi="Google Sans Text" w:cs="Google Sans Text"/>
          <w:color w:val="1B1C1D"/>
        </w:rPr>
        <w:t xml:space="preserve"> Este indicador ha mostrado una notable mejoría en la última década. En abril de 2025, la tasa de cobertura se situó en el 74,1%, un valor significativamente superior al registrado diez años antes.</w:t>
      </w:r>
      <w:r>
        <w:rPr>
          <w:rFonts w:ascii="Google Sans Text" w:eastAsia="Google Sans Text" w:hAnsi="Google Sans Text" w:cs="Google Sans Text"/>
          <w:color w:val="444746"/>
          <w:sz w:val="24"/>
          <w:szCs w:val="24"/>
          <w:vertAlign w:val="superscript"/>
        </w:rPr>
        <w:t>47</w:t>
      </w:r>
      <w:r>
        <w:rPr>
          <w:rFonts w:ascii="Google Sans Text" w:eastAsia="Google Sans Text" w:hAnsi="Google Sans Text" w:cs="Google Sans Text"/>
          <w:color w:val="1B1C1D"/>
        </w:rPr>
        <w:t xml:space="preserve"> A cierre de 2023, la tasa anual fue del 72,2%, la más alta desde 2011, lo que indica un fortalecimiento de la red de protección.</w:t>
      </w:r>
      <w:r>
        <w:rPr>
          <w:rFonts w:ascii="Google Sans Text" w:eastAsia="Google Sans Text" w:hAnsi="Google Sans Text" w:cs="Google Sans Text"/>
          <w:color w:val="444746"/>
          <w:sz w:val="24"/>
          <w:szCs w:val="24"/>
          <w:vertAlign w:val="superscript"/>
        </w:rPr>
        <w:t>45</w:t>
      </w:r>
      <w:r>
        <w:rPr>
          <w:rFonts w:ascii="Google Sans Text" w:eastAsia="Google Sans Text" w:hAnsi="Google Sans Text" w:cs="Google Sans Text"/>
          <w:color w:val="1B1C1D"/>
        </w:rPr>
        <w:t xml:space="preserve"> No obstante, es crucial interpretar este dato con cautela. Como se ha mencionado, el aumento de los fijos-discontinuos inactivos que cobran prestación sin contar como parados puede "inflar" artificialmente la tasa de cobertura, que en algunas regiones con alta estacionalidad llega a superar el 100% en temporada baja.</w:t>
      </w:r>
      <w:r>
        <w:rPr>
          <w:rFonts w:ascii="Google Sans Text" w:eastAsia="Google Sans Text" w:hAnsi="Google Sans Text" w:cs="Google Sans Text"/>
          <w:color w:val="444746"/>
          <w:sz w:val="24"/>
          <w:szCs w:val="24"/>
          <w:vertAlign w:val="superscript"/>
        </w:rPr>
        <w:t>42</w:t>
      </w:r>
    </w:p>
    <w:p w14:paraId="7042087D"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304C9B86" w14:textId="77777777" w:rsidR="00A31C8C" w:rsidRDefault="00000000">
      <w:pPr>
        <w:pStyle w:val="Ttulo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Número de Beneficiarios</w:t>
      </w:r>
    </w:p>
    <w:p w14:paraId="05F71DC1"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43D1FD2"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número total de beneficiarios es un reflejo directo de la situación del mercado laboral. A finales de marzo de 2025, había 1,62 millones de personas percibiendo una prestación por desempleo en España.</w:t>
      </w:r>
      <w:r>
        <w:rPr>
          <w:rFonts w:ascii="Google Sans Text" w:eastAsia="Google Sans Text" w:hAnsi="Google Sans Text" w:cs="Google Sans Text"/>
          <w:color w:val="444746"/>
          <w:sz w:val="24"/>
          <w:szCs w:val="24"/>
          <w:vertAlign w:val="superscript"/>
        </w:rPr>
        <w:t>48</w:t>
      </w:r>
      <w:r>
        <w:rPr>
          <w:rFonts w:ascii="Google Sans Text" w:eastAsia="Google Sans Text" w:hAnsi="Google Sans Text" w:cs="Google Sans Text"/>
          <w:color w:val="1B1C1D"/>
        </w:rPr>
        <w:t xml:space="preserve"> La evolución histórica muestra un pico durante la crisis financiera y un repunte muy agudo, aunque breve, durante la pandemia de COVID-19. El análisis de la composición de los beneficiarios es clave: una mayor proporción de perceptores de subsidios frente a prestaciones contributivas suele ser un indicador de un aumento del desempleo de larga duración, ya que muchos de ellos provienen del agotamiento del nivel contributivo.</w:t>
      </w:r>
    </w:p>
    <w:p w14:paraId="67FAA9A8"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179DBBBB">
          <v:rect id="_x0000_i1033" style="width:0;height:1.5pt" o:hralign="center" o:hrstd="t" o:hr="t" fillcolor="#a0a0a0" stroked="f"/>
        </w:pict>
      </w:r>
      <w:r>
        <w:rPr>
          <w:rFonts w:ascii="Google Sans Text" w:eastAsia="Google Sans Text" w:hAnsi="Google Sans Text" w:cs="Google Sans Text"/>
          <w:b/>
          <w:color w:val="1B1C1D"/>
        </w:rPr>
        <w:t>Tabla 5: Tasa de Cobertura y Número de Beneficiarios en España (2019-2024)</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31C8C" w14:paraId="373755B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B814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Año (Media Anual)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C36B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Tasa de Cobertura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B2EB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t>Nº</w:t>
            </w:r>
            <w:proofErr w:type="spellEnd"/>
            <w:r>
              <w:rPr>
                <w:rFonts w:ascii="Google Sans Text" w:eastAsia="Google Sans Text" w:hAnsi="Google Sans Text" w:cs="Google Sans Text"/>
                <w:b/>
                <w:color w:val="1B1C1D"/>
              </w:rPr>
              <w:t xml:space="preserve"> Total Beneficiarios (miles)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B28F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t>Nº</w:t>
            </w:r>
            <w:proofErr w:type="spellEnd"/>
            <w:r>
              <w:rPr>
                <w:rFonts w:ascii="Google Sans Text" w:eastAsia="Google Sans Text" w:hAnsi="Google Sans Text" w:cs="Google Sans Text"/>
                <w:b/>
                <w:color w:val="1B1C1D"/>
              </w:rPr>
              <w:t xml:space="preserve"> Beneficiarios Prest. Contributiva (miles)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EB44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t>Nº</w:t>
            </w:r>
            <w:proofErr w:type="spellEnd"/>
            <w:r>
              <w:rPr>
                <w:rFonts w:ascii="Google Sans Text" w:eastAsia="Google Sans Text" w:hAnsi="Google Sans Text" w:cs="Google Sans Text"/>
                <w:b/>
                <w:color w:val="1B1C1D"/>
              </w:rPr>
              <w:t xml:space="preserve"> Beneficiarios Nivel Asistencial (miles)</w:t>
            </w:r>
          </w:p>
        </w:tc>
      </w:tr>
      <w:tr w:rsidR="00A31C8C" w14:paraId="2381CA3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F6D3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2019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D07B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59,7%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D7DD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1.954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1D89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F85E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1.022</w:t>
            </w:r>
          </w:p>
        </w:tc>
      </w:tr>
      <w:tr w:rsidR="00A31C8C" w14:paraId="25D435C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74FC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CA78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66,3%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3301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2.551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8EAF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1.589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6A4B3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962</w:t>
            </w:r>
          </w:p>
        </w:tc>
      </w:tr>
      <w:tr w:rsidR="00A31C8C" w14:paraId="50751EB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FE0FE"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757F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68,9%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C6D44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2.163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AAC6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1.185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54BA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978</w:t>
            </w:r>
          </w:p>
        </w:tc>
      </w:tr>
      <w:tr w:rsidR="00A31C8C" w14:paraId="1C0F025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8177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9FB6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67,1%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EE5A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1.835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4D10E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965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E7AE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870</w:t>
            </w:r>
          </w:p>
        </w:tc>
      </w:tr>
      <w:tr w:rsidR="00A31C8C" w14:paraId="43B7A1F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8DDB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E1B0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72,2%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FD72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1.782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EA7F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905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DDD8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877</w:t>
            </w:r>
          </w:p>
        </w:tc>
      </w:tr>
      <w:tr w:rsidR="00A31C8C" w14:paraId="2787A02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D3D1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2024 (</w:t>
            </w:r>
            <w:proofErr w:type="gramStart"/>
            <w:r>
              <w:rPr>
                <w:rFonts w:ascii="Google Sans Text" w:eastAsia="Google Sans Text" w:hAnsi="Google Sans Text" w:cs="Google Sans Text"/>
                <w:color w:val="1B1C1D"/>
              </w:rPr>
              <w:t>Marzo</w:t>
            </w:r>
            <w:proofErr w:type="gramEnd"/>
            <w:r>
              <w:rPr>
                <w:rFonts w:ascii="Google Sans Text" w:eastAsia="Google Sans Text" w:hAnsi="Google Sans Text" w:cs="Google Sans Text"/>
                <w:color w:val="1B1C1D"/>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EB78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76,3%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C3E48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1.626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3D0A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775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7C7C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851</w:t>
            </w:r>
          </w:p>
        </w:tc>
      </w:tr>
    </w:tbl>
    <w:p w14:paraId="19175B2C"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Nota: La tasa de cobertura se refiere a la tasa bruta. El nivel asistencial incluye subsidios, Renta Activa de Inserción (RAI) y subsidio agrario. Los datos de 2020-2021 no incluyen a todos los beneficiarios de ERTE en el cálculo de la tasa de cobertura, lo que afecta a su comparabilidad. Fuentes: Elaboración propia a partir de datos del Ministerio de Trabajo y Economía Social, SEPE, CCOO y Banco de España.</w:t>
      </w:r>
      <w:r>
        <w:rPr>
          <w:rFonts w:ascii="Google Sans Text" w:eastAsia="Google Sans Text" w:hAnsi="Google Sans Text" w:cs="Google Sans Text"/>
          <w:color w:val="444746"/>
          <w:sz w:val="24"/>
          <w:szCs w:val="24"/>
          <w:vertAlign w:val="superscript"/>
        </w:rPr>
        <w:t>45</w:t>
      </w:r>
    </w:p>
    <w:p w14:paraId="30117583"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1937C63C">
          <v:rect id="_x0000_i1034" style="width:0;height:1.5pt" o:hralign="center" o:hrstd="t" o:hr="t" fillcolor="#a0a0a0" stroked="f"/>
        </w:pict>
      </w:r>
    </w:p>
    <w:p w14:paraId="28D5E3DB" w14:textId="77777777" w:rsidR="00A31C8C"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Sección 3: Perspectiva Comparada: El Sistema Español en el Contexto Europeo</w:t>
      </w:r>
    </w:p>
    <w:p w14:paraId="3093040E"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130F491B"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 evaluar adecuadamente el sistema español de protección por desempleo, es imprescindible situarlo en el contexto de sus homólogos europeos. Esta sección compara a España con una selección de países que representan diferentes modelos de estado del bienestar: Alemania y Francia (modelo continental), Italia y Portugal (modelo mediterráneo) y Suecia (modelo nórdico). El análisis se centrará en tres indicadores clave: el gasto público, la generosidad de las prestaciones y la duración de la protección.</w:t>
      </w:r>
    </w:p>
    <w:p w14:paraId="4C74573E"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43B579"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Gasto Público en Políticas de Mercado de Trabajo (LMP)</w:t>
      </w:r>
    </w:p>
    <w:p w14:paraId="0E95B588"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2061DC54"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metodología estandarizada de Eurostat y la OCDE sobre Políticas de Mercado de Trabajo (LMP, por sus siglas en inglés) permite una comparación homogénea del esfuerzo fiscal de cada país. Las políticas pasivas se engloban en la categoría "LMP </w:t>
      </w:r>
      <w:proofErr w:type="spellStart"/>
      <w:r>
        <w:rPr>
          <w:rFonts w:ascii="Google Sans Text" w:eastAsia="Google Sans Text" w:hAnsi="Google Sans Text" w:cs="Google Sans Text"/>
          <w:color w:val="1B1C1D"/>
        </w:rPr>
        <w:t>supports</w:t>
      </w:r>
      <w:proofErr w:type="spellEnd"/>
      <w:r>
        <w:rPr>
          <w:rFonts w:ascii="Google Sans Text" w:eastAsia="Google Sans Text" w:hAnsi="Google Sans Text" w:cs="Google Sans Text"/>
          <w:color w:val="1B1C1D"/>
        </w:rPr>
        <w:t>" (soportes), que comprende principalmente las prestaciones por desempleo (</w:t>
      </w:r>
      <w:proofErr w:type="spellStart"/>
      <w:r>
        <w:rPr>
          <w:rFonts w:ascii="Google Sans Text" w:eastAsia="Google Sans Text" w:hAnsi="Google Sans Text" w:cs="Google Sans Text"/>
          <w:color w:val="1B1C1D"/>
        </w:rPr>
        <w:t>out-of-work</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income</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maintenance</w:t>
      </w:r>
      <w:proofErr w:type="spellEnd"/>
      <w:r>
        <w:rPr>
          <w:rFonts w:ascii="Google Sans Text" w:eastAsia="Google Sans Text" w:hAnsi="Google Sans Text" w:cs="Google Sans Text"/>
          <w:color w:val="1B1C1D"/>
        </w:rPr>
        <w:t>) y las ayudas a la jubilación anticipada.</w:t>
      </w:r>
      <w:r>
        <w:rPr>
          <w:rFonts w:ascii="Google Sans Text" w:eastAsia="Google Sans Text" w:hAnsi="Google Sans Text" w:cs="Google Sans Text"/>
          <w:color w:val="444746"/>
          <w:sz w:val="24"/>
          <w:szCs w:val="24"/>
          <w:vertAlign w:val="superscript"/>
        </w:rPr>
        <w:t>50</w:t>
      </w:r>
      <w:r>
        <w:rPr>
          <w:rFonts w:ascii="Google Sans Text" w:eastAsia="Google Sans Text" w:hAnsi="Google Sans Text" w:cs="Google Sans Text"/>
          <w:color w:val="1B1C1D"/>
        </w:rPr>
        <w:t xml:space="preserve"> Medir este gasto como porcentaje del Producto Interior Bruto (PIB) neutraliza las diferencias en el tamaño de las economías y permite una comparación directa del peso relativo de esta política.</w:t>
      </w:r>
    </w:p>
    <w:p w14:paraId="654E45A6"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Históricamente, España ha presentado una cifra de gasto en políticas pasivas como porcentaje del PIB relativamente elevada en el contexto europeo. Esta situación no se debe tanto a una generosidad excepcional de las prestaciones individuales, sino a la necesidad de atender a un volumen de desempleados estructuralmente mayor que en los países de su entorno.</w:t>
      </w:r>
      <w:r>
        <w:rPr>
          <w:rFonts w:ascii="Google Sans Text" w:eastAsia="Google Sans Text" w:hAnsi="Google Sans Text" w:cs="Google Sans Text"/>
          <w:color w:val="444746"/>
          <w:sz w:val="24"/>
          <w:szCs w:val="24"/>
          <w:vertAlign w:val="superscript"/>
        </w:rPr>
        <w:t>51</w:t>
      </w:r>
      <w:r>
        <w:rPr>
          <w:rFonts w:ascii="Google Sans Text" w:eastAsia="Google Sans Text" w:hAnsi="Google Sans Text" w:cs="Google Sans Text"/>
          <w:color w:val="1B1C1D"/>
        </w:rPr>
        <w:t xml:space="preserve"> Durante las crisis económicas, esta cifra se dispara, reflejando el papel del sistema como estabilizador automático.</w:t>
      </w:r>
    </w:p>
    <w:p w14:paraId="06D2E7EC"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0BBCA259">
          <v:rect id="_x0000_i1035" style="width:0;height:1.5pt" o:hralign="center" o:hrstd="t" o:hr="t" fillcolor="#a0a0a0" stroked="f"/>
        </w:pict>
      </w:r>
      <w:r>
        <w:rPr>
          <w:rFonts w:ascii="Google Sans Text" w:eastAsia="Google Sans Text" w:hAnsi="Google Sans Text" w:cs="Google Sans Text"/>
          <w:b/>
          <w:color w:val="1B1C1D"/>
        </w:rPr>
        <w:t xml:space="preserve">Tabla 6: Gasto en Políticas Pasivas de Empleo (LMP </w:t>
      </w:r>
      <w:proofErr w:type="spellStart"/>
      <w:r>
        <w:rPr>
          <w:rFonts w:ascii="Google Sans Text" w:eastAsia="Google Sans Text" w:hAnsi="Google Sans Text" w:cs="Google Sans Text"/>
          <w:b/>
          <w:color w:val="1B1C1D"/>
        </w:rPr>
        <w:t>Supports</w:t>
      </w:r>
      <w:proofErr w:type="spellEnd"/>
      <w:r>
        <w:rPr>
          <w:rFonts w:ascii="Google Sans Text" w:eastAsia="Google Sans Text" w:hAnsi="Google Sans Text" w:cs="Google Sans Text"/>
          <w:b/>
          <w:color w:val="1B1C1D"/>
        </w:rPr>
        <w:t>) como % del PIB - Comparativa Europea</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31C8C" w14:paraId="0D3B8E5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17EA7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País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8A33F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2019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7692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2020 (Pandemia)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B189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2022</w:t>
            </w:r>
          </w:p>
        </w:tc>
      </w:tr>
      <w:tr w:rsidR="00A31C8C" w14:paraId="1DEA3E6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02A2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España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EA4E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9711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3,18%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B3344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1,75%</w:t>
            </w:r>
          </w:p>
        </w:tc>
      </w:tr>
      <w:tr w:rsidR="00A31C8C" w14:paraId="1908425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7988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Alemania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360F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0,70%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BA91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39F0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0,81%</w:t>
            </w:r>
          </w:p>
        </w:tc>
      </w:tr>
      <w:tr w:rsidR="00A31C8C" w14:paraId="68AC342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E6781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Francia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9A252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053D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E011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1,41%</w:t>
            </w:r>
          </w:p>
        </w:tc>
      </w:tr>
      <w:tr w:rsidR="00A31C8C" w14:paraId="0A1DEBC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59BEE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Italia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E15C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96A6B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7C85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1,22%</w:t>
            </w:r>
          </w:p>
        </w:tc>
      </w:tr>
      <w:tr w:rsidR="00A31C8C" w14:paraId="584DDF4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BFFC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Portugal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022C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0,81%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2E99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7E94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0,72%</w:t>
            </w:r>
          </w:p>
        </w:tc>
      </w:tr>
      <w:tr w:rsidR="00A31C8C" w14:paraId="0C26136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C6CE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Suecia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9E0C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0,55%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E0575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0,91%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31E1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0,52%</w:t>
            </w:r>
          </w:p>
        </w:tc>
      </w:tr>
      <w:tr w:rsidR="00A31C8C" w14:paraId="3D669A9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30EFE"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Media UE-27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22DF1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0,91%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4833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BA2E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0,96%</w:t>
            </w:r>
          </w:p>
        </w:tc>
      </w:tr>
    </w:tbl>
    <w:p w14:paraId="2446798A"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Fuente: Elaboración propia a partir de la base de datos de Eurostat (código: </w:t>
      </w:r>
      <w:proofErr w:type="spellStart"/>
      <w:r>
        <w:rPr>
          <w:rFonts w:ascii="Google Sans Text" w:eastAsia="Google Sans Text" w:hAnsi="Google Sans Text" w:cs="Google Sans Text"/>
          <w:color w:val="1B1C1D"/>
        </w:rPr>
        <w:t>lmp_expsumm</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53</w:t>
      </w:r>
    </w:p>
    <w:p w14:paraId="3EB16A51"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5EACECCC">
          <v:rect id="_x0000_i1036" style="width:0;height:1.5pt" o:hralign="center" o:hrstd="t" o:hr="t" fillcolor="#a0a0a0" stroked="f"/>
        </w:pict>
      </w:r>
    </w:p>
    <w:p w14:paraId="37486E55"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Generosidad de las Prestaciones: Tasas de Reemplazo Netas</w:t>
      </w:r>
    </w:p>
    <w:p w14:paraId="70BD829A"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314831FA"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 xml:space="preserve">Tasa de Reemplazo Neta (Net </w:t>
      </w:r>
      <w:proofErr w:type="spellStart"/>
      <w:r>
        <w:rPr>
          <w:rFonts w:ascii="Google Sans Text" w:eastAsia="Google Sans Text" w:hAnsi="Google Sans Text" w:cs="Google Sans Text"/>
          <w:b/>
          <w:color w:val="1B1C1D"/>
        </w:rPr>
        <w:t>Replacement</w:t>
      </w:r>
      <w:proofErr w:type="spellEnd"/>
      <w:r>
        <w:rPr>
          <w:rFonts w:ascii="Google Sans Text" w:eastAsia="Google Sans Text" w:hAnsi="Google Sans Text" w:cs="Google Sans Text"/>
          <w:b/>
          <w:color w:val="1B1C1D"/>
        </w:rPr>
        <w:t xml:space="preserve"> </w:t>
      </w:r>
      <w:proofErr w:type="spellStart"/>
      <w:r>
        <w:rPr>
          <w:rFonts w:ascii="Google Sans Text" w:eastAsia="Google Sans Text" w:hAnsi="Google Sans Text" w:cs="Google Sans Text"/>
          <w:b/>
          <w:color w:val="1B1C1D"/>
        </w:rPr>
        <w:t>Rate</w:t>
      </w:r>
      <w:proofErr w:type="spellEnd"/>
      <w:r>
        <w:rPr>
          <w:rFonts w:ascii="Google Sans Text" w:eastAsia="Google Sans Text" w:hAnsi="Google Sans Text" w:cs="Google Sans Text"/>
          <w:b/>
          <w:color w:val="1B1C1D"/>
        </w:rPr>
        <w:t xml:space="preserve"> - NRR)</w:t>
      </w:r>
      <w:r>
        <w:rPr>
          <w:rFonts w:ascii="Google Sans Text" w:eastAsia="Google Sans Text" w:hAnsi="Google Sans Text" w:cs="Google Sans Text"/>
          <w:color w:val="1B1C1D"/>
        </w:rPr>
        <w:t xml:space="preserve"> es el indicador más preciso para medir la generosidad de un sistema de prestaciones. Calculada por la OCDE, mide el porcentaje del ingreso neto de un trabajador (salario después de impuestos y cotizaciones) que es reemplazado por las prestaciones netas por desempleo (prestaciones después de impuestos más otras ayudas sociales como las familiares o de vivienda).</w:t>
      </w:r>
      <w:r>
        <w:rPr>
          <w:rFonts w:ascii="Google Sans Text" w:eastAsia="Google Sans Text" w:hAnsi="Google Sans Text" w:cs="Google Sans Text"/>
          <w:color w:val="444746"/>
          <w:sz w:val="24"/>
          <w:szCs w:val="24"/>
          <w:vertAlign w:val="superscript"/>
        </w:rPr>
        <w:t>55</w:t>
      </w:r>
    </w:p>
    <w:p w14:paraId="39B20A2E"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análisis comparado revela que la generosidad del sistema español es moderada y depende en gran medida de la estructura familiar. Para un trabajador soltero sin hijos, la tasa de reemplazo inicial en España se sitúa en un nivel intermedio dentro de Europa. Sin embargo, para familias con hijos, especialmente en el caso de parejas con un único ingreso, el sistema español tiende a ser menos generoso que los sistemas de países como Francia o los nórdicos, que suelen incorporar complementos familiares más potentes.</w:t>
      </w:r>
    </w:p>
    <w:p w14:paraId="7E3D4FB0"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2B053E5B">
          <v:rect id="_x0000_i1037" style="width:0;height:1.5pt" o:hralign="center" o:hrstd="t" o:hr="t" fillcolor="#a0a0a0" stroked="f"/>
        </w:pict>
      </w:r>
      <w:r>
        <w:rPr>
          <w:rFonts w:ascii="Google Sans Text" w:eastAsia="Google Sans Text" w:hAnsi="Google Sans Text" w:cs="Google Sans Text"/>
          <w:b/>
          <w:color w:val="1B1C1D"/>
        </w:rPr>
        <w:t>Tabla 7: Tasas de Reemplazo Netas Iniciales - Comparativa Europea (2022)</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1C8C" w14:paraId="0D51FCA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70FF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País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D634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Persona Soltera (100% Salario Medio)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5A89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Pareja 1 Ingreso, 2 Hijos (100% Salario Medio)</w:t>
            </w:r>
          </w:p>
        </w:tc>
      </w:tr>
      <w:tr w:rsidR="00A31C8C" w14:paraId="518F3CB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5765C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España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8FAA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3E32E"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71%</w:t>
            </w:r>
          </w:p>
        </w:tc>
      </w:tr>
      <w:tr w:rsidR="00A31C8C" w14:paraId="013E651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1A277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Alemania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9671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482E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71%</w:t>
            </w:r>
          </w:p>
        </w:tc>
      </w:tr>
      <w:tr w:rsidR="00A31C8C" w14:paraId="2C43A5D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B9957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Francia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7320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37D06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74%</w:t>
            </w:r>
          </w:p>
        </w:tc>
      </w:tr>
      <w:tr w:rsidR="00A31C8C" w14:paraId="50C9F0F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CE99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Italia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A1534"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C537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76%</w:t>
            </w:r>
          </w:p>
        </w:tc>
      </w:tr>
      <w:tr w:rsidR="00A31C8C" w14:paraId="00048AE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D0DB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Portugal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3055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16DF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74%</w:t>
            </w:r>
          </w:p>
        </w:tc>
      </w:tr>
      <w:tr w:rsidR="00A31C8C" w14:paraId="41459EF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08DA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Suecia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787E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4914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75%</w:t>
            </w:r>
          </w:p>
        </w:tc>
      </w:tr>
      <w:tr w:rsidR="00A31C8C" w14:paraId="37E4232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F04B97"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Media OCDE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09BD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8A6C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74%</w:t>
            </w:r>
          </w:p>
        </w:tc>
      </w:tr>
    </w:tbl>
    <w:p w14:paraId="46253B60"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Nota: Las tasas se refieren al primer mes de desempleo e incluyen prestaciones de desempleo, asistencia social y ayudas a la vivienda. Fuente: Elaboración propia a partir de la base de datos de la OCDE sobre Beneficios y Salarios.</w:t>
      </w:r>
      <w:r>
        <w:rPr>
          <w:rFonts w:ascii="Google Sans Text" w:eastAsia="Google Sans Text" w:hAnsi="Google Sans Text" w:cs="Google Sans Text"/>
          <w:color w:val="444746"/>
          <w:sz w:val="24"/>
          <w:szCs w:val="24"/>
          <w:vertAlign w:val="superscript"/>
        </w:rPr>
        <w:t>55</w:t>
      </w:r>
    </w:p>
    <w:p w14:paraId="1D63B229"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0335E049">
          <v:rect id="_x0000_i1038" style="width:0;height:1.5pt" o:hralign="center" o:hrstd="t" o:hr="t" fillcolor="#a0a0a0" stroked="f"/>
        </w:pict>
      </w:r>
    </w:p>
    <w:p w14:paraId="14B69209"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Duración y Condiciones de la Protección</w:t>
      </w:r>
    </w:p>
    <w:p w14:paraId="3B0D0D28"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EBE7F9C"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duración máxima de la protección contributiva es otro pilar fundamental de la generosidad de un sistema. Una mayor duración ofrece más seguridad al trabajador, pero también puede, en ausencia de políticas de activación efectivas, aumentar el riesgo de transición hacia el desempleo de larga duración.</w:t>
      </w:r>
    </w:p>
    <w:p w14:paraId="6D3279D5"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España, con una duración máxima de 24 meses, se sitúa en la franja alta en comparación con otros países europeos. Este período es similar al de Italia y Alemania (para trabajadores de más edad), pero inferior al de Francia (que puede llegar a 27-36 meses para los mayores). Es notablemente superior a la de países como Suecia. Esta duración relativamente prolongada puede influir en las estrategias de búsqueda de empleo, observándose empíricamente que la intensidad de la búsqueda se incrementa a medida que se aproxima la fecha de agotamiento de la prestación.</w:t>
      </w:r>
    </w:p>
    <w:p w14:paraId="4478CB74"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pict w14:anchorId="44E9FEFA">
          <v:rect id="_x0000_i1039" style="width:0;height:1.5pt" o:hralign="center" o:hrstd="t" o:hr="t" fillcolor="#a0a0a0" stroked="f"/>
        </w:pict>
      </w:r>
      <w:r>
        <w:rPr>
          <w:rFonts w:ascii="Google Sans Text" w:eastAsia="Google Sans Text" w:hAnsi="Google Sans Text" w:cs="Google Sans Text"/>
          <w:b/>
          <w:color w:val="1B1C1D"/>
        </w:rPr>
        <w:t>Tabla 8: Duración Máxima de las Prestaciones por Desempleo - Comparativa Europea (en meses)</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31C8C" w14:paraId="349EAD7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EA5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País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81D9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Duración Máxima (meses)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31738"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Notas</w:t>
            </w:r>
          </w:p>
        </w:tc>
      </w:tr>
      <w:tr w:rsidR="00A31C8C" w14:paraId="15ADE47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726ED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España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35DE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5AC41"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Requiere 6 años de cotización.</w:t>
            </w:r>
          </w:p>
        </w:tc>
      </w:tr>
      <w:tr w:rsidR="00A31C8C" w14:paraId="29D6600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22CBE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Alemania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F51D82"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9CDBC"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Solo para trabajadores mayores de 58 años; 12 meses como norma general.</w:t>
            </w:r>
          </w:p>
        </w:tc>
      </w:tr>
      <w:tr w:rsidR="00A31C8C" w14:paraId="14BC0D2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F490F"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Francia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128DB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40B23"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 trabajadores de 55 años o más; 18 meses para menores de 53. Puede extenderse hasta 36 meses.</w:t>
            </w:r>
          </w:p>
        </w:tc>
      </w:tr>
      <w:tr w:rsidR="00A31C8C" w14:paraId="2AC8BB6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0E63D"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Italia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D629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DB1530"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duración es la mitad de las semanas cotizadas en los últimos 4 años.</w:t>
            </w:r>
          </w:p>
        </w:tc>
      </w:tr>
      <w:tr w:rsidR="00A31C8C" w14:paraId="5E0FC66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A976A"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Portugal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FA96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2C3D6"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Puede extenderse hasta 26 meses para mayores de 50 años con larga carrera de cotización.</w:t>
            </w:r>
          </w:p>
        </w:tc>
      </w:tr>
      <w:tr w:rsidR="00A31C8C" w14:paraId="29A7052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3B3935"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Suecia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E6D49"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36ADB" w14:textId="77777777" w:rsidR="00A31C8C"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 extiende a 21 meses si se tienen hijos menores de 18 años.</w:t>
            </w:r>
          </w:p>
        </w:tc>
      </w:tr>
    </w:tbl>
    <w:p w14:paraId="077DD92E" w14:textId="77777777" w:rsidR="00A31C8C"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Fuente: Elaboración propia a partir de informes de UNEDIC.</w:t>
      </w:r>
      <w:r>
        <w:rPr>
          <w:rFonts w:ascii="Google Sans Text" w:eastAsia="Google Sans Text" w:hAnsi="Google Sans Text" w:cs="Google Sans Text"/>
          <w:color w:val="444746"/>
          <w:sz w:val="24"/>
          <w:szCs w:val="24"/>
          <w:vertAlign w:val="superscript"/>
        </w:rPr>
        <w:t>60</w:t>
      </w:r>
    </w:p>
    <w:p w14:paraId="02016C2E" w14:textId="77777777" w:rsidR="00A31C8C" w:rsidRDefault="00000000">
      <w:pPr>
        <w:pBdr>
          <w:top w:val="nil"/>
          <w:left w:val="nil"/>
          <w:bottom w:val="nil"/>
          <w:right w:val="nil"/>
          <w:between w:val="nil"/>
        </w:pBdr>
        <w:spacing w:before="120" w:after="240" w:line="275" w:lineRule="auto"/>
        <w:rPr>
          <w:rFonts w:ascii="Google Sans Text" w:eastAsia="Google Sans Text" w:hAnsi="Google Sans Text" w:cs="Google Sans Text"/>
          <w:color w:val="444746"/>
          <w:sz w:val="24"/>
          <w:szCs w:val="24"/>
          <w:vertAlign w:val="superscript"/>
        </w:rPr>
      </w:pPr>
      <w:r>
        <w:pict w14:anchorId="5FE787F9">
          <v:rect id="_x0000_i1040" style="width:0;height:1.5pt" o:hralign="center" o:hrstd="t" o:hr="t" fillcolor="#a0a0a0" stroked="f"/>
        </w:pict>
      </w:r>
    </w:p>
    <w:p w14:paraId="0B9FCDDC" w14:textId="77777777" w:rsidR="00A31C8C"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Sección 4: Debates y Perspectivas: Eficiencia, Incentivos y Sostenibilidad</w:t>
      </w:r>
    </w:p>
    <w:p w14:paraId="0CA9220B"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4F8BB9CB"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diseño y la implementación de las políticas pasivas de empleo en España son objeto de un continuo debate entre académicos, instituciones y agentes sociales. Las discusiones giran en torno a tres ejes principales: el equilibrio entre la protección y los incentivos a la búsqueda de empleo, los desafíos estructurales del mercado laboral y la sostenibilidad fiscal del sistema a largo plazo.</w:t>
      </w:r>
    </w:p>
    <w:p w14:paraId="3E6383B8"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C0F261"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El Equilibrio entre Protección e Incentivos a la Búsqueda de Empleo</w:t>
      </w:r>
    </w:p>
    <w:p w14:paraId="271F201F"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70201788"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Uno de los debates más recurrentes se centra en el posible "efecto desincentivo" de las prestaciones por desempleo. Un sistema excesivamente generoso en cuantía o duración podría, teóricamente, reducir la intensidad de la búsqueda de empleo y elevar el salario de reserva de los trabajadores, prolongando los períodos de paro.</w:t>
      </w:r>
    </w:p>
    <w:p w14:paraId="1A33A72F"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El </w:t>
      </w:r>
      <w:r>
        <w:rPr>
          <w:rFonts w:ascii="Google Sans Text" w:eastAsia="Google Sans Text" w:hAnsi="Google Sans Text" w:cs="Google Sans Text"/>
          <w:b/>
          <w:color w:val="1B1C1D"/>
        </w:rPr>
        <w:t>Banco de España</w:t>
      </w:r>
      <w:r>
        <w:rPr>
          <w:rFonts w:ascii="Google Sans Text" w:eastAsia="Google Sans Text" w:hAnsi="Google Sans Text" w:cs="Google Sans Text"/>
          <w:color w:val="1B1C1D"/>
        </w:rPr>
        <w:t xml:space="preserve"> ha sido una voz influyente en este debate. En sus informes anuales, ha abogado consistentemente por una revisión del sistema para mejorar los incentivos. Entre sus propuestas destacan la introducción de sendas decrecientes en la cuantía de las prestaciones y la posibilidad de compatibilizarlas con el empleo, convirtiéndolas temporalmente en complementos salariales.</w:t>
      </w:r>
      <w:r>
        <w:rPr>
          <w:rFonts w:ascii="Google Sans Text" w:eastAsia="Google Sans Text" w:hAnsi="Google Sans Text" w:cs="Google Sans Text"/>
          <w:color w:val="444746"/>
          <w:sz w:val="24"/>
          <w:szCs w:val="24"/>
          <w:vertAlign w:val="superscript"/>
        </w:rPr>
        <w:t>26</w:t>
      </w:r>
      <w:r>
        <w:rPr>
          <w:rFonts w:ascii="Google Sans Text" w:eastAsia="Google Sans Text" w:hAnsi="Google Sans Text" w:cs="Google Sans Text"/>
          <w:color w:val="1B1C1D"/>
        </w:rPr>
        <w:t xml:space="preserve"> Según sus análisis, un rediseño de este tipo podría elevar significativamente la probabilidad de reincorporación al empleo, especialmente para los colectivos más afectados por el paro de larga duración.</w:t>
      </w:r>
      <w:r>
        <w:rPr>
          <w:rFonts w:ascii="Google Sans Text" w:eastAsia="Google Sans Text" w:hAnsi="Google Sans Text" w:cs="Google Sans Text"/>
          <w:color w:val="444746"/>
          <w:sz w:val="24"/>
          <w:szCs w:val="24"/>
          <w:vertAlign w:val="superscript"/>
        </w:rPr>
        <w:t>63</w:t>
      </w:r>
    </w:p>
    <w:p w14:paraId="4AA16368"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Estudios de </w:t>
      </w:r>
      <w:proofErr w:type="spellStart"/>
      <w:r>
        <w:rPr>
          <w:rFonts w:ascii="Google Sans Text" w:eastAsia="Google Sans Text" w:hAnsi="Google Sans Text" w:cs="Google Sans Text"/>
          <w:i/>
          <w:color w:val="1B1C1D"/>
        </w:rPr>
        <w:t>think</w:t>
      </w:r>
      <w:proofErr w:type="spellEnd"/>
      <w:r>
        <w:rPr>
          <w:rFonts w:ascii="Google Sans Text" w:eastAsia="Google Sans Text" w:hAnsi="Google Sans Text" w:cs="Google Sans Text"/>
          <w:i/>
          <w:color w:val="1B1C1D"/>
        </w:rPr>
        <w:t xml:space="preserve"> </w:t>
      </w:r>
      <w:proofErr w:type="spellStart"/>
      <w:r>
        <w:rPr>
          <w:rFonts w:ascii="Google Sans Text" w:eastAsia="Google Sans Text" w:hAnsi="Google Sans Text" w:cs="Google Sans Text"/>
          <w:i/>
          <w:color w:val="1B1C1D"/>
        </w:rPr>
        <w:t>tanks</w:t>
      </w:r>
      <w:proofErr w:type="spellEnd"/>
      <w:r>
        <w:rPr>
          <w:rFonts w:ascii="Google Sans Text" w:eastAsia="Google Sans Text" w:hAnsi="Google Sans Text" w:cs="Google Sans Text"/>
          <w:color w:val="1B1C1D"/>
        </w:rPr>
        <w:t xml:space="preserve"> como </w:t>
      </w:r>
      <w:proofErr w:type="spellStart"/>
      <w:r>
        <w:rPr>
          <w:rFonts w:ascii="Google Sans Text" w:eastAsia="Google Sans Text" w:hAnsi="Google Sans Text" w:cs="Google Sans Text"/>
          <w:b/>
          <w:color w:val="1B1C1D"/>
        </w:rPr>
        <w:t>Fedea</w:t>
      </w:r>
      <w:proofErr w:type="spellEnd"/>
      <w:r>
        <w:rPr>
          <w:rFonts w:ascii="Google Sans Text" w:eastAsia="Google Sans Text" w:hAnsi="Google Sans Text" w:cs="Google Sans Text"/>
          <w:color w:val="1B1C1D"/>
        </w:rPr>
        <w:t xml:space="preserve"> y </w:t>
      </w:r>
      <w:proofErr w:type="spellStart"/>
      <w:r>
        <w:rPr>
          <w:rFonts w:ascii="Google Sans Text" w:eastAsia="Google Sans Text" w:hAnsi="Google Sans Text" w:cs="Google Sans Text"/>
          <w:b/>
          <w:color w:val="1B1C1D"/>
        </w:rPr>
        <w:t>Esade</w:t>
      </w:r>
      <w:proofErr w:type="spellEnd"/>
      <w:r>
        <w:rPr>
          <w:rFonts w:ascii="Google Sans Text" w:eastAsia="Google Sans Text" w:hAnsi="Google Sans Text" w:cs="Google Sans Text"/>
          <w:color w:val="1B1C1D"/>
        </w:rPr>
        <w:t xml:space="preserve"> han aportado evidencia empírica al respecto. Un análisis de </w:t>
      </w:r>
      <w:proofErr w:type="spellStart"/>
      <w:r>
        <w:rPr>
          <w:rFonts w:ascii="Google Sans Text" w:eastAsia="Google Sans Text" w:hAnsi="Google Sans Text" w:cs="Google Sans Text"/>
          <w:color w:val="1B1C1D"/>
        </w:rPr>
        <w:t>Esade</w:t>
      </w:r>
      <w:proofErr w:type="spellEnd"/>
      <w:r>
        <w:rPr>
          <w:rFonts w:ascii="Google Sans Text" w:eastAsia="Google Sans Text" w:hAnsi="Google Sans Text" w:cs="Google Sans Text"/>
          <w:color w:val="1B1C1D"/>
        </w:rPr>
        <w:t xml:space="preserve"> sobre la reforma de 2012, que redujo la cuantía de la prestación contributiva del 70% al 50% (posteriormente revertido al 60%) a partir del sexto mes, concluyó que dicha medida incrementó la tasa de retorno al empleo en un 41%.</w:t>
      </w:r>
      <w:r>
        <w:rPr>
          <w:rFonts w:ascii="Google Sans Text" w:eastAsia="Google Sans Text" w:hAnsi="Google Sans Text" w:cs="Google Sans Text"/>
          <w:color w:val="444746"/>
          <w:sz w:val="24"/>
          <w:szCs w:val="24"/>
          <w:vertAlign w:val="superscript"/>
        </w:rPr>
        <w:t>27</w:t>
      </w:r>
      <w:r>
        <w:rPr>
          <w:rFonts w:ascii="Google Sans Text" w:eastAsia="Google Sans Text" w:hAnsi="Google Sans Text" w:cs="Google Sans Text"/>
          <w:color w:val="1B1C1D"/>
        </w:rPr>
        <w:t xml:space="preserve"> Este efecto se producía principalmente por un cambio de comportamiento </w:t>
      </w:r>
      <w:r>
        <w:rPr>
          <w:rFonts w:ascii="Google Sans Text" w:eastAsia="Google Sans Text" w:hAnsi="Google Sans Text" w:cs="Google Sans Text"/>
          <w:i/>
          <w:color w:val="1B1C1D"/>
        </w:rPr>
        <w:t>antes</w:t>
      </w:r>
      <w:r>
        <w:rPr>
          <w:rFonts w:ascii="Google Sans Text" w:eastAsia="Google Sans Text" w:hAnsi="Google Sans Text" w:cs="Google Sans Text"/>
          <w:color w:val="1B1C1D"/>
        </w:rPr>
        <w:t xml:space="preserve"> del sexto mes, ya que los trabajadores aceleraban su búsqueda para evitar el recorte. Sin embargo, otras reformas, como el aumento de la edad de acceso al subsidio para mayores de 52 años, aunque también incentivaron la búsqueda de empleo, tuvieron costes asociados, como una mayor probabilidad de abandono del mercado laboral y una reducción salarial en los empleos encontrados.</w:t>
      </w:r>
      <w:r>
        <w:rPr>
          <w:rFonts w:ascii="Google Sans Text" w:eastAsia="Google Sans Text" w:hAnsi="Google Sans Text" w:cs="Google Sans Text"/>
          <w:color w:val="444746"/>
          <w:sz w:val="24"/>
          <w:szCs w:val="24"/>
          <w:vertAlign w:val="superscript"/>
        </w:rPr>
        <w:t>27</w:t>
      </w:r>
    </w:p>
    <w:p w14:paraId="2C6F6280"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reforma de los subsidios de 2024</w:t>
      </w:r>
      <w:r>
        <w:rPr>
          <w:rFonts w:ascii="Google Sans Text" w:eastAsia="Google Sans Text" w:hAnsi="Google Sans Text" w:cs="Google Sans Text"/>
          <w:color w:val="1B1C1D"/>
        </w:rPr>
        <w:t xml:space="preserve"> puede interpretarse como una respuesta directa a este debate. Por un lado, recoge la recomendación de una estructura decreciente (95%-90%-80% del IPREM) y la compatibilidad con el empleo a través del Complemento de Apoyo al Empleo (CAE), buscando reforzar los incentivos.</w:t>
      </w:r>
      <w:r>
        <w:rPr>
          <w:rFonts w:ascii="Google Sans Text" w:eastAsia="Google Sans Text" w:hAnsi="Google Sans Text" w:cs="Google Sans Text"/>
          <w:color w:val="444746"/>
          <w:sz w:val="24"/>
          <w:szCs w:val="24"/>
          <w:vertAlign w:val="superscript"/>
        </w:rPr>
        <w:t>24</w:t>
      </w:r>
      <w:r>
        <w:rPr>
          <w:rFonts w:ascii="Google Sans Text" w:eastAsia="Google Sans Text" w:hAnsi="Google Sans Text" w:cs="Google Sans Text"/>
          <w:color w:val="1B1C1D"/>
        </w:rPr>
        <w:t xml:space="preserve"> Por otro lado, refuerza la dimensión protectora al elevar la cuantía inicial (del 80% al 95% del IPREM) y ampliar la cobertura a colectivos previamente excluidos.</w:t>
      </w:r>
      <w:r>
        <w:rPr>
          <w:rFonts w:ascii="Google Sans Text" w:eastAsia="Google Sans Text" w:hAnsi="Google Sans Text" w:cs="Google Sans Text"/>
          <w:color w:val="444746"/>
          <w:sz w:val="24"/>
          <w:szCs w:val="24"/>
          <w:vertAlign w:val="superscript"/>
        </w:rPr>
        <w:t>23</w:t>
      </w:r>
      <w:r>
        <w:rPr>
          <w:rFonts w:ascii="Google Sans Text" w:eastAsia="Google Sans Text" w:hAnsi="Google Sans Text" w:cs="Google Sans Text"/>
          <w:color w:val="1B1C1D"/>
        </w:rPr>
        <w:t xml:space="preserve"> El éxito de este nuevo equilibrio dependerá de su capacidad para incentivar la reincorporación laboral sin precarizar las condiciones de entrada.</w:t>
      </w:r>
    </w:p>
    <w:p w14:paraId="48229A8C"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8FC2B9"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Desafíos Estructurales y Sostenibilidad Fiscal</w:t>
      </w:r>
    </w:p>
    <w:p w14:paraId="102E398F"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5862CA49"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El sistema de protección por desempleo no opera en el vacío, sino que interactúa con las características estructurales del mercado laboral español, notablemente su elevada tasa de paro estructural y su dualidad (la brecha entre trabajadores con contratos indefinidos y temporales).</w:t>
      </w:r>
      <w:r>
        <w:rPr>
          <w:rFonts w:ascii="Google Sans Text" w:eastAsia="Google Sans Text" w:hAnsi="Google Sans Text" w:cs="Google Sans Text"/>
          <w:color w:val="444746"/>
          <w:sz w:val="24"/>
          <w:szCs w:val="24"/>
          <w:vertAlign w:val="superscript"/>
        </w:rPr>
        <w:t>52</w:t>
      </w:r>
      <w:r>
        <w:rPr>
          <w:rFonts w:ascii="Google Sans Text" w:eastAsia="Google Sans Text" w:hAnsi="Google Sans Text" w:cs="Google Sans Text"/>
          <w:color w:val="1B1C1D"/>
        </w:rPr>
        <w:t xml:space="preserve"> Si bien las prestaciones no son la causa del paro estructural, un diseño subóptimo puede contribuir a su persistencia. La falta de una conexión efectiva entre la percepción de prestaciones (política pasiva) y la participación en itinerarios de formación y recolocación eficaces (política activa) es una de las críticas más recurrentes de organismos como </w:t>
      </w:r>
      <w:proofErr w:type="spellStart"/>
      <w:r>
        <w:rPr>
          <w:rFonts w:ascii="Google Sans Text" w:eastAsia="Google Sans Text" w:hAnsi="Google Sans Text" w:cs="Google Sans Text"/>
          <w:color w:val="1B1C1D"/>
        </w:rPr>
        <w:t>Fedea</w:t>
      </w:r>
      <w:proofErr w:type="spellEnd"/>
      <w:r>
        <w:rPr>
          <w:rFonts w:ascii="Google Sans Text" w:eastAsia="Google Sans Text" w:hAnsi="Google Sans Text" w:cs="Google Sans Text"/>
          <w:color w:val="1B1C1D"/>
        </w:rPr>
        <w:t xml:space="preserve"> y el Banco de España.</w:t>
      </w:r>
      <w:r>
        <w:rPr>
          <w:rFonts w:ascii="Google Sans Text" w:eastAsia="Google Sans Text" w:hAnsi="Google Sans Text" w:cs="Google Sans Text"/>
          <w:color w:val="444746"/>
          <w:sz w:val="24"/>
          <w:szCs w:val="24"/>
          <w:vertAlign w:val="superscript"/>
        </w:rPr>
        <w:t>62</w:t>
      </w:r>
    </w:p>
    <w:p w14:paraId="60F73A38"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Desde la perspectiva de la </w:t>
      </w:r>
      <w:r>
        <w:rPr>
          <w:rFonts w:ascii="Google Sans Text" w:eastAsia="Google Sans Text" w:hAnsi="Google Sans Text" w:cs="Google Sans Text"/>
          <w:b/>
          <w:color w:val="1B1C1D"/>
        </w:rPr>
        <w:t>sostenibilidad fiscal</w:t>
      </w:r>
      <w:r>
        <w:rPr>
          <w:rFonts w:ascii="Google Sans Text" w:eastAsia="Google Sans Text" w:hAnsi="Google Sans Text" w:cs="Google Sans Text"/>
          <w:color w:val="1B1C1D"/>
        </w:rPr>
        <w:t>, el elevado gasto en desempleo, especialmente durante las crisis, ejerce una presión considerable sobre las finanzas públicas. La Autoridad Independiente de Responsabilidad Fiscal (</w:t>
      </w:r>
      <w:proofErr w:type="spellStart"/>
      <w:r>
        <w:rPr>
          <w:rFonts w:ascii="Google Sans Text" w:eastAsia="Google Sans Text" w:hAnsi="Google Sans Text" w:cs="Google Sans Text"/>
          <w:color w:val="1B1C1D"/>
        </w:rPr>
        <w:t>AIReF</w:t>
      </w:r>
      <w:proofErr w:type="spellEnd"/>
      <w:r>
        <w:rPr>
          <w:rFonts w:ascii="Google Sans Text" w:eastAsia="Google Sans Text" w:hAnsi="Google Sans Text" w:cs="Google Sans Text"/>
          <w:color w:val="1B1C1D"/>
        </w:rPr>
        <w:t>), en sus análisis sobre la sostenibilidad de la Seguridad Social, ha señalado la existencia de un déficit estructural en el sistema. Aunque su foco principal son las pensiones, su análisis es pertinente, ya que el gasto del SEPE se integra contablemente en el perímetro de la Seguridad Social.</w:t>
      </w:r>
      <w:r>
        <w:rPr>
          <w:rFonts w:ascii="Google Sans Text" w:eastAsia="Google Sans Text" w:hAnsi="Google Sans Text" w:cs="Google Sans Text"/>
          <w:color w:val="444746"/>
          <w:sz w:val="24"/>
          <w:szCs w:val="24"/>
          <w:vertAlign w:val="superscript"/>
        </w:rPr>
        <w:t>66</w:t>
      </w:r>
      <w:r>
        <w:rPr>
          <w:rFonts w:ascii="Google Sans Text" w:eastAsia="Google Sans Text" w:hAnsi="Google Sans Text" w:cs="Google Sans Text"/>
          <w:color w:val="1B1C1D"/>
        </w:rPr>
        <w:t xml:space="preserve"> Un sistema de protección que no logre facilitar una rápida reincorporación al empleo no solo afecta a los individuos, sino que también perpetúa un ciclo de alto gasto público y menores ingresos por cotizaciones, comprometiendo su viabilidad a largo plazo.</w:t>
      </w:r>
    </w:p>
    <w:p w14:paraId="07815F2C" w14:textId="77777777" w:rsidR="00A31C8C" w:rsidRDefault="00A31C8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2CD2E2" w14:textId="77777777" w:rsidR="00A31C8C" w:rsidRDefault="00000000">
      <w:pPr>
        <w:pStyle w:val="Ttulo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4.3. Recomendaciones de Política Pública</w:t>
      </w:r>
    </w:p>
    <w:p w14:paraId="17A2EEE9"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60B42D12" w14:textId="77777777" w:rsidR="00A31C8C"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Del análisis se desprenden dos líneas de actuación prioritarias para la mejora del sistema:</w:t>
      </w:r>
    </w:p>
    <w:p w14:paraId="7B31EFDD" w14:textId="77777777" w:rsidR="00A31C8C"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Integración real de políticas activas y pasivas:</w:t>
      </w:r>
      <w:r>
        <w:rPr>
          <w:rFonts w:ascii="Google Sans Text" w:eastAsia="Google Sans Text" w:hAnsi="Google Sans Text" w:cs="Google Sans Text"/>
          <w:color w:val="1B1C1D"/>
        </w:rPr>
        <w:t xml:space="preserve"> Es crucial superar el actual modelo, donde la vinculación a las políticas activas es a menudo un requisito formal ("suscribir el acuerdo de actividad"). La recepción de una prestación debería estar indisolublemente ligada a la participación en un itinerario de inserción personalizado, verificable y de calidad, gestionado por unos servicios públicos de empleo dotados de los recursos técnicos y humanos necesarios. La reforma de 2024 avanza en los incentivos económicos (CAE), pero debe complementarse con una reforma en profundidad de los servicios de activación.</w:t>
      </w:r>
    </w:p>
    <w:p w14:paraId="45CBF9CE" w14:textId="77777777" w:rsidR="00A31C8C"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Cultura de evaluación continua y rigurosa:</w:t>
      </w:r>
      <w:r>
        <w:rPr>
          <w:rFonts w:ascii="Google Sans Text" w:eastAsia="Google Sans Text" w:hAnsi="Google Sans Text" w:cs="Google Sans Text"/>
          <w:color w:val="1B1C1D"/>
        </w:rPr>
        <w:t xml:space="preserve"> La efectividad de las reformas debe medirse de forma sistemática. Es imperativo establecer mecanismos de evaluación de impacto para analizar los resultados de la reforma de 2024. Se debe medir, por ejemplo, si el CAE realmente mejora la empleabilidad a medio plazo o si solo subsidia empleos de baja calidad y corta duración, o si la estructura decreciente de las cuantías tiene un efecto significativo en la rapidez de la reinserción. Para ello, es fundamental el uso de microdatos administrativos, como la Muestra Continua de Vidas Laborales (MCVL), que permiten análisis </w:t>
      </w:r>
      <w:proofErr w:type="spellStart"/>
      <w:proofErr w:type="gramStart"/>
      <w:r>
        <w:rPr>
          <w:rFonts w:ascii="Google Sans Text" w:eastAsia="Google Sans Text" w:hAnsi="Google Sans Text" w:cs="Google Sans Text"/>
          <w:color w:val="1B1C1D"/>
        </w:rPr>
        <w:t>cuasi-experimentales</w:t>
      </w:r>
      <w:proofErr w:type="spellEnd"/>
      <w:proofErr w:type="gramEnd"/>
      <w:r>
        <w:rPr>
          <w:rFonts w:ascii="Google Sans Text" w:eastAsia="Google Sans Text" w:hAnsi="Google Sans Text" w:cs="Google Sans Text"/>
          <w:color w:val="1B1C1D"/>
        </w:rPr>
        <w:t xml:space="preserve"> rigurosos, como demandan los principales centros de investigación económica.</w:t>
      </w:r>
      <w:r>
        <w:rPr>
          <w:rFonts w:ascii="Google Sans Text" w:eastAsia="Google Sans Text" w:hAnsi="Google Sans Text" w:cs="Google Sans Text"/>
          <w:color w:val="444746"/>
          <w:sz w:val="24"/>
          <w:szCs w:val="24"/>
          <w:vertAlign w:val="superscript"/>
        </w:rPr>
        <w:t>67</w:t>
      </w:r>
    </w:p>
    <w:p w14:paraId="3D3B2BE1" w14:textId="77777777" w:rsidR="00A31C8C" w:rsidRDefault="00A31C8C">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p>
    <w:p w14:paraId="220F1AA0" w14:textId="77777777" w:rsidR="00A31C8C" w:rsidRDefault="00000000">
      <w:pPr>
        <w:pStyle w:val="Ttulo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Conclusiones</w:t>
      </w:r>
    </w:p>
    <w:p w14:paraId="387D3555" w14:textId="77777777" w:rsidR="00A31C8C" w:rsidRDefault="00A31C8C">
      <w:pPr>
        <w:pBdr>
          <w:top w:val="nil"/>
          <w:left w:val="nil"/>
          <w:bottom w:val="nil"/>
          <w:right w:val="nil"/>
          <w:between w:val="nil"/>
        </w:pBdr>
        <w:spacing w:after="240" w:line="275" w:lineRule="auto"/>
        <w:rPr>
          <w:rFonts w:ascii="Google Sans" w:eastAsia="Google Sans" w:hAnsi="Google Sans" w:cs="Google Sans"/>
          <w:color w:val="1B1C1D"/>
        </w:rPr>
      </w:pPr>
    </w:p>
    <w:p w14:paraId="3673C31D"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sistema de políticas pasivas de empleo en España se configura como un modelo dual, con un nivel contributivo de generosidad y duración intermedias en el contexto europeo, y un nivel asistencial que ha sido profundamente reformado en 2024 para buscar un nuevo y complejo equilibrio entre el refuerzo de la protección y la incentivación de la activación laboral.</w:t>
      </w:r>
    </w:p>
    <w:p w14:paraId="12110315" w14:textId="77777777" w:rsidR="00A31C8C"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Desde una perspectiva internacional, España se caracteriza por un elevado gasto en protección por desempleo como porcentaje de su PIB. Este hecho no deriva de una generosidad individual excepcional en sus prestaciones —cuyas tasas de reemplazo son moderadas—, sino que es una consecuencia directa de una tasa de paro estructuralmente superior a la de sus socios europeos. El sistema, por tanto, gasta más porque debe proteger a más gente durante más tiempo.</w:t>
      </w:r>
    </w:p>
    <w:p w14:paraId="31B00469" w14:textId="77777777" w:rsidR="00A31C8C" w:rsidRDefault="00000000">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reforma de 2024, con la introducción del Complemento de Apoyo al Empleo y una estructura de subsidios decreciente, representa el intento más significativo hasta la fecha de alinear el sistema asistencial con los principios de activación. Sin embargo, el principal desafío para el mercado laboral español trasciende el diseño de sus políticas pasivas. El éxito a largo plazo en la lucha contra el desempleo dependerá de la capacidad del sistema para articular de forma efectiva estas prestaciones con políticas activas de empleo personalizadas y de alta calidad, y de abordar las rigideces y problemas estructurales que lastran la capacidad de la economía para crear empleo estable y productivo. La reforma es un paso en una dirección teóricamente correcta, pero su impacto real estará condicionado por la capacidad de ejecución de los servicios públicos de empleo y por la propia dinámica de la economía española.</w:t>
      </w:r>
    </w:p>
    <w:p w14:paraId="48A60A6F" w14:textId="77777777" w:rsidR="00A31C8C" w:rsidRDefault="00000000">
      <w:pPr>
        <w:pStyle w:val="Ttulo4"/>
        <w:spacing w:before="0"/>
        <w:rPr>
          <w:rFonts w:ascii="Google Sans" w:eastAsia="Google Sans" w:hAnsi="Google Sans" w:cs="Google Sans"/>
        </w:rPr>
      </w:pPr>
      <w:r>
        <w:rPr>
          <w:rFonts w:ascii="Google Sans" w:eastAsia="Google Sans" w:hAnsi="Google Sans" w:cs="Google Sans"/>
        </w:rPr>
        <w:t>Obras citadas</w:t>
      </w:r>
    </w:p>
    <w:p w14:paraId="24EB1972"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www.ilo.org, fecha de acceso: octubre 19, 2025, </w:t>
      </w:r>
      <w:hyperlink r:id="rId5" w:anchor=":~:text=Se%20trata%20de%20pol%C3%ADticas%20que,riesgo%20de%20sufrir%20el%20desempleo.">
        <w:r>
          <w:rPr>
            <w:rFonts w:ascii="Google Sans" w:eastAsia="Google Sans" w:hAnsi="Google Sans" w:cs="Google Sans"/>
            <w:color w:val="0000EE"/>
            <w:sz w:val="24"/>
            <w:szCs w:val="24"/>
            <w:u w:val="single"/>
          </w:rPr>
          <w:t>https://www.ilo.org/es/el-departamento-de-analisis-de-los-mercados-economicos-y-laborales-empelm/ambitos-de-trabajo/politicas-e-instituciones-del-mercado-laboral#:~:text=Se%20trata%20de%20pol%C3%ADticas%20que,riesgo%20de%20sufrir%20el%20desempleo.</w:t>
        </w:r>
      </w:hyperlink>
    </w:p>
    <w:p w14:paraId="6A3BEB13"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Se buscan empleos de calidad: POLÍTICAS ACTIVAS Y PASIVAS DE EMPLEO EN COLOMBIA, fecha de acceso: octubre 19, 2025, </w:t>
      </w:r>
      <w:hyperlink r:id="rId6">
        <w:r>
          <w:rPr>
            <w:rFonts w:ascii="Google Sans" w:eastAsia="Google Sans" w:hAnsi="Google Sans" w:cs="Google Sans"/>
            <w:color w:val="0000EE"/>
            <w:sz w:val="24"/>
            <w:szCs w:val="24"/>
            <w:u w:val="single"/>
          </w:rPr>
          <w:t>https://www.misionempleo.gov.co/Documentos%20compartidos/Presentacion_Resultados/Presentacion_Se_buscan_empleos_de_calidad_politicas_activas_y_pasivas_de_empleo_en_Colombia.pdf</w:t>
        </w:r>
      </w:hyperlink>
    </w:p>
    <w:p w14:paraId="17B62EB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LAS POLÍTICAS “PASIVAS” DE EMPLEO: REFORMAS DE ACTIVACIÓN DE LAS PRESTACIONES POR DESEMPLEO Y SUS LÍMITES JURÍDICOS “P - Dialnet, fecha de acceso: octubre 19, 2025, </w:t>
      </w:r>
      <w:hyperlink r:id="rId7">
        <w:r>
          <w:rPr>
            <w:rFonts w:ascii="Google Sans" w:eastAsia="Google Sans" w:hAnsi="Google Sans" w:cs="Google Sans"/>
            <w:color w:val="0000EE"/>
            <w:sz w:val="24"/>
            <w:szCs w:val="24"/>
            <w:u w:val="single"/>
          </w:rPr>
          <w:t>https://dialnet.unirioja.es/descarga/articulo/9951704.pdf</w:t>
        </w:r>
      </w:hyperlink>
    </w:p>
    <w:p w14:paraId="432BE5A5"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¿Hacia un mejor empleo? Balance de la política de empleo 2018-2023 - SEPE, fecha de acceso: octubre 19, 2025, </w:t>
      </w:r>
      <w:hyperlink r:id="rId8">
        <w:r>
          <w:rPr>
            <w:rFonts w:ascii="Google Sans" w:eastAsia="Google Sans" w:hAnsi="Google Sans" w:cs="Google Sans"/>
            <w:color w:val="0000EE"/>
            <w:sz w:val="24"/>
            <w:szCs w:val="24"/>
            <w:u w:val="single"/>
          </w:rPr>
          <w:t>https://www.sepe.es/HomeSepe/que-es-observatorio/Hipatia/cuadernos-mercado-trabajo/revista-cuadernos-mercado-trabajo/detalle-articulo.html?detail=/revista/Ajustes-y-desajustes-de-la-oferta-y-demanda-de-empleo/haciaunmejorempleobalancedelapoliticadeempleo20182023</w:t>
        </w:r>
      </w:hyperlink>
    </w:p>
    <w:p w14:paraId="0615D4B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POLÍTICAS ACTIVAS Y PASIVAS DE EMPLEO PARA LAS PERSONAS DE EDAD AVANZADA - Universidad de Sevilla, fecha de acceso: octubre 19, 2025, </w:t>
      </w:r>
      <w:hyperlink r:id="rId9">
        <w:r>
          <w:rPr>
            <w:rFonts w:ascii="Google Sans" w:eastAsia="Google Sans" w:hAnsi="Google Sans" w:cs="Google Sans"/>
            <w:color w:val="0000EE"/>
            <w:sz w:val="24"/>
            <w:szCs w:val="24"/>
            <w:u w:val="single"/>
          </w:rPr>
          <w:t>https://grupo.us.es/iwpr/wp-content/uploads/2017/12/3jm.pdf</w:t>
        </w:r>
      </w:hyperlink>
    </w:p>
    <w:p w14:paraId="0E8F42C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Protección por desempleo en España - Wikipedia, la enciclopedia libre, fecha de acceso: octubre 19, 2025, </w:t>
      </w:r>
      <w:hyperlink r:id="rId10">
        <w:r>
          <w:rPr>
            <w:rFonts w:ascii="Google Sans" w:eastAsia="Google Sans" w:hAnsi="Google Sans" w:cs="Google Sans"/>
            <w:color w:val="0000EE"/>
            <w:sz w:val="24"/>
            <w:szCs w:val="24"/>
            <w:u w:val="single"/>
          </w:rPr>
          <w:t>https://es.wikipedia.org/wiki/Protecci%C3%B3n_por_desempleo_en_Espa%C3%B1a</w:t>
        </w:r>
      </w:hyperlink>
    </w:p>
    <w:p w14:paraId="2901D09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Cuánto es lo máximo que se cobra de paro: estos son los requisitos - Infobae, fecha de acceso: octubre 19, 2025, </w:t>
      </w:r>
      <w:hyperlink r:id="rId11">
        <w:r>
          <w:rPr>
            <w:rFonts w:ascii="Google Sans" w:eastAsia="Google Sans" w:hAnsi="Google Sans" w:cs="Google Sans"/>
            <w:color w:val="0000EE"/>
            <w:sz w:val="24"/>
            <w:szCs w:val="24"/>
            <w:u w:val="single"/>
          </w:rPr>
          <w:t>https://www.infobae.com/espana/2025/03/02/cuanto-es-lo-maximo-que-se-cobra-de-paro-estos-son-los-requisitos/</w:t>
        </w:r>
      </w:hyperlink>
    </w:p>
    <w:p w14:paraId="45AD0EB2"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Prestación contributiva - He trabajado más de un año - SEPE, fecha de acceso: octubre 19, 2025, </w:t>
      </w:r>
      <w:hyperlink r:id="rId12">
        <w:r>
          <w:rPr>
            <w:rFonts w:ascii="Google Sans" w:eastAsia="Google Sans" w:hAnsi="Google Sans" w:cs="Google Sans"/>
            <w:color w:val="0000EE"/>
            <w:sz w:val="24"/>
            <w:szCs w:val="24"/>
            <w:u w:val="single"/>
          </w:rPr>
          <w:t>https://www.sepe.es/HomeSepe/prestaciones-desempleo/prestacion-contributiva/prestacion-contributiva-mas-de-un-anyo.html</w:t>
        </w:r>
      </w:hyperlink>
    </w:p>
    <w:p w14:paraId="1B199F94"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Guía Laboral - Las Prestaciones por Desempleo de nivel contributivo, fecha de acceso: octubre 19, 2025, </w:t>
      </w:r>
      <w:hyperlink r:id="rId13">
        <w:r>
          <w:rPr>
            <w:rFonts w:ascii="Google Sans" w:eastAsia="Google Sans" w:hAnsi="Google Sans" w:cs="Google Sans"/>
            <w:color w:val="0000EE"/>
            <w:sz w:val="24"/>
            <w:szCs w:val="24"/>
            <w:u w:val="single"/>
          </w:rPr>
          <w:t>https://www.mites.gob.es/es/Guia/texto/guia_9/contenidos_OCULTADOS/guia_9_20_1.htm</w:t>
        </w:r>
      </w:hyperlink>
    </w:p>
    <w:p w14:paraId="410BAD3C"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Prestación por desempleo vs. subsidio por desempleo: requisitos para cobrar el paro en España - BBVA, fecha de acceso: octubre 19, 2025, </w:t>
      </w:r>
      <w:hyperlink r:id="rId14">
        <w:r>
          <w:rPr>
            <w:rFonts w:ascii="Google Sans" w:eastAsia="Google Sans" w:hAnsi="Google Sans" w:cs="Google Sans"/>
            <w:color w:val="0000EE"/>
            <w:sz w:val="24"/>
            <w:szCs w:val="24"/>
            <w:u w:val="single"/>
          </w:rPr>
          <w:t>https://www.bbva.com/es/es/salud-financiera/prestacion-por-desempleo-vs-subsidio-por-desempleo-requisitos-para-solicitarlos-en-espana/</w:t>
        </w:r>
      </w:hyperlink>
    </w:p>
    <w:p w14:paraId="7801A0AC"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Reconocimiento de la prestación contributiva - Empleo - Sede SEPE, fecha de acceso: octubre 19, 2025, </w:t>
      </w:r>
      <w:hyperlink r:id="rId15">
        <w:r>
          <w:rPr>
            <w:rFonts w:ascii="Google Sans" w:eastAsia="Google Sans" w:hAnsi="Google Sans" w:cs="Google Sans"/>
            <w:color w:val="0000EE"/>
            <w:sz w:val="24"/>
            <w:szCs w:val="24"/>
            <w:u w:val="single"/>
          </w:rPr>
          <w:t>https://sede.sepe.gob.es/portalSede/es/procedimientos-y-servicios/personas/proteccion-por-desempleo/reconocimiento-prestacion-contributiva</w:t>
        </w:r>
      </w:hyperlink>
    </w:p>
    <w:p w14:paraId="717DEA6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Duración contributiva |Servicio Público de Empleo Estatal - SEPE, fecha de acceso: octubre 19, 2025, </w:t>
      </w:r>
      <w:hyperlink r:id="rId16">
        <w:r>
          <w:rPr>
            <w:rFonts w:ascii="Google Sans" w:eastAsia="Google Sans" w:hAnsi="Google Sans" w:cs="Google Sans"/>
            <w:color w:val="0000EE"/>
            <w:sz w:val="24"/>
            <w:szCs w:val="24"/>
            <w:u w:val="single"/>
          </w:rPr>
          <w:t>https://www.sepe.es/HomeSepe/prestaciones-desempleo/duracion-prestacion-contributiva.html</w:t>
        </w:r>
      </w:hyperlink>
    </w:p>
    <w:p w14:paraId="0697793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Guía Laboral - Las Prestaciones por Desempleo de nivel asistencial, fecha de acceso: octubre 19, 2025, </w:t>
      </w:r>
      <w:hyperlink r:id="rId17">
        <w:r>
          <w:rPr>
            <w:rFonts w:ascii="Google Sans" w:eastAsia="Google Sans" w:hAnsi="Google Sans" w:cs="Google Sans"/>
            <w:color w:val="0000EE"/>
            <w:sz w:val="24"/>
            <w:szCs w:val="24"/>
            <w:u w:val="single"/>
          </w:rPr>
          <w:t>https://www.mites.gob.es/es/Guia/texto/guia_9/contenidos_OCULTADOS/guia_9_20_2.htm</w:t>
        </w:r>
      </w:hyperlink>
    </w:p>
    <w:p w14:paraId="7C122B8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Subsidio por desempleo - Seguridad Social, fecha de acceso: octubre 19, 2025, </w:t>
      </w:r>
      <w:hyperlink r:id="rId18">
        <w:r>
          <w:rPr>
            <w:rFonts w:ascii="Google Sans" w:eastAsia="Google Sans" w:hAnsi="Google Sans" w:cs="Google Sans"/>
            <w:color w:val="0000EE"/>
            <w:sz w:val="24"/>
            <w:szCs w:val="24"/>
            <w:u w:val="single"/>
          </w:rPr>
          <w:t>https://www.seg-social.es/descarga/en/49446</w:t>
        </w:r>
      </w:hyperlink>
    </w:p>
    <w:p w14:paraId="601D30F0"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Tipos de subsidios por desempleo en España - </w:t>
      </w:r>
      <w:proofErr w:type="spellStart"/>
      <w:r>
        <w:rPr>
          <w:rFonts w:ascii="Google Sans" w:eastAsia="Google Sans" w:hAnsi="Google Sans" w:cs="Google Sans"/>
          <w:sz w:val="24"/>
          <w:szCs w:val="24"/>
        </w:rPr>
        <w:t>Català</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Reinón</w:t>
      </w:r>
      <w:proofErr w:type="spellEnd"/>
      <w:r>
        <w:rPr>
          <w:rFonts w:ascii="Google Sans" w:eastAsia="Google Sans" w:hAnsi="Google Sans" w:cs="Google Sans"/>
          <w:sz w:val="24"/>
          <w:szCs w:val="24"/>
        </w:rPr>
        <w:t xml:space="preserve"> Abogados, fecha de acceso: octubre 19, 2025, </w:t>
      </w:r>
      <w:hyperlink r:id="rId19">
        <w:r>
          <w:rPr>
            <w:rFonts w:ascii="Google Sans" w:eastAsia="Google Sans" w:hAnsi="Google Sans" w:cs="Google Sans"/>
            <w:color w:val="0000EE"/>
            <w:sz w:val="24"/>
            <w:szCs w:val="24"/>
            <w:u w:val="single"/>
          </w:rPr>
          <w:t>https://www.catala-reinon.es/blog/tipos-subsidios-desempleo-espana</w:t>
        </w:r>
      </w:hyperlink>
    </w:p>
    <w:p w14:paraId="5AEB3EED"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Solicitud de subsidio por desempleo - Sede SEPE, fecha de acceso: octubre 19, 2025, </w:t>
      </w:r>
      <w:hyperlink r:id="rId20">
        <w:r>
          <w:rPr>
            <w:rFonts w:ascii="Google Sans" w:eastAsia="Google Sans" w:hAnsi="Google Sans" w:cs="Google Sans"/>
            <w:color w:val="0000EE"/>
            <w:sz w:val="24"/>
            <w:szCs w:val="24"/>
            <w:u w:val="single"/>
          </w:rPr>
          <w:t>https://sede.sepe.gob.es/portalSede/es/procedimientos-y-servicios/personas/proteccion-por-desempleo/solicitud-de-prestaciones/sede-virtual/sv0219</w:t>
        </w:r>
      </w:hyperlink>
    </w:p>
    <w:p w14:paraId="0DD9FED7"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Subsidio agotamiento de prestación contributiva - SEPE, fecha de acceso: octubre 19, 2025, </w:t>
      </w:r>
      <w:hyperlink r:id="rId21">
        <w:r>
          <w:rPr>
            <w:rFonts w:ascii="Google Sans" w:eastAsia="Google Sans" w:hAnsi="Google Sans" w:cs="Google Sans"/>
            <w:color w:val="0000EE"/>
            <w:sz w:val="24"/>
            <w:szCs w:val="24"/>
            <w:u w:val="single"/>
          </w:rPr>
          <w:t>https://www.sepe.es/HomeSepe/prestaciones-desempleo/subsidio-desempleo/subsidio-agotamiento-prestacion-contributiva.html</w:t>
        </w:r>
      </w:hyperlink>
    </w:p>
    <w:p w14:paraId="7F12316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BOE-A-2024-10235 Real Decreto-ley 2/2024, de 21 de mayo, por el que se adoptan medidas urgentes para la simplificación y mejora del nivel asistencial de la protección por desempleo, y para completar la transposición de la Directiva (UE) 2019/1158 del Parlamento Europeo y del Consejo, de, fecha de acceso: octubre 19, 2025, </w:t>
      </w:r>
      <w:hyperlink r:id="rId22">
        <w:r>
          <w:rPr>
            <w:rFonts w:ascii="Google Sans" w:eastAsia="Google Sans" w:hAnsi="Google Sans" w:cs="Google Sans"/>
            <w:color w:val="0000EE"/>
            <w:sz w:val="24"/>
            <w:szCs w:val="24"/>
            <w:u w:val="single"/>
          </w:rPr>
          <w:t>https://www.boe.es/diario_boe/txt.php?id=BOE-A-2024-10235</w:t>
        </w:r>
      </w:hyperlink>
    </w:p>
    <w:p w14:paraId="77FF330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Reales Decretos-leyes Estado (21 de mayo de 2024) - BOE.es - Normas ELI, fecha de acceso: octubre 19, 2025, </w:t>
      </w:r>
      <w:hyperlink r:id="rId23">
        <w:r>
          <w:rPr>
            <w:rFonts w:ascii="Google Sans" w:eastAsia="Google Sans" w:hAnsi="Google Sans" w:cs="Google Sans"/>
            <w:color w:val="0000EE"/>
            <w:sz w:val="24"/>
            <w:szCs w:val="24"/>
            <w:u w:val="single"/>
          </w:rPr>
          <w:t>https://www.boe.es/eli/es/rdl/2024/05/21</w:t>
        </w:r>
      </w:hyperlink>
    </w:p>
    <w:p w14:paraId="1456A815"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BOE-A-2024-10235 Real Decreto-ley 2/2024, de 21 de mayo, por el que se adoptan medidas urgentes para la simplificación y mejora del nivel asistencial de la protección por desempleo, y para completar la transposición de la Directiva (UE) 2019/1158 del Parlamento Europeo y del Consejo, de, fecha de acceso: octubre 19, 2025, </w:t>
      </w:r>
      <w:hyperlink r:id="rId24">
        <w:r>
          <w:rPr>
            <w:rFonts w:ascii="Google Sans" w:eastAsia="Google Sans" w:hAnsi="Google Sans" w:cs="Google Sans"/>
            <w:color w:val="0000EE"/>
            <w:sz w:val="24"/>
            <w:szCs w:val="24"/>
            <w:u w:val="single"/>
          </w:rPr>
          <w:t>https://www.boe.es/buscar/doc.php?id=BOE-A-2024-10235</w:t>
        </w:r>
      </w:hyperlink>
    </w:p>
    <w:p w14:paraId="5B7AFB2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Reformas en la Protección por Desempleo y Conciliación Familiar: Real Decreto-ley 2/2024, fecha de acceso: octubre 19, 2025, </w:t>
      </w:r>
      <w:hyperlink r:id="rId25">
        <w:r>
          <w:rPr>
            <w:rFonts w:ascii="Google Sans" w:eastAsia="Google Sans" w:hAnsi="Google Sans" w:cs="Google Sans"/>
            <w:color w:val="0000EE"/>
            <w:sz w:val="24"/>
            <w:szCs w:val="24"/>
            <w:u w:val="single"/>
          </w:rPr>
          <w:t>https://www.strategiaconsultoria.es/reformas-en-la-proteccion-por-desempleo-y-conciliacion-familiar-real-decreto-ley-2-2024/</w:t>
        </w:r>
      </w:hyperlink>
    </w:p>
    <w:p w14:paraId="1802ED7A"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¿CÓMO AFECTA EL REAL DECRETO-LEY 2/2024 AL SUBSIDIO POR DESEMPLEO DE MAYORES DE 52 AÑOS? - Asesoría </w:t>
      </w:r>
      <w:proofErr w:type="spellStart"/>
      <w:r>
        <w:rPr>
          <w:rFonts w:ascii="Google Sans" w:eastAsia="Google Sans" w:hAnsi="Google Sans" w:cs="Google Sans"/>
          <w:sz w:val="24"/>
          <w:szCs w:val="24"/>
        </w:rPr>
        <w:t>Morlán</w:t>
      </w:r>
      <w:proofErr w:type="spellEnd"/>
      <w:r>
        <w:rPr>
          <w:rFonts w:ascii="Google Sans" w:eastAsia="Google Sans" w:hAnsi="Google Sans" w:cs="Google Sans"/>
          <w:sz w:val="24"/>
          <w:szCs w:val="24"/>
        </w:rPr>
        <w:t xml:space="preserve">, fecha de acceso: octubre 19, 2025, </w:t>
      </w:r>
      <w:hyperlink r:id="rId26">
        <w:r>
          <w:rPr>
            <w:rFonts w:ascii="Google Sans" w:eastAsia="Google Sans" w:hAnsi="Google Sans" w:cs="Google Sans"/>
            <w:color w:val="0000EE"/>
            <w:sz w:val="24"/>
            <w:szCs w:val="24"/>
            <w:u w:val="single"/>
          </w:rPr>
          <w:t>https://www.asesoriamorlan.com/como-afecta-el-real-decreto-ley-2-2024-al-subsidio-por-desempleo-de-mayores-de-52-anos/</w:t>
        </w:r>
      </w:hyperlink>
    </w:p>
    <w:p w14:paraId="435D2C06"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La reforma del nivel asistencial entra en vigor este 1 de noviembre - SEPE, fecha de acceso: octubre 19, 2025, </w:t>
      </w:r>
      <w:hyperlink r:id="rId27">
        <w:r>
          <w:rPr>
            <w:rFonts w:ascii="Google Sans" w:eastAsia="Google Sans" w:hAnsi="Google Sans" w:cs="Google Sans"/>
            <w:color w:val="0000EE"/>
            <w:sz w:val="24"/>
            <w:szCs w:val="24"/>
            <w:u w:val="single"/>
          </w:rPr>
          <w:t>https://www.sepe.es/HomeSepe/que-es-el-sepe/comunicacion-institucional/noticias/detalle-noticia?folder=/SEPE/2024/Octubre/&amp;detail=La-reforma-del-nivel-asistencial-entra-en-vigor-este-1-de-noviembre-</w:t>
        </w:r>
      </w:hyperlink>
    </w:p>
    <w:p w14:paraId="686EBFB0"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Gobierno mejora y simplifica la protección asistencial del desempleo, fecha de acceso: octubre 19, 2025, </w:t>
      </w:r>
      <w:hyperlink r:id="rId28">
        <w:r>
          <w:rPr>
            <w:rFonts w:ascii="Google Sans" w:eastAsia="Google Sans" w:hAnsi="Google Sans" w:cs="Google Sans"/>
            <w:color w:val="0000EE"/>
            <w:sz w:val="24"/>
            <w:szCs w:val="24"/>
            <w:u w:val="single"/>
          </w:rPr>
          <w:t>https://planderecuperacion.gob.es/noticias/gobierno-mejora-simplifica-proteccion-asistencial-desempleo-prtr</w:t>
        </w:r>
      </w:hyperlink>
    </w:p>
    <w:p w14:paraId="7BBCB726"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Gobierno mejora y simplifica la protección asistencial del desempleo - La Moncloa, fecha de acceso: octubre 19, 2025, </w:t>
      </w:r>
      <w:hyperlink r:id="rId29">
        <w:r>
          <w:rPr>
            <w:rFonts w:ascii="Google Sans" w:eastAsia="Google Sans" w:hAnsi="Google Sans" w:cs="Google Sans"/>
            <w:color w:val="0000EE"/>
            <w:sz w:val="24"/>
            <w:szCs w:val="24"/>
            <w:u w:val="single"/>
          </w:rPr>
          <w:t>https://www.lamoncloa.gob.es/consejodeministros/resumenes/paginas/2024/210524-rueda-de-prensa-ministros.aspx</w:t>
        </w:r>
      </w:hyperlink>
    </w:p>
    <w:p w14:paraId="11CB2272"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Banco de España plantea que el cobro del paro sea decreciente y compatible con el empleo - Tribuna de Ávila, fecha de acceso: octubre 19, 2025, </w:t>
      </w:r>
      <w:hyperlink r:id="rId30">
        <w:r>
          <w:rPr>
            <w:rFonts w:ascii="Google Sans" w:eastAsia="Google Sans" w:hAnsi="Google Sans" w:cs="Google Sans"/>
            <w:color w:val="0000EE"/>
            <w:sz w:val="24"/>
            <w:szCs w:val="24"/>
            <w:u w:val="single"/>
          </w:rPr>
          <w:t>https://www.tribunaavila.com/noticias/365603/el-banco-de-espana-plantea-que-el-cobro-del-paro-sea-decreciente-y-compatible-con-el-empleo</w:t>
        </w:r>
      </w:hyperlink>
    </w:p>
    <w:p w14:paraId="38F529C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¿Qué sabemos sobre los efectos de modificar las ... - </w:t>
      </w:r>
      <w:proofErr w:type="spellStart"/>
      <w:r>
        <w:rPr>
          <w:rFonts w:ascii="Google Sans" w:eastAsia="Google Sans" w:hAnsi="Google Sans" w:cs="Google Sans"/>
          <w:sz w:val="24"/>
          <w:szCs w:val="24"/>
        </w:rPr>
        <w:t>Esade</w:t>
      </w:r>
      <w:proofErr w:type="spellEnd"/>
      <w:r>
        <w:rPr>
          <w:rFonts w:ascii="Google Sans" w:eastAsia="Google Sans" w:hAnsi="Google Sans" w:cs="Google Sans"/>
          <w:sz w:val="24"/>
          <w:szCs w:val="24"/>
        </w:rPr>
        <w:t xml:space="preserve">, fecha de acceso: octubre 19, 2025, </w:t>
      </w:r>
      <w:hyperlink r:id="rId31">
        <w:r>
          <w:rPr>
            <w:rFonts w:ascii="Google Sans" w:eastAsia="Google Sans" w:hAnsi="Google Sans" w:cs="Google Sans"/>
            <w:color w:val="0000EE"/>
            <w:sz w:val="24"/>
            <w:szCs w:val="24"/>
            <w:u w:val="single"/>
          </w:rPr>
          <w:t>https://www.esade.edu/ecpol/wp-content/uploads/2023/12/EsadeEcPol_Reaction_Subsidios-2.pdf</w:t>
        </w:r>
      </w:hyperlink>
    </w:p>
    <w:p w14:paraId="3050CA9A"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Real Decreto-Ley 2/2024: modificaciones en la Ley General de la Seguridad Social, fecha de acceso: octubre 19, 2025, </w:t>
      </w:r>
      <w:hyperlink r:id="rId32">
        <w:r>
          <w:rPr>
            <w:rFonts w:ascii="Google Sans" w:eastAsia="Google Sans" w:hAnsi="Google Sans" w:cs="Google Sans"/>
            <w:color w:val="0000EE"/>
            <w:sz w:val="24"/>
            <w:szCs w:val="24"/>
            <w:u w:val="single"/>
          </w:rPr>
          <w:t>https://www.laboral-social.com/RDL-2-2024-modificaciones-LGSS-reforma-subsidio-desempleo</w:t>
        </w:r>
      </w:hyperlink>
    </w:p>
    <w:p w14:paraId="267953D5"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Prestación y subsidio por desempleo: todos los cambios | Sindicato USO, fecha de acceso: octubre 19, 2025, </w:t>
      </w:r>
      <w:hyperlink r:id="rId33">
        <w:r>
          <w:rPr>
            <w:rFonts w:ascii="Google Sans" w:eastAsia="Google Sans" w:hAnsi="Google Sans" w:cs="Google Sans"/>
            <w:color w:val="0000EE"/>
            <w:sz w:val="24"/>
            <w:szCs w:val="24"/>
            <w:u w:val="single"/>
          </w:rPr>
          <w:t>https://www.uso.es/prestacion-y-subsidio-por-desempleo-todos-los-cambios/</w:t>
        </w:r>
      </w:hyperlink>
    </w:p>
    <w:p w14:paraId="1791DCB6"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Principales novedades de los nuevos subsidios del SEPE - YouTube, fecha de acceso: octubre 19, 2025, </w:t>
      </w:r>
      <w:hyperlink r:id="rId34">
        <w:r>
          <w:rPr>
            <w:rFonts w:ascii="Google Sans" w:eastAsia="Google Sans" w:hAnsi="Google Sans" w:cs="Google Sans"/>
            <w:color w:val="0000EE"/>
            <w:sz w:val="24"/>
            <w:szCs w:val="24"/>
            <w:u w:val="single"/>
          </w:rPr>
          <w:t>https://www.youtube.com/watch?v=0SBO7lCU0pw</w:t>
        </w:r>
      </w:hyperlink>
    </w:p>
    <w:p w14:paraId="51CCECC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www.juntadeandalucia.es, fecha de acceso: octubre 19, 2025, </w:t>
      </w:r>
      <w:hyperlink r:id="rId35">
        <w:r>
          <w:rPr>
            <w:rFonts w:ascii="Google Sans" w:eastAsia="Google Sans" w:hAnsi="Google Sans" w:cs="Google Sans"/>
            <w:color w:val="0000EE"/>
            <w:sz w:val="24"/>
            <w:szCs w:val="24"/>
            <w:u w:val="single"/>
          </w:rPr>
          <w:t>https://www.juntadeandalucia.es/export/drupaljda/folleto_rai_esp.pdf</w:t>
        </w:r>
      </w:hyperlink>
    </w:p>
    <w:p w14:paraId="3DA4BD7A"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Importe de la Renta Activa de Inserción en 2024 y requisitos para tener derecho a la misma, fecha de acceso: octubre 19, 2025, </w:t>
      </w:r>
      <w:hyperlink r:id="rId36">
        <w:r>
          <w:rPr>
            <w:rFonts w:ascii="Google Sans" w:eastAsia="Google Sans" w:hAnsi="Google Sans" w:cs="Google Sans"/>
            <w:color w:val="0000EE"/>
            <w:sz w:val="24"/>
            <w:szCs w:val="24"/>
            <w:u w:val="single"/>
          </w:rPr>
          <w:t>https://www.bbvamijubilacion.es/blog/importe-de-la-renta-activa-de-insercion-en-2024-y-requisitos-para-tener-derecho-a-la-misma/</w:t>
        </w:r>
      </w:hyperlink>
    </w:p>
    <w:p w14:paraId="7405BEB8"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Guía Laboral - Las Prestaciones por Desempleo. Programa de renta ..., fecha de acceso: octubre 19, 2025, </w:t>
      </w:r>
      <w:hyperlink r:id="rId37">
        <w:r>
          <w:rPr>
            <w:rFonts w:ascii="Google Sans" w:eastAsia="Google Sans" w:hAnsi="Google Sans" w:cs="Google Sans"/>
            <w:color w:val="0000EE"/>
            <w:sz w:val="24"/>
            <w:szCs w:val="24"/>
            <w:u w:val="single"/>
          </w:rPr>
          <w:t>https://www.mites.gob.es/es/Guia/texto/guia_9/contenidos_OCULTADOS/guia_9_20_4.htm</w:t>
        </w:r>
      </w:hyperlink>
    </w:p>
    <w:p w14:paraId="1B728B0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Renta Activa de Inserción - Seguridad Social: Información Útil, fecha de acceso: octubre 19, 2025, </w:t>
      </w:r>
      <w:hyperlink r:id="rId38">
        <w:r>
          <w:rPr>
            <w:rFonts w:ascii="Google Sans" w:eastAsia="Google Sans" w:hAnsi="Google Sans" w:cs="Google Sans"/>
            <w:color w:val="0000EE"/>
            <w:sz w:val="24"/>
            <w:szCs w:val="24"/>
            <w:u w:val="single"/>
          </w:rPr>
          <w:t>https://www.seg-social.es/wps/portal/wss/internet/InformacionUtil/44539/49706</w:t>
        </w:r>
      </w:hyperlink>
    </w:p>
    <w:p w14:paraId="144CAB38"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Información subsidios y RAI anteriores al 1 noviembre 2024 - SEPE, fecha de acceso: octubre 19, 2025, </w:t>
      </w:r>
      <w:hyperlink r:id="rId39">
        <w:r>
          <w:rPr>
            <w:rFonts w:ascii="Google Sans" w:eastAsia="Google Sans" w:hAnsi="Google Sans" w:cs="Google Sans"/>
            <w:color w:val="0000EE"/>
            <w:sz w:val="24"/>
            <w:szCs w:val="24"/>
            <w:u w:val="single"/>
          </w:rPr>
          <w:t>https://www.sepe.es/HomeSepe/prestaciones-desempleo/si-tengo-subsidio-rai-antes-noviembre-2024.html</w:t>
        </w:r>
      </w:hyperlink>
    </w:p>
    <w:p w14:paraId="5C5139BE"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Ingreso Mínimo Vital - Inclusión - Ministerio de Inclusión, Seguridad ..., fecha de acceso: octubre 19, 2025, </w:t>
      </w:r>
      <w:hyperlink r:id="rId40">
        <w:r>
          <w:rPr>
            <w:rFonts w:ascii="Google Sans" w:eastAsia="Google Sans" w:hAnsi="Google Sans" w:cs="Google Sans"/>
            <w:color w:val="0000EE"/>
            <w:sz w:val="24"/>
            <w:szCs w:val="24"/>
            <w:u w:val="single"/>
          </w:rPr>
          <w:t>https://www.inclusion.gob.es/web/inclusion/ingreso-minimo-vital/que-es</w:t>
        </w:r>
      </w:hyperlink>
    </w:p>
    <w:p w14:paraId="332102EB"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Ingreso Mínimo Vital - Seguridad Social: Prestaciones / Pensiones de Trabajadores, fecha de acceso: octubre 19, 2025, </w:t>
      </w:r>
      <w:hyperlink r:id="rId41">
        <w:r>
          <w:rPr>
            <w:rFonts w:ascii="Google Sans" w:eastAsia="Google Sans" w:hAnsi="Google Sans" w:cs="Google Sans"/>
            <w:color w:val="0000EE"/>
            <w:sz w:val="24"/>
            <w:szCs w:val="24"/>
            <w:u w:val="single"/>
          </w:rPr>
          <w:t>https://www.seg-social.es/wps/portal/wss/internet/Trabajadores/PrestacionesPensionesTrabajadores/65850d68-8d06-4645-bde7-05374ee42ac7?changeLanguage=es%29</w:t>
        </w:r>
      </w:hyperlink>
    </w:p>
    <w:p w14:paraId="1479C37F"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Ya está operativa la pasarela que permite agilizar la transición del subsidio por desempleo al Ingreso Mínimo Vital - Ministerio de Inclusión, Seguridad Social y Migraciones, fecha de acceso: octubre 19, 2025, </w:t>
      </w:r>
      <w:hyperlink r:id="rId42">
        <w:r>
          <w:rPr>
            <w:rFonts w:ascii="Google Sans" w:eastAsia="Google Sans" w:hAnsi="Google Sans" w:cs="Google Sans"/>
            <w:color w:val="0000EE"/>
            <w:sz w:val="24"/>
            <w:szCs w:val="24"/>
            <w:u w:val="single"/>
          </w:rPr>
          <w:t>https://www.inclusion.gob.es/w/ya-esta-operativa-la-pasarela-que-permite-agilizar-la-transicion-del-subsidio-por-desempleo-al-ingreso-minimo-vital</w:t>
        </w:r>
      </w:hyperlink>
    </w:p>
    <w:p w14:paraId="1E4D959D"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Transición Ingreso Mínimo Vital - SEPE, fecha de acceso: octubre 19, 2025, </w:t>
      </w:r>
      <w:hyperlink r:id="rId43">
        <w:r>
          <w:rPr>
            <w:rFonts w:ascii="Google Sans" w:eastAsia="Google Sans" w:hAnsi="Google Sans" w:cs="Google Sans"/>
            <w:color w:val="0000EE"/>
            <w:sz w:val="24"/>
            <w:szCs w:val="24"/>
            <w:u w:val="single"/>
          </w:rPr>
          <w:t>https://www.sepe.es/HomeSepe/prestaciones-desempleo/ingreso-minimo-vital.html</w:t>
        </w:r>
      </w:hyperlink>
    </w:p>
    <w:p w14:paraId="21715D89"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Buenas noticias si estás en paro: la Seguridad Social concede el IMV sin necesidad de solicitarlo - El Periódico, fecha de acceso: octubre 19, 2025, </w:t>
      </w:r>
      <w:hyperlink r:id="rId44">
        <w:r>
          <w:rPr>
            <w:rFonts w:ascii="Google Sans" w:eastAsia="Google Sans" w:hAnsi="Google Sans" w:cs="Google Sans"/>
            <w:color w:val="0000EE"/>
            <w:sz w:val="24"/>
            <w:szCs w:val="24"/>
            <w:u w:val="single"/>
          </w:rPr>
          <w:t>https://www.elperiodico.com/es/economia/20250624/buenas-noticias-paro-seguridad-social-imv-dv-119021600</w:t>
        </w:r>
      </w:hyperlink>
    </w:p>
    <w:p w14:paraId="151E1EC6"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gasto en prestaciones por desempleo aumenta un 6,8% en el primer semestre, fecha de acceso: octubre 19, 2025, </w:t>
      </w:r>
      <w:hyperlink r:id="rId45">
        <w:r>
          <w:rPr>
            <w:rFonts w:ascii="Google Sans" w:eastAsia="Google Sans" w:hAnsi="Google Sans" w:cs="Google Sans"/>
            <w:color w:val="0000EE"/>
            <w:sz w:val="24"/>
            <w:szCs w:val="24"/>
            <w:u w:val="single"/>
          </w:rPr>
          <w:t>https://www.elindependiente.com/economia/2025/08/24/gasto-prestaciones-desempleo-aumenta-7-primer-semestre/</w:t>
        </w:r>
      </w:hyperlink>
    </w:p>
    <w:p w14:paraId="3F8F48C7"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gasto en prestaciones por desempleo crece un 6,5% pese a la caída del paro, fecha de acceso: octubre 19, 2025, </w:t>
      </w:r>
      <w:hyperlink r:id="rId46">
        <w:r>
          <w:rPr>
            <w:rFonts w:ascii="Google Sans" w:eastAsia="Google Sans" w:hAnsi="Google Sans" w:cs="Google Sans"/>
            <w:color w:val="0000EE"/>
            <w:sz w:val="24"/>
            <w:szCs w:val="24"/>
            <w:u w:val="single"/>
          </w:rPr>
          <w:t>https://www.eleconomista.es/economia/noticias/13531358/09/25/el-gasto-en-prestaciones-por-desempleo-crece-un-65-pese-a-la-caida-del-paro.html</w:t>
        </w:r>
      </w:hyperlink>
    </w:p>
    <w:p w14:paraId="76E7D2A1"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Estadísticas - Seguridad Social, fecha de acceso: octubre 19, 2025, </w:t>
      </w:r>
      <w:hyperlink r:id="rId47">
        <w:r>
          <w:rPr>
            <w:rFonts w:ascii="Google Sans" w:eastAsia="Google Sans" w:hAnsi="Google Sans" w:cs="Google Sans"/>
            <w:color w:val="0000EE"/>
            <w:sz w:val="24"/>
            <w:szCs w:val="24"/>
            <w:u w:val="single"/>
          </w:rPr>
          <w:t>https://www.seg-social.es/wps/portal/wss/internet/EstadisticasPresupuestosEstudios/Estadisticas/EST50/EST53/EST174</w:t>
        </w:r>
      </w:hyperlink>
    </w:p>
    <w:p w14:paraId="3688709C"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Menos </w:t>
      </w:r>
      <w:proofErr w:type="gramStart"/>
      <w:r>
        <w:rPr>
          <w:rFonts w:ascii="Google Sans" w:eastAsia="Google Sans" w:hAnsi="Google Sans" w:cs="Google Sans"/>
          <w:sz w:val="24"/>
          <w:szCs w:val="24"/>
        </w:rPr>
        <w:t>parados</w:t>
      </w:r>
      <w:proofErr w:type="gramEnd"/>
      <w:r>
        <w:rPr>
          <w:rFonts w:ascii="Google Sans" w:eastAsia="Google Sans" w:hAnsi="Google Sans" w:cs="Google Sans"/>
          <w:sz w:val="24"/>
          <w:szCs w:val="24"/>
        </w:rPr>
        <w:t xml:space="preserve"> pero más caros: el gasto de las prestaciones se dispara un 24% - </w:t>
      </w:r>
      <w:proofErr w:type="spellStart"/>
      <w:r>
        <w:rPr>
          <w:rFonts w:ascii="Google Sans" w:eastAsia="Google Sans" w:hAnsi="Google Sans" w:cs="Google Sans"/>
          <w:sz w:val="24"/>
          <w:szCs w:val="24"/>
        </w:rPr>
        <w:t>Vozpópuli</w:t>
      </w:r>
      <w:proofErr w:type="spellEnd"/>
      <w:r>
        <w:rPr>
          <w:rFonts w:ascii="Google Sans" w:eastAsia="Google Sans" w:hAnsi="Google Sans" w:cs="Google Sans"/>
          <w:sz w:val="24"/>
          <w:szCs w:val="24"/>
        </w:rPr>
        <w:t xml:space="preserve">, fecha de acceso: octubre 19, 2025, </w:t>
      </w:r>
      <w:hyperlink r:id="rId48">
        <w:r>
          <w:rPr>
            <w:rFonts w:ascii="Google Sans" w:eastAsia="Google Sans" w:hAnsi="Google Sans" w:cs="Google Sans"/>
            <w:color w:val="0000EE"/>
            <w:sz w:val="24"/>
            <w:szCs w:val="24"/>
            <w:u w:val="single"/>
          </w:rPr>
          <w:t>https://www.vozpopuli.com/economia/menos-parados-pero-mas-caros-el-gasto-de-las-prestaciones-se-dispara-un-24.html</w:t>
        </w:r>
      </w:hyperlink>
    </w:p>
    <w:p w14:paraId="2B54EFE8"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INFORME - CCOO, fecha de acceso: octubre 19, 2025, </w:t>
      </w:r>
      <w:hyperlink r:id="rId49">
        <w:r>
          <w:rPr>
            <w:rFonts w:ascii="Google Sans" w:eastAsia="Google Sans" w:hAnsi="Google Sans" w:cs="Google Sans"/>
            <w:color w:val="0000EE"/>
            <w:sz w:val="24"/>
            <w:szCs w:val="24"/>
            <w:u w:val="single"/>
          </w:rPr>
          <w:t>https://www.ccoo.es/b96a7d8fb366b735fed393741f56487c000001.pdf</w:t>
        </w:r>
      </w:hyperlink>
    </w:p>
    <w:p w14:paraId="74846BF3"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Cobertura del sistema de PS: Prestación por desempleo por tipo de ..., fecha de acceso: octubre 19, 2025, </w:t>
      </w:r>
      <w:hyperlink r:id="rId50">
        <w:r>
          <w:rPr>
            <w:rFonts w:ascii="Google Sans" w:eastAsia="Google Sans" w:hAnsi="Google Sans" w:cs="Google Sans"/>
            <w:color w:val="0000EE"/>
            <w:sz w:val="24"/>
            <w:szCs w:val="24"/>
            <w:u w:val="single"/>
          </w:rPr>
          <w:t>https://www.ine.es/jaxi/Tabla.htm?path=/t25/p444/a2003/l1/&amp;file=prot005.px</w:t>
        </w:r>
      </w:hyperlink>
    </w:p>
    <w:p w14:paraId="172E2CDC"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paro registrado se reduce en 57.835 personas en mayo y baja de ..., fecha de acceso: octubre 19, 2025, </w:t>
      </w:r>
      <w:hyperlink r:id="rId51">
        <w:r>
          <w:rPr>
            <w:rFonts w:ascii="Google Sans" w:eastAsia="Google Sans" w:hAnsi="Google Sans" w:cs="Google Sans"/>
            <w:color w:val="0000EE"/>
            <w:sz w:val="24"/>
            <w:szCs w:val="24"/>
            <w:u w:val="single"/>
          </w:rPr>
          <w:t>https://prensa.mites.gob.es/webPrensa/listado-noticia/noticia/4447</w:t>
        </w:r>
      </w:hyperlink>
    </w:p>
    <w:p w14:paraId="617BB6D5"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paro se reduce en 67.420 personas en abril y se sitúa en 2.512.718, la cifra más baja desde julio de 2008 - Gabinete de Comunicación - Ministerio de Trabajo y Economía Social, fecha de acceso: octubre 19, 2025, </w:t>
      </w:r>
      <w:hyperlink r:id="rId52">
        <w:r>
          <w:rPr>
            <w:rFonts w:ascii="Google Sans" w:eastAsia="Google Sans" w:hAnsi="Google Sans" w:cs="Google Sans"/>
            <w:color w:val="0000EE"/>
            <w:sz w:val="24"/>
            <w:szCs w:val="24"/>
            <w:u w:val="single"/>
          </w:rPr>
          <w:t>https://prensa.mites.gob.es/webPrensa/listado-noticia/noticia/4438</w:t>
        </w:r>
      </w:hyperlink>
    </w:p>
    <w:p w14:paraId="6221EB15"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Series temporales en formato CSV, fecha de acceso: octubre 19, 2025, </w:t>
      </w:r>
      <w:hyperlink r:id="rId53">
        <w:r>
          <w:rPr>
            <w:rFonts w:ascii="Google Sans" w:eastAsia="Google Sans" w:hAnsi="Google Sans" w:cs="Google Sans"/>
            <w:color w:val="0000EE"/>
            <w:sz w:val="24"/>
            <w:szCs w:val="24"/>
            <w:u w:val="single"/>
          </w:rPr>
          <w:t>https://www.bde.es/webbe/es/estadisticas/compartido/datos/csv/be2418.csv</w:t>
        </w:r>
      </w:hyperlink>
    </w:p>
    <w:p w14:paraId="4A447F70" w14:textId="77777777" w:rsidR="00A31C8C" w:rsidRPr="0015579C" w:rsidRDefault="00000000">
      <w:pPr>
        <w:numPr>
          <w:ilvl w:val="0"/>
          <w:numId w:val="7"/>
        </w:numPr>
        <w:pBdr>
          <w:top w:val="nil"/>
          <w:left w:val="nil"/>
          <w:bottom w:val="nil"/>
          <w:right w:val="nil"/>
          <w:between w:val="nil"/>
        </w:pBdr>
        <w:rPr>
          <w:lang w:val="en-US"/>
        </w:rPr>
      </w:pPr>
      <w:r w:rsidRPr="0015579C">
        <w:rPr>
          <w:rFonts w:ascii="Google Sans" w:eastAsia="Google Sans" w:hAnsi="Google Sans" w:cs="Google Sans"/>
          <w:sz w:val="24"/>
          <w:szCs w:val="24"/>
          <w:lang w:val="en-US"/>
        </w:rPr>
        <w:t xml:space="preserve">Labour market policies (LMP) database - Employment, Social Affairs and Inclusion, fecha de acceso: octubre 19, 2025, </w:t>
      </w:r>
      <w:hyperlink r:id="rId54">
        <w:r w:rsidRPr="0015579C">
          <w:rPr>
            <w:rFonts w:ascii="Google Sans" w:eastAsia="Google Sans" w:hAnsi="Google Sans" w:cs="Google Sans"/>
            <w:color w:val="0000EE"/>
            <w:sz w:val="24"/>
            <w:szCs w:val="24"/>
            <w:u w:val="single"/>
            <w:lang w:val="en-US"/>
          </w:rPr>
          <w:t>https://employment-social-affairs.ec.europa.eu/policies-and-activities/analysis-evaluation-impact-assessment-and-databases/databases-and-indicators/labour-market-policies-lmp-database_en</w:t>
        </w:r>
      </w:hyperlink>
    </w:p>
    <w:p w14:paraId="40D9BA5D" w14:textId="77777777" w:rsidR="00A31C8C" w:rsidRPr="0015579C" w:rsidRDefault="00000000">
      <w:pPr>
        <w:numPr>
          <w:ilvl w:val="0"/>
          <w:numId w:val="7"/>
        </w:numPr>
        <w:pBdr>
          <w:top w:val="nil"/>
          <w:left w:val="nil"/>
          <w:bottom w:val="nil"/>
          <w:right w:val="nil"/>
          <w:between w:val="nil"/>
        </w:pBdr>
        <w:rPr>
          <w:lang w:val="en-US"/>
        </w:rPr>
      </w:pPr>
      <w:r w:rsidRPr="0015579C">
        <w:rPr>
          <w:rFonts w:ascii="Google Sans" w:eastAsia="Google Sans" w:hAnsi="Google Sans" w:cs="Google Sans"/>
          <w:sz w:val="24"/>
          <w:szCs w:val="24"/>
          <w:lang w:val="en-US"/>
        </w:rPr>
        <w:t xml:space="preserve">OECD Employment Outlook 2024 - Country Notes: Spain, fecha de acceso: octubre 19, 2025, </w:t>
      </w:r>
      <w:hyperlink r:id="rId55">
        <w:r w:rsidRPr="0015579C">
          <w:rPr>
            <w:rFonts w:ascii="Google Sans" w:eastAsia="Google Sans" w:hAnsi="Google Sans" w:cs="Google Sans"/>
            <w:color w:val="0000EE"/>
            <w:sz w:val="24"/>
            <w:szCs w:val="24"/>
            <w:u w:val="single"/>
            <w:lang w:val="en-US"/>
          </w:rPr>
          <w:t>https://www.oecd.org/en/publications/oecd-employment-outlook-2024-country-notes_d6c84475-en/spain_b237abc0-en.html</w:t>
        </w:r>
      </w:hyperlink>
    </w:p>
    <w:p w14:paraId="7BCF50FB" w14:textId="77777777" w:rsidR="00A31C8C" w:rsidRDefault="00000000">
      <w:pPr>
        <w:numPr>
          <w:ilvl w:val="0"/>
          <w:numId w:val="7"/>
        </w:numPr>
        <w:pBdr>
          <w:top w:val="nil"/>
          <w:left w:val="nil"/>
          <w:bottom w:val="nil"/>
          <w:right w:val="nil"/>
          <w:between w:val="nil"/>
        </w:pBdr>
      </w:pPr>
      <w:proofErr w:type="spellStart"/>
      <w:r>
        <w:rPr>
          <w:rFonts w:ascii="Google Sans" w:eastAsia="Google Sans" w:hAnsi="Google Sans" w:cs="Google Sans"/>
          <w:sz w:val="24"/>
          <w:szCs w:val="24"/>
        </w:rPr>
        <w:t>Unemployment</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Spain</w:t>
      </w:r>
      <w:proofErr w:type="spellEnd"/>
      <w:r>
        <w:rPr>
          <w:rFonts w:ascii="Google Sans" w:eastAsia="Google Sans" w:hAnsi="Google Sans" w:cs="Google Sans"/>
          <w:sz w:val="24"/>
          <w:szCs w:val="24"/>
        </w:rPr>
        <w:t xml:space="preserve"> - Wikipedia, fecha de acceso: octubre 19, 2025, </w:t>
      </w:r>
      <w:hyperlink r:id="rId56">
        <w:r>
          <w:rPr>
            <w:rFonts w:ascii="Google Sans" w:eastAsia="Google Sans" w:hAnsi="Google Sans" w:cs="Google Sans"/>
            <w:color w:val="0000EE"/>
            <w:sz w:val="24"/>
            <w:szCs w:val="24"/>
            <w:u w:val="single"/>
          </w:rPr>
          <w:t>https://en.wikipedia.org/wiki/Unemployment_in_Spain</w:t>
        </w:r>
      </w:hyperlink>
    </w:p>
    <w:p w14:paraId="5B62AD29" w14:textId="77777777" w:rsidR="00A31C8C" w:rsidRPr="0015579C" w:rsidRDefault="00000000">
      <w:pPr>
        <w:numPr>
          <w:ilvl w:val="0"/>
          <w:numId w:val="7"/>
        </w:numPr>
        <w:pBdr>
          <w:top w:val="nil"/>
          <w:left w:val="nil"/>
          <w:bottom w:val="nil"/>
          <w:right w:val="nil"/>
          <w:between w:val="nil"/>
        </w:pBdr>
        <w:rPr>
          <w:lang w:val="en-US"/>
        </w:rPr>
      </w:pPr>
      <w:r w:rsidRPr="0015579C">
        <w:rPr>
          <w:rFonts w:ascii="Google Sans" w:eastAsia="Google Sans" w:hAnsi="Google Sans" w:cs="Google Sans"/>
          <w:sz w:val="24"/>
          <w:szCs w:val="24"/>
          <w:lang w:val="en-US"/>
        </w:rPr>
        <w:t xml:space="preserve">Public expenditure on labour market policies, by type of action - European Union, fecha de acceso: octubre 19, 2025, </w:t>
      </w:r>
      <w:hyperlink r:id="rId57">
        <w:r w:rsidRPr="0015579C">
          <w:rPr>
            <w:rFonts w:ascii="Google Sans" w:eastAsia="Google Sans" w:hAnsi="Google Sans" w:cs="Google Sans"/>
            <w:color w:val="0000EE"/>
            <w:sz w:val="24"/>
            <w:szCs w:val="24"/>
            <w:u w:val="single"/>
            <w:lang w:val="en-US"/>
          </w:rPr>
          <w:t>https://webgate.ec.europa.eu/empl/redisstat/databrowser/view/LMP_EXPSUMM$TPS00076/default/table?lang=en&amp;category=T_LMP</w:t>
        </w:r>
      </w:hyperlink>
    </w:p>
    <w:p w14:paraId="7399E106" w14:textId="77777777" w:rsidR="00A31C8C" w:rsidRDefault="00000000">
      <w:pPr>
        <w:numPr>
          <w:ilvl w:val="0"/>
          <w:numId w:val="7"/>
        </w:numPr>
        <w:pBdr>
          <w:top w:val="nil"/>
          <w:left w:val="nil"/>
          <w:bottom w:val="nil"/>
          <w:right w:val="nil"/>
          <w:between w:val="nil"/>
        </w:pBdr>
      </w:pPr>
      <w:proofErr w:type="spellStart"/>
      <w:r>
        <w:rPr>
          <w:rFonts w:ascii="Google Sans" w:eastAsia="Google Sans" w:hAnsi="Google Sans" w:cs="Google Sans"/>
          <w:sz w:val="24"/>
          <w:szCs w:val="24"/>
        </w:rPr>
        <w:t>Database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Labour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market</w:t>
      </w:r>
      <w:proofErr w:type="spellEnd"/>
      <w:r>
        <w:rPr>
          <w:rFonts w:ascii="Google Sans" w:eastAsia="Google Sans" w:hAnsi="Google Sans" w:cs="Google Sans"/>
          <w:sz w:val="24"/>
          <w:szCs w:val="24"/>
        </w:rPr>
        <w:t xml:space="preserve"> - Eurostat, fecha de acceso: octubre 19, 2025, </w:t>
      </w:r>
      <w:hyperlink r:id="rId58">
        <w:r>
          <w:rPr>
            <w:rFonts w:ascii="Google Sans" w:eastAsia="Google Sans" w:hAnsi="Google Sans" w:cs="Google Sans"/>
            <w:color w:val="0000EE"/>
            <w:sz w:val="24"/>
            <w:szCs w:val="24"/>
            <w:u w:val="single"/>
          </w:rPr>
          <w:t>https://ec.europa.eu/eurostat/web/labour-market/database</w:t>
        </w:r>
      </w:hyperlink>
    </w:p>
    <w:p w14:paraId="715A88EE" w14:textId="77777777" w:rsidR="00A31C8C" w:rsidRPr="0015579C" w:rsidRDefault="00000000">
      <w:pPr>
        <w:numPr>
          <w:ilvl w:val="0"/>
          <w:numId w:val="7"/>
        </w:numPr>
        <w:pBdr>
          <w:top w:val="nil"/>
          <w:left w:val="nil"/>
          <w:bottom w:val="nil"/>
          <w:right w:val="nil"/>
          <w:between w:val="nil"/>
        </w:pBdr>
        <w:rPr>
          <w:lang w:val="en-US"/>
        </w:rPr>
      </w:pPr>
      <w:r w:rsidRPr="0015579C">
        <w:rPr>
          <w:rFonts w:ascii="Google Sans" w:eastAsia="Google Sans" w:hAnsi="Google Sans" w:cs="Google Sans"/>
          <w:sz w:val="24"/>
          <w:szCs w:val="24"/>
          <w:lang w:val="en-US"/>
        </w:rPr>
        <w:t xml:space="preserve">Benefits in unemployment, share of previous income | OECD, fecha de acceso: octubre 19, 2025, </w:t>
      </w:r>
      <w:hyperlink r:id="rId59">
        <w:r w:rsidRPr="0015579C">
          <w:rPr>
            <w:rFonts w:ascii="Google Sans" w:eastAsia="Google Sans" w:hAnsi="Google Sans" w:cs="Google Sans"/>
            <w:color w:val="0000EE"/>
            <w:sz w:val="24"/>
            <w:szCs w:val="24"/>
            <w:u w:val="single"/>
            <w:lang w:val="en-US"/>
          </w:rPr>
          <w:t>https://www.oecd.org/en/data/indicators/benefits-in-unemployment-share-of-previous-income.html</w:t>
        </w:r>
      </w:hyperlink>
    </w:p>
    <w:p w14:paraId="39440613" w14:textId="77777777" w:rsidR="00A31C8C" w:rsidRPr="0015579C" w:rsidRDefault="00000000">
      <w:pPr>
        <w:numPr>
          <w:ilvl w:val="0"/>
          <w:numId w:val="7"/>
        </w:numPr>
        <w:pBdr>
          <w:top w:val="nil"/>
          <w:left w:val="nil"/>
          <w:bottom w:val="nil"/>
          <w:right w:val="nil"/>
          <w:between w:val="nil"/>
        </w:pBdr>
        <w:rPr>
          <w:lang w:val="en-US"/>
        </w:rPr>
      </w:pPr>
      <w:r w:rsidRPr="0015579C">
        <w:rPr>
          <w:rFonts w:ascii="Google Sans" w:eastAsia="Google Sans" w:hAnsi="Google Sans" w:cs="Google Sans"/>
          <w:sz w:val="24"/>
          <w:szCs w:val="24"/>
          <w:lang w:val="en-US"/>
        </w:rPr>
        <w:t xml:space="preserve">Tax and benefits database - Employment, Social Affairs and Inclusion - European Union, fecha de acceso: octubre 19, 2025, </w:t>
      </w:r>
      <w:hyperlink r:id="rId60">
        <w:r w:rsidRPr="0015579C">
          <w:rPr>
            <w:rFonts w:ascii="Google Sans" w:eastAsia="Google Sans" w:hAnsi="Google Sans" w:cs="Google Sans"/>
            <w:color w:val="0000EE"/>
            <w:sz w:val="24"/>
            <w:szCs w:val="24"/>
            <w:u w:val="single"/>
            <w:lang w:val="en-US"/>
          </w:rPr>
          <w:t>https://employment-social-affairs.ec.europa.eu/policies-and-activities/analysis-evaluation-impact-assessment-and-databases/databases-and-indicators/tax-and-benefits-database_en</w:t>
        </w:r>
      </w:hyperlink>
    </w:p>
    <w:p w14:paraId="01A9EB3C"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NET REPLACEMENT RATES, fecha de acceso: octubre 19, 2025, </w:t>
      </w:r>
      <w:hyperlink r:id="rId61">
        <w:r>
          <w:rPr>
            <w:rFonts w:ascii="Google Sans" w:eastAsia="Google Sans" w:hAnsi="Google Sans" w:cs="Google Sans"/>
            <w:color w:val="0000EE"/>
            <w:sz w:val="24"/>
            <w:szCs w:val="24"/>
            <w:u w:val="single"/>
          </w:rPr>
          <w:t>https://www.ifo.de/DocDL/dicereport105-db4.pdf</w:t>
        </w:r>
      </w:hyperlink>
    </w:p>
    <w:p w14:paraId="6EB21896" w14:textId="77777777" w:rsidR="00A31C8C" w:rsidRDefault="00000000">
      <w:pPr>
        <w:numPr>
          <w:ilvl w:val="0"/>
          <w:numId w:val="7"/>
        </w:numPr>
        <w:pBdr>
          <w:top w:val="nil"/>
          <w:left w:val="nil"/>
          <w:bottom w:val="nil"/>
          <w:right w:val="nil"/>
          <w:between w:val="nil"/>
        </w:pBdr>
      </w:pPr>
      <w:proofErr w:type="spellStart"/>
      <w:r>
        <w:rPr>
          <w:rFonts w:ascii="Google Sans" w:eastAsia="Google Sans" w:hAnsi="Google Sans" w:cs="Google Sans"/>
          <w:sz w:val="24"/>
          <w:szCs w:val="24"/>
        </w:rPr>
        <w:t>Taxing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Wages</w:t>
      </w:r>
      <w:proofErr w:type="spellEnd"/>
      <w:r>
        <w:rPr>
          <w:rFonts w:ascii="Google Sans" w:eastAsia="Google Sans" w:hAnsi="Google Sans" w:cs="Google Sans"/>
          <w:sz w:val="24"/>
          <w:szCs w:val="24"/>
        </w:rPr>
        <w:t xml:space="preserve"> 2024 - OECD, fecha de acceso: octubre 19, 2025, </w:t>
      </w:r>
      <w:hyperlink r:id="rId62">
        <w:r>
          <w:rPr>
            <w:rFonts w:ascii="Google Sans" w:eastAsia="Google Sans" w:hAnsi="Google Sans" w:cs="Google Sans"/>
            <w:color w:val="0000EE"/>
            <w:sz w:val="24"/>
            <w:szCs w:val="24"/>
            <w:u w:val="single"/>
          </w:rPr>
          <w:t>https://www.oecd.org/en/publications/taxing-wages-2024_dbcbac85-en.html</w:t>
        </w:r>
      </w:hyperlink>
    </w:p>
    <w:p w14:paraId="416630BF"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OECD </w:t>
      </w:r>
      <w:proofErr w:type="spellStart"/>
      <w:r>
        <w:rPr>
          <w:rFonts w:ascii="Google Sans" w:eastAsia="Google Sans" w:hAnsi="Google Sans" w:cs="Google Sans"/>
          <w:sz w:val="24"/>
          <w:szCs w:val="24"/>
        </w:rPr>
        <w:t>Benefits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Wages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InGRID</w:t>
      </w:r>
      <w:proofErr w:type="spellEnd"/>
      <w:r>
        <w:rPr>
          <w:rFonts w:ascii="Google Sans" w:eastAsia="Google Sans" w:hAnsi="Google Sans" w:cs="Google Sans"/>
          <w:sz w:val="24"/>
          <w:szCs w:val="24"/>
        </w:rPr>
        <w:t xml:space="preserve">, fecha de acceso: octubre 19, 2025, </w:t>
      </w:r>
      <w:hyperlink r:id="rId63">
        <w:r>
          <w:rPr>
            <w:rFonts w:ascii="Google Sans" w:eastAsia="Google Sans" w:hAnsi="Google Sans" w:cs="Google Sans"/>
            <w:color w:val="0000EE"/>
            <w:sz w:val="24"/>
            <w:szCs w:val="24"/>
            <w:u w:val="single"/>
          </w:rPr>
          <w:t>https://www.ingridportal.eu/en/portal/oecd-benefits-and-wages</w:t>
        </w:r>
      </w:hyperlink>
    </w:p>
    <w:p w14:paraId="0868F751" w14:textId="77777777" w:rsidR="00A31C8C" w:rsidRDefault="00000000">
      <w:pPr>
        <w:numPr>
          <w:ilvl w:val="0"/>
          <w:numId w:val="7"/>
        </w:numPr>
        <w:pBdr>
          <w:top w:val="nil"/>
          <w:left w:val="nil"/>
          <w:bottom w:val="nil"/>
          <w:right w:val="nil"/>
          <w:between w:val="nil"/>
        </w:pBdr>
      </w:pPr>
      <w:proofErr w:type="spellStart"/>
      <w:r>
        <w:rPr>
          <w:rFonts w:ascii="Google Sans" w:eastAsia="Google Sans" w:hAnsi="Google Sans" w:cs="Google Sans"/>
          <w:sz w:val="24"/>
          <w:szCs w:val="24"/>
        </w:rPr>
        <w:t>Unemployment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Insurance</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Europe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Unedic</w:t>
      </w:r>
      <w:proofErr w:type="spellEnd"/>
      <w:r>
        <w:rPr>
          <w:rFonts w:ascii="Google Sans" w:eastAsia="Google Sans" w:hAnsi="Google Sans" w:cs="Google Sans"/>
          <w:sz w:val="24"/>
          <w:szCs w:val="24"/>
        </w:rPr>
        <w:t xml:space="preserve">, fecha de acceso: octubre 19, 2025, </w:t>
      </w:r>
      <w:hyperlink r:id="rId64">
        <w:r>
          <w:rPr>
            <w:rFonts w:ascii="Google Sans" w:eastAsia="Google Sans" w:hAnsi="Google Sans" w:cs="Google Sans"/>
            <w:color w:val="0000EE"/>
            <w:sz w:val="24"/>
            <w:szCs w:val="24"/>
            <w:u w:val="single"/>
          </w:rPr>
          <w:t>https://www.unedic.org/storage/uploads/2023/07/20/Europ-info-2022-EN_uid_64b93e96b505c.pdf</w:t>
        </w:r>
      </w:hyperlink>
    </w:p>
    <w:p w14:paraId="3DE48F6E" w14:textId="77777777" w:rsidR="00A31C8C" w:rsidRDefault="00000000">
      <w:pPr>
        <w:numPr>
          <w:ilvl w:val="0"/>
          <w:numId w:val="7"/>
        </w:numPr>
        <w:pBdr>
          <w:top w:val="nil"/>
          <w:left w:val="nil"/>
          <w:bottom w:val="nil"/>
          <w:right w:val="nil"/>
          <w:between w:val="nil"/>
        </w:pBdr>
      </w:pPr>
      <w:proofErr w:type="spellStart"/>
      <w:r>
        <w:rPr>
          <w:rFonts w:ascii="Google Sans" w:eastAsia="Google Sans" w:hAnsi="Google Sans" w:cs="Google Sans"/>
          <w:sz w:val="24"/>
          <w:szCs w:val="24"/>
        </w:rPr>
        <w:t>Unemployment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Insurance</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Europe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Unedic</w:t>
      </w:r>
      <w:proofErr w:type="spellEnd"/>
      <w:r>
        <w:rPr>
          <w:rFonts w:ascii="Google Sans" w:eastAsia="Google Sans" w:hAnsi="Google Sans" w:cs="Google Sans"/>
          <w:sz w:val="24"/>
          <w:szCs w:val="24"/>
        </w:rPr>
        <w:t xml:space="preserve">, fecha de acceso: octubre 19, 2025, </w:t>
      </w:r>
      <w:hyperlink r:id="rId65">
        <w:r>
          <w:rPr>
            <w:rFonts w:ascii="Google Sans" w:eastAsia="Google Sans" w:hAnsi="Google Sans" w:cs="Google Sans"/>
            <w:color w:val="0000EE"/>
            <w:sz w:val="24"/>
            <w:szCs w:val="24"/>
            <w:u w:val="single"/>
          </w:rPr>
          <w:t>https://www.unedic.org/storage/uploads/2023/10/25/Assurance-chomage-Europe_EN_uid_653930dd52637.pdf</w:t>
        </w:r>
      </w:hyperlink>
    </w:p>
    <w:p w14:paraId="045F40DD"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mercado de trabajo español: situación actual ... - Banco de España, fecha de acceso: octubre 19, 2025, </w:t>
      </w:r>
      <w:hyperlink r:id="rId66">
        <w:r>
          <w:rPr>
            <w:rFonts w:ascii="Google Sans" w:eastAsia="Google Sans" w:hAnsi="Google Sans" w:cs="Google Sans"/>
            <w:color w:val="0000EE"/>
            <w:sz w:val="24"/>
            <w:szCs w:val="24"/>
            <w:u w:val="single"/>
          </w:rPr>
          <w:t>https://www.bde.es/f/webbe/GAP/Secciones/SalaPrensa/IntervencionesPublicas/DirectoresGenerales/economia/Arc/Fic/IIPP-2024-04-23-gavilan1-es-or.pdf</w:t>
        </w:r>
      </w:hyperlink>
    </w:p>
    <w:p w14:paraId="5547FFDA"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El Banco de España propone reformas para reducir el paro estructural y alcanzar en riqueza a Europa - Infobae, fecha de acceso: octubre 19, 2025, </w:t>
      </w:r>
      <w:hyperlink r:id="rId67">
        <w:r>
          <w:rPr>
            <w:rFonts w:ascii="Google Sans" w:eastAsia="Google Sans" w:hAnsi="Google Sans" w:cs="Google Sans"/>
            <w:color w:val="0000EE"/>
            <w:sz w:val="24"/>
            <w:szCs w:val="24"/>
            <w:u w:val="single"/>
          </w:rPr>
          <w:t>https://www.infobae.com/espana/2023/05/10/el-banco-de-espana-propone-reformas-para-reducir-el-paro-estructural-y-alcanzar-en-riqueza-a-europa/</w:t>
        </w:r>
      </w:hyperlink>
    </w:p>
    <w:p w14:paraId="462F366C"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Mercado de Trabajo - Fundación de Estudios de Economía Aplicada, fecha de acceso: octubre 19, 2025, </w:t>
      </w:r>
      <w:hyperlink r:id="rId68">
        <w:r>
          <w:rPr>
            <w:rFonts w:ascii="Google Sans" w:eastAsia="Google Sans" w:hAnsi="Google Sans" w:cs="Google Sans"/>
            <w:color w:val="0000EE"/>
            <w:sz w:val="24"/>
            <w:szCs w:val="24"/>
            <w:u w:val="single"/>
          </w:rPr>
          <w:t>https://fedea.net/mercado-de-trabajo/</w:t>
        </w:r>
      </w:hyperlink>
    </w:p>
    <w:p w14:paraId="1C479A1D"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Los expertos reclaman una transformación profunda de las políticas activas de empleo en España - Fundación de Estudios de Economía Aplicada, fecha de acceso: octubre 19, 2025, </w:t>
      </w:r>
      <w:hyperlink r:id="rId69">
        <w:r>
          <w:rPr>
            <w:rFonts w:ascii="Google Sans" w:eastAsia="Google Sans" w:hAnsi="Google Sans" w:cs="Google Sans"/>
            <w:color w:val="0000EE"/>
            <w:sz w:val="24"/>
            <w:szCs w:val="24"/>
            <w:u w:val="single"/>
          </w:rPr>
          <w:t>https://fedea.net/los-expertos-reclaman-una-transformacion-profunda-de-las-politicas-activas-de-empleo-en-espana/</w:t>
        </w:r>
      </w:hyperlink>
    </w:p>
    <w:p w14:paraId="01F00BF4"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INFORME COMPLEMENTARIO DE CUMPLIMIENTO ESPERADO ..., fecha de acceso: octubre 19, 2025, </w:t>
      </w:r>
      <w:hyperlink r:id="rId70">
        <w:r>
          <w:rPr>
            <w:rFonts w:ascii="Google Sans" w:eastAsia="Google Sans" w:hAnsi="Google Sans" w:cs="Google Sans"/>
            <w:color w:val="0000EE"/>
            <w:sz w:val="24"/>
            <w:szCs w:val="24"/>
            <w:u w:val="single"/>
          </w:rPr>
          <w:t>https://www.airef.es/wp-content/uploads/2019/01/opinion-pensiones/190109_Opinion_SS.pdf</w:t>
        </w:r>
      </w:hyperlink>
    </w:p>
    <w:p w14:paraId="710732B4"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La evaluación de impacto de las políticas activas de empleo en España - Revistas ICE, fecha de acceso: octubre 19, 2025, </w:t>
      </w:r>
      <w:hyperlink r:id="rId71">
        <w:r>
          <w:rPr>
            <w:rFonts w:ascii="Google Sans" w:eastAsia="Google Sans" w:hAnsi="Google Sans" w:cs="Google Sans"/>
            <w:color w:val="0000EE"/>
            <w:sz w:val="24"/>
            <w:szCs w:val="24"/>
            <w:u w:val="single"/>
          </w:rPr>
          <w:t>https://www.revistasice.com/index.php/CICE/article/download/7314/7355/8191</w:t>
        </w:r>
      </w:hyperlink>
    </w:p>
    <w:p w14:paraId="3C3123E5" w14:textId="77777777" w:rsidR="00A31C8C" w:rsidRDefault="00000000">
      <w:pPr>
        <w:numPr>
          <w:ilvl w:val="0"/>
          <w:numId w:val="7"/>
        </w:numPr>
        <w:pBdr>
          <w:top w:val="nil"/>
          <w:left w:val="nil"/>
          <w:bottom w:val="nil"/>
          <w:right w:val="nil"/>
          <w:between w:val="nil"/>
        </w:pBdr>
      </w:pPr>
      <w:r>
        <w:rPr>
          <w:rFonts w:ascii="Google Sans" w:eastAsia="Google Sans" w:hAnsi="Google Sans" w:cs="Google Sans"/>
          <w:sz w:val="24"/>
          <w:szCs w:val="24"/>
        </w:rPr>
        <w:t xml:space="preserve">La pandemia mostró una menor protección laboral para los jóvenes en comparación con los mayores, indica </w:t>
      </w:r>
      <w:proofErr w:type="spellStart"/>
      <w:r>
        <w:rPr>
          <w:rFonts w:ascii="Google Sans" w:eastAsia="Google Sans" w:hAnsi="Google Sans" w:cs="Google Sans"/>
          <w:sz w:val="24"/>
          <w:szCs w:val="24"/>
        </w:rPr>
        <w:t>Fedea</w:t>
      </w:r>
      <w:proofErr w:type="spellEnd"/>
      <w:r>
        <w:rPr>
          <w:rFonts w:ascii="Google Sans" w:eastAsia="Google Sans" w:hAnsi="Google Sans" w:cs="Google Sans"/>
          <w:sz w:val="24"/>
          <w:szCs w:val="24"/>
        </w:rPr>
        <w:t xml:space="preserve"> | Demócrata, fecha de acceso: octubre 19, 2025, </w:t>
      </w:r>
      <w:hyperlink r:id="rId72">
        <w:r>
          <w:rPr>
            <w:rFonts w:ascii="Google Sans" w:eastAsia="Google Sans" w:hAnsi="Google Sans" w:cs="Google Sans"/>
            <w:color w:val="0000EE"/>
            <w:sz w:val="24"/>
            <w:szCs w:val="24"/>
            <w:u w:val="single"/>
          </w:rPr>
          <w:t>https://www.democrata.es/economia/pandemia-mostro-menor-proteccion-laboral-jovenes-comparacion-mayores-indica-fedea/</w:t>
        </w:r>
      </w:hyperlink>
    </w:p>
    <w:sectPr w:rsidR="00A31C8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DBABF20-C2D2-4747-9A80-305E4E7ECB0F}"/>
    <w:embedItalic r:id="rId2" w:fontKey="{1DAB040D-881B-451B-90DF-AA673B522327}"/>
  </w:font>
  <w:font w:name="Google Sans">
    <w:altName w:val="Calibri"/>
    <w:charset w:val="00"/>
    <w:family w:val="auto"/>
    <w:pitch w:val="default"/>
    <w:embedRegular r:id="rId3" w:fontKey="{217B1A09-476D-49F4-95F8-8C4CC7DAF29F}"/>
    <w:embedBold r:id="rId4" w:fontKey="{15F65692-1BCB-49DA-8BA5-45FE033ACBAE}"/>
  </w:font>
  <w:font w:name="Google Sans Text">
    <w:altName w:val="Calibri"/>
    <w:charset w:val="00"/>
    <w:family w:val="auto"/>
    <w:pitch w:val="default"/>
    <w:embedRegular r:id="rId5" w:fontKey="{7BF987F9-D425-4827-9CD9-762E7E45DF3C}"/>
    <w:embedBold r:id="rId6" w:fontKey="{632AD8D1-B4E4-40AF-8E8C-4609FFEF067C}"/>
    <w:embedItalic r:id="rId7" w:fontKey="{B7670CDF-1469-44F3-9902-43798EB47471}"/>
  </w:font>
  <w:font w:name="Calibri">
    <w:panose1 w:val="020F0502020204030204"/>
    <w:charset w:val="00"/>
    <w:family w:val="swiss"/>
    <w:pitch w:val="variable"/>
    <w:sig w:usb0="E4002EFF" w:usb1="C200247B" w:usb2="00000009" w:usb3="00000000" w:csb0="000001FF" w:csb1="00000000"/>
    <w:embedRegular r:id="rId8" w:fontKey="{C3D3173C-DB42-486A-8409-40D51B23CCDC}"/>
  </w:font>
  <w:font w:name="Cambria">
    <w:panose1 w:val="02040503050406030204"/>
    <w:charset w:val="00"/>
    <w:family w:val="roman"/>
    <w:pitch w:val="variable"/>
    <w:sig w:usb0="E00006FF" w:usb1="420024FF" w:usb2="02000000" w:usb3="00000000" w:csb0="0000019F" w:csb1="00000000"/>
    <w:embedRegular r:id="rId9" w:fontKey="{A1A2A4CB-B641-40F9-B69E-F739979AEB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6FD3"/>
    <w:multiLevelType w:val="multilevel"/>
    <w:tmpl w:val="6F3A7F1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0572D67"/>
    <w:multiLevelType w:val="multilevel"/>
    <w:tmpl w:val="02E2E7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6064305"/>
    <w:multiLevelType w:val="multilevel"/>
    <w:tmpl w:val="AEA6A1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C1402DB"/>
    <w:multiLevelType w:val="multilevel"/>
    <w:tmpl w:val="6E2027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1C56FEC"/>
    <w:multiLevelType w:val="multilevel"/>
    <w:tmpl w:val="F59E57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A851B2E"/>
    <w:multiLevelType w:val="multilevel"/>
    <w:tmpl w:val="D2F81B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B2F09B6"/>
    <w:multiLevelType w:val="multilevel"/>
    <w:tmpl w:val="8D9CFD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20823218">
    <w:abstractNumId w:val="2"/>
  </w:num>
  <w:num w:numId="2" w16cid:durableId="1166550006">
    <w:abstractNumId w:val="4"/>
  </w:num>
  <w:num w:numId="3" w16cid:durableId="2027321886">
    <w:abstractNumId w:val="3"/>
  </w:num>
  <w:num w:numId="4" w16cid:durableId="1954895980">
    <w:abstractNumId w:val="5"/>
  </w:num>
  <w:num w:numId="5" w16cid:durableId="553807760">
    <w:abstractNumId w:val="6"/>
  </w:num>
  <w:num w:numId="6" w16cid:durableId="1958439967">
    <w:abstractNumId w:val="1"/>
  </w:num>
  <w:num w:numId="7" w16cid:durableId="127494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8C"/>
    <w:rsid w:val="0015579C"/>
    <w:rsid w:val="00A31C8C"/>
    <w:rsid w:val="00E22C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9798"/>
  <w15:docId w15:val="{05FC1132-4396-40A9-A97B-66DB076C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asesoriamorlan.com/como-afecta-el-real-decreto-ley-2-2024-al-subsidio-por-desempleo-de-mayores-de-52-anos/" TargetMode="External"/><Relationship Id="rId21" Type="http://schemas.openxmlformats.org/officeDocument/2006/relationships/hyperlink" Target="https://www.sepe.es/HomeSepe/prestaciones-desempleo/subsidio-desempleo/subsidio-agotamiento-prestacion-contributiva.html" TargetMode="External"/><Relationship Id="rId42" Type="http://schemas.openxmlformats.org/officeDocument/2006/relationships/hyperlink" Target="https://www.inclusion.gob.es/w/ya-esta-operativa-la-pasarela-que-permite-agilizar-la-transicion-del-subsidio-por-desempleo-al-ingreso-minimo-vital" TargetMode="External"/><Relationship Id="rId47" Type="http://schemas.openxmlformats.org/officeDocument/2006/relationships/hyperlink" Target="https://www.seg-social.es/wps/portal/wss/internet/EstadisticasPresupuestosEstudios/Estadisticas/EST50/EST53/EST174" TargetMode="External"/><Relationship Id="rId63" Type="http://schemas.openxmlformats.org/officeDocument/2006/relationships/hyperlink" Target="https://www.ingridportal.eu/en/portal/oecd-benefits-and-wages" TargetMode="External"/><Relationship Id="rId68" Type="http://schemas.openxmlformats.org/officeDocument/2006/relationships/hyperlink" Target="https://fedea.net/mercado-de-trabajo/" TargetMode="External"/><Relationship Id="rId2" Type="http://schemas.openxmlformats.org/officeDocument/2006/relationships/styles" Target="styles.xml"/><Relationship Id="rId16" Type="http://schemas.openxmlformats.org/officeDocument/2006/relationships/hyperlink" Target="https://www.sepe.es/HomeSepe/prestaciones-desempleo/duracion-prestacion-contributiva.html" TargetMode="External"/><Relationship Id="rId29" Type="http://schemas.openxmlformats.org/officeDocument/2006/relationships/hyperlink" Target="https://www.lamoncloa.gob.es/consejodeministros/resumenes/paginas/2024/210524-rueda-de-prensa-ministros.aspx" TargetMode="External"/><Relationship Id="rId11" Type="http://schemas.openxmlformats.org/officeDocument/2006/relationships/hyperlink" Target="https://www.infobae.com/espana/2025/03/02/cuanto-es-lo-maximo-que-se-cobra-de-paro-estos-son-los-requisitos/" TargetMode="External"/><Relationship Id="rId24" Type="http://schemas.openxmlformats.org/officeDocument/2006/relationships/hyperlink" Target="https://www.boe.es/buscar/doc.php?id=BOE-A-2024-10235" TargetMode="External"/><Relationship Id="rId32" Type="http://schemas.openxmlformats.org/officeDocument/2006/relationships/hyperlink" Target="https://www.laboral-social.com/RDL-2-2024-modificaciones-LGSS-reforma-subsidio-desempleo" TargetMode="External"/><Relationship Id="rId37" Type="http://schemas.openxmlformats.org/officeDocument/2006/relationships/hyperlink" Target="https://www.mites.gob.es/es/Guia/texto/guia_9/contenidos_OCULTADOS/guia_9_20_4.htm" TargetMode="External"/><Relationship Id="rId40" Type="http://schemas.openxmlformats.org/officeDocument/2006/relationships/hyperlink" Target="https://www.inclusion.gob.es/web/inclusion/ingreso-minimo-vital/que-es" TargetMode="External"/><Relationship Id="rId45" Type="http://schemas.openxmlformats.org/officeDocument/2006/relationships/hyperlink" Target="https://www.elindependiente.com/economia/2025/08/24/gasto-prestaciones-desempleo-aumenta-7-primer-semestre/" TargetMode="External"/><Relationship Id="rId53" Type="http://schemas.openxmlformats.org/officeDocument/2006/relationships/hyperlink" Target="https://www.bde.es/webbe/es/estadisticas/compartido/datos/csv/be2418.csv" TargetMode="External"/><Relationship Id="rId58" Type="http://schemas.openxmlformats.org/officeDocument/2006/relationships/hyperlink" Target="https://ec.europa.eu/eurostat/web/labour-market/database" TargetMode="External"/><Relationship Id="rId66" Type="http://schemas.openxmlformats.org/officeDocument/2006/relationships/hyperlink" Target="https://www.bde.es/f/webbe/GAP/Secciones/SalaPrensa/IntervencionesPublicas/DirectoresGenerales/economia/Arc/Fic/IIPP-2024-04-23-gavilan1-es-or.pdf" TargetMode="External"/><Relationship Id="rId74" Type="http://schemas.openxmlformats.org/officeDocument/2006/relationships/theme" Target="theme/theme1.xml"/><Relationship Id="rId5" Type="http://schemas.openxmlformats.org/officeDocument/2006/relationships/hyperlink" Target="https://www.ilo.org/es/el-departamento-de-analisis-de-los-mercados-economicos-y-laborales-empelm/ambitos-de-trabajo/politicas-e-instituciones-del-mercado-laboral" TargetMode="External"/><Relationship Id="rId61" Type="http://schemas.openxmlformats.org/officeDocument/2006/relationships/hyperlink" Target="https://www.ifo.de/DocDL/dicereport105-db4.pdf" TargetMode="External"/><Relationship Id="rId19" Type="http://schemas.openxmlformats.org/officeDocument/2006/relationships/hyperlink" Target="https://www.catala-reinon.es/blog/tipos-subsidios-desempleo-espana" TargetMode="External"/><Relationship Id="rId14" Type="http://schemas.openxmlformats.org/officeDocument/2006/relationships/hyperlink" Target="https://www.bbva.com/es/es/salud-financiera/prestacion-por-desempleo-vs-subsidio-por-desempleo-requisitos-para-solicitarlos-en-espana/" TargetMode="External"/><Relationship Id="rId22" Type="http://schemas.openxmlformats.org/officeDocument/2006/relationships/hyperlink" Target="https://www.boe.es/diario_boe/txt.php?id=BOE-A-2024-10235" TargetMode="External"/><Relationship Id="rId27" Type="http://schemas.openxmlformats.org/officeDocument/2006/relationships/hyperlink" Target="https://www.sepe.es/HomeSepe/que-es-el-sepe/comunicacion-institucional/noticias/detalle-noticia?folder=/SEPE/2024/Octubre/&amp;detail=La-reforma-del-nivel-asistencial-entra-en-vigor-este-1-de-noviembre-" TargetMode="External"/><Relationship Id="rId30" Type="http://schemas.openxmlformats.org/officeDocument/2006/relationships/hyperlink" Target="https://www.tribunaavila.com/noticias/365603/el-banco-de-espana-plantea-que-el-cobro-del-paro-sea-decreciente-y-compatible-con-el-empleo" TargetMode="External"/><Relationship Id="rId35" Type="http://schemas.openxmlformats.org/officeDocument/2006/relationships/hyperlink" Target="https://www.juntadeandalucia.es/export/drupaljda/folleto_rai_esp.pdf" TargetMode="External"/><Relationship Id="rId43" Type="http://schemas.openxmlformats.org/officeDocument/2006/relationships/hyperlink" Target="https://www.sepe.es/HomeSepe/prestaciones-desempleo/ingreso-minimo-vital.html" TargetMode="External"/><Relationship Id="rId48" Type="http://schemas.openxmlformats.org/officeDocument/2006/relationships/hyperlink" Target="https://www.vozpopuli.com/economia/menos-parados-pero-mas-caros-el-gasto-de-las-prestaciones-se-dispara-un-24.html" TargetMode="External"/><Relationship Id="rId56" Type="http://schemas.openxmlformats.org/officeDocument/2006/relationships/hyperlink" Target="https://en.wikipedia.org/wiki/Unemployment_in_Spain" TargetMode="External"/><Relationship Id="rId64" Type="http://schemas.openxmlformats.org/officeDocument/2006/relationships/hyperlink" Target="https://www.unedic.org/storage/uploads/2023/07/20/Europ-info-2022-EN_uid_64b93e96b505c.pdf" TargetMode="External"/><Relationship Id="rId69" Type="http://schemas.openxmlformats.org/officeDocument/2006/relationships/hyperlink" Target="https://fedea.net/los-expertos-reclaman-una-transformacion-profunda-de-las-politicas-activas-de-empleo-en-espana/" TargetMode="External"/><Relationship Id="rId8" Type="http://schemas.openxmlformats.org/officeDocument/2006/relationships/hyperlink" Target="https://www.sepe.es/HomeSepe/que-es-observatorio/Hipatia/cuadernos-mercado-trabajo/revista-cuadernos-mercado-trabajo/detalle-articulo.html?detail=/revista/Ajustes-y-desajustes-de-la-oferta-y-demanda-de-empleo/haciaunmejorempleobalancedelapoliticadeempleo20182023" TargetMode="External"/><Relationship Id="rId51" Type="http://schemas.openxmlformats.org/officeDocument/2006/relationships/hyperlink" Target="https://prensa.mites.gob.es/webPrensa/listado-noticia/noticia/4447" TargetMode="External"/><Relationship Id="rId72" Type="http://schemas.openxmlformats.org/officeDocument/2006/relationships/hyperlink" Target="https://www.democrata.es/economia/pandemia-mostro-menor-proteccion-laboral-jovenes-comparacion-mayores-indica-fedea/" TargetMode="External"/><Relationship Id="rId3" Type="http://schemas.openxmlformats.org/officeDocument/2006/relationships/settings" Target="settings.xml"/><Relationship Id="rId12" Type="http://schemas.openxmlformats.org/officeDocument/2006/relationships/hyperlink" Target="https://www.sepe.es/HomeSepe/prestaciones-desempleo/prestacion-contributiva/prestacion-contributiva-mas-de-un-anyo.html" TargetMode="External"/><Relationship Id="rId17" Type="http://schemas.openxmlformats.org/officeDocument/2006/relationships/hyperlink" Target="https://www.mites.gob.es/es/Guia/texto/guia_9/contenidos_OCULTADOS/guia_9_20_2.htm" TargetMode="External"/><Relationship Id="rId25" Type="http://schemas.openxmlformats.org/officeDocument/2006/relationships/hyperlink" Target="https://www.strategiaconsultoria.es/reformas-en-la-proteccion-por-desempleo-y-conciliacion-familiar-real-decreto-ley-2-2024/" TargetMode="External"/><Relationship Id="rId33" Type="http://schemas.openxmlformats.org/officeDocument/2006/relationships/hyperlink" Target="https://www.uso.es/prestacion-y-subsidio-por-desempleo-todos-los-cambios/" TargetMode="External"/><Relationship Id="rId38" Type="http://schemas.openxmlformats.org/officeDocument/2006/relationships/hyperlink" Target="https://www.seg-social.es/wps/portal/wss/internet/InformacionUtil/44539/49706" TargetMode="External"/><Relationship Id="rId46" Type="http://schemas.openxmlformats.org/officeDocument/2006/relationships/hyperlink" Target="https://www.eleconomista.es/economia/noticias/13531358/09/25/el-gasto-en-prestaciones-por-desempleo-crece-un-65-pese-a-la-caida-del-paro.html" TargetMode="External"/><Relationship Id="rId59" Type="http://schemas.openxmlformats.org/officeDocument/2006/relationships/hyperlink" Target="https://www.oecd.org/en/data/indicators/benefits-in-unemployment-share-of-previous-income.html" TargetMode="External"/><Relationship Id="rId67" Type="http://schemas.openxmlformats.org/officeDocument/2006/relationships/hyperlink" Target="https://www.infobae.com/espana/2023/05/10/el-banco-de-espana-propone-reformas-para-reducir-el-paro-estructural-y-alcanzar-en-riqueza-a-europa/" TargetMode="External"/><Relationship Id="rId20" Type="http://schemas.openxmlformats.org/officeDocument/2006/relationships/hyperlink" Target="https://sede.sepe.gob.es/portalSede/es/procedimientos-y-servicios/personas/proteccion-por-desempleo/solicitud-de-prestaciones/sede-virtual/sv0219" TargetMode="External"/><Relationship Id="rId41" Type="http://schemas.openxmlformats.org/officeDocument/2006/relationships/hyperlink" Target="https://www.seg-social.es/wps/portal/wss/internet/Trabajadores/PrestacionesPensionesTrabajadores/65850d68-8d06-4645-bde7-05374ee42ac7?changeLanguage=es)" TargetMode="External"/><Relationship Id="rId54" Type="http://schemas.openxmlformats.org/officeDocument/2006/relationships/hyperlink" Target="https://employment-social-affairs.ec.europa.eu/policies-and-activities/analysis-evaluation-impact-assessment-and-databases/databases-and-indicators/labour-market-policies-lmp-database_en" TargetMode="External"/><Relationship Id="rId62" Type="http://schemas.openxmlformats.org/officeDocument/2006/relationships/hyperlink" Target="https://www.oecd.org/en/publications/taxing-wages-2024_dbcbac85-en.html" TargetMode="External"/><Relationship Id="rId70" Type="http://schemas.openxmlformats.org/officeDocument/2006/relationships/hyperlink" Target="https://www.airef.es/wp-content/uploads/2019/01/opinion-pensiones/190109_Opinion_SS.pdf" TargetMode="External"/><Relationship Id="rId1" Type="http://schemas.openxmlformats.org/officeDocument/2006/relationships/numbering" Target="numbering.xml"/><Relationship Id="rId6" Type="http://schemas.openxmlformats.org/officeDocument/2006/relationships/hyperlink" Target="https://www.misionempleo.gov.co/Documentos%20compartidos/Presentacion_Resultados/Presentacion_Se_buscan_empleos_de_calidad_politicas_activas_y_pasivas_de_empleo_en_Colombia.pdf" TargetMode="External"/><Relationship Id="rId15" Type="http://schemas.openxmlformats.org/officeDocument/2006/relationships/hyperlink" Target="https://sede.sepe.gob.es/portalSede/es/procedimientos-y-servicios/personas/proteccion-por-desempleo/reconocimiento-prestacion-contributiva" TargetMode="External"/><Relationship Id="rId23" Type="http://schemas.openxmlformats.org/officeDocument/2006/relationships/hyperlink" Target="https://www.boe.es/eli/es/rdl/2024/05/21" TargetMode="External"/><Relationship Id="rId28" Type="http://schemas.openxmlformats.org/officeDocument/2006/relationships/hyperlink" Target="https://planderecuperacion.gob.es/noticias/gobierno-mejora-simplifica-proteccion-asistencial-desempleo-prtr" TargetMode="External"/><Relationship Id="rId36" Type="http://schemas.openxmlformats.org/officeDocument/2006/relationships/hyperlink" Target="https://www.bbvamijubilacion.es/blog/importe-de-la-renta-activa-de-insercion-en-2024-y-requisitos-para-tener-derecho-a-la-misma/" TargetMode="External"/><Relationship Id="rId49" Type="http://schemas.openxmlformats.org/officeDocument/2006/relationships/hyperlink" Target="https://www.ccoo.es/b96a7d8fb366b735fed393741f56487c000001.pdf" TargetMode="External"/><Relationship Id="rId57" Type="http://schemas.openxmlformats.org/officeDocument/2006/relationships/hyperlink" Target="https://webgate.ec.europa.eu/empl/redisstat/databrowser/view/LMP_EXPSUMM$TPS00076/default/table?lang=en&amp;category=T_LMP" TargetMode="External"/><Relationship Id="rId10" Type="http://schemas.openxmlformats.org/officeDocument/2006/relationships/hyperlink" Target="https://es.wikipedia.org/wiki/Protecci%C3%B3n_por_desempleo_en_Espa%C3%B1a" TargetMode="External"/><Relationship Id="rId31" Type="http://schemas.openxmlformats.org/officeDocument/2006/relationships/hyperlink" Target="https://www.esade.edu/ecpol/wp-content/uploads/2023/12/EsadeEcPol_Reaction_Subsidios-2.pdf" TargetMode="External"/><Relationship Id="rId44" Type="http://schemas.openxmlformats.org/officeDocument/2006/relationships/hyperlink" Target="https://www.elperiodico.com/es/economia/20250624/buenas-noticias-paro-seguridad-social-imv-dv-119021600" TargetMode="External"/><Relationship Id="rId52" Type="http://schemas.openxmlformats.org/officeDocument/2006/relationships/hyperlink" Target="https://prensa.mites.gob.es/webPrensa/listado-noticia/noticia/4438" TargetMode="External"/><Relationship Id="rId60" Type="http://schemas.openxmlformats.org/officeDocument/2006/relationships/hyperlink" Target="https://employment-social-affairs.ec.europa.eu/policies-and-activities/analysis-evaluation-impact-assessment-and-databases/databases-and-indicators/tax-and-benefits-database_en" TargetMode="External"/><Relationship Id="rId65" Type="http://schemas.openxmlformats.org/officeDocument/2006/relationships/hyperlink" Target="https://www.unedic.org/storage/uploads/2023/10/25/Assurance-chomage-Europe_EN_uid_653930dd52637.pdf"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rupo.us.es/iwpr/wp-content/uploads/2017/12/3jm.pdf" TargetMode="External"/><Relationship Id="rId13" Type="http://schemas.openxmlformats.org/officeDocument/2006/relationships/hyperlink" Target="https://www.mites.gob.es/es/Guia/texto/guia_9/contenidos_OCULTADOS/guia_9_20_1.htm" TargetMode="External"/><Relationship Id="rId18" Type="http://schemas.openxmlformats.org/officeDocument/2006/relationships/hyperlink" Target="https://www.seg-social.es/descarga/en/49446" TargetMode="External"/><Relationship Id="rId39" Type="http://schemas.openxmlformats.org/officeDocument/2006/relationships/hyperlink" Target="https://www.sepe.es/HomeSepe/prestaciones-desempleo/si-tengo-subsidio-rai-antes-noviembre-2024.html" TargetMode="External"/><Relationship Id="rId34" Type="http://schemas.openxmlformats.org/officeDocument/2006/relationships/hyperlink" Target="https://www.youtube.com/watch?v=0SBO7lCU0pw" TargetMode="External"/><Relationship Id="rId50" Type="http://schemas.openxmlformats.org/officeDocument/2006/relationships/hyperlink" Target="https://www.ine.es/jaxi/Tabla.htm?path=/t25/p444/a2003/l1/&amp;file=prot005.px" TargetMode="External"/><Relationship Id="rId55" Type="http://schemas.openxmlformats.org/officeDocument/2006/relationships/hyperlink" Target="https://www.oecd.org/en/publications/oecd-employment-outlook-2024-country-notes_d6c84475-en/spain_b237abc0-en.html" TargetMode="External"/><Relationship Id="rId7" Type="http://schemas.openxmlformats.org/officeDocument/2006/relationships/hyperlink" Target="https://dialnet.unirioja.es/descarga/articulo/9951704.pdf" TargetMode="External"/><Relationship Id="rId71" Type="http://schemas.openxmlformats.org/officeDocument/2006/relationships/hyperlink" Target="https://www.revistasice.com/index.php/CICE/article/download/7314/7355/819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9017</Words>
  <Characters>48696</Characters>
  <Application>Microsoft Office Word</Application>
  <DocSecurity>0</DocSecurity>
  <Lines>695</Lines>
  <Paragraphs>126</Paragraphs>
  <ScaleCrop>false</ScaleCrop>
  <Company/>
  <LinksUpToDate>false</LinksUpToDate>
  <CharactersWithSpaces>57587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Manuel Alejandro Hidalgo Perez</cp:lastModifiedBy>
  <cp:revision>2</cp:revision>
  <dcterms:created xsi:type="dcterms:W3CDTF">2025-10-19T07:44:00Z</dcterms:created>
  <dcterms:modified xsi:type="dcterms:W3CDTF">2025-10-19T07:44:00Z</dcterms:modified>
</cp:coreProperties>
</file>