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FD1C" w14:textId="77777777" w:rsidR="003F6AFA" w:rsidRDefault="003F6AFA">
      <w:pPr>
        <w:pBdr>
          <w:top w:val="nil"/>
          <w:left w:val="nil"/>
          <w:bottom w:val="nil"/>
          <w:right w:val="nil"/>
          <w:between w:val="nil"/>
        </w:pBdr>
        <w:spacing w:after="240" w:line="275" w:lineRule="auto"/>
        <w:rPr>
          <w:color w:val="000000"/>
        </w:rPr>
      </w:pPr>
    </w:p>
    <w:p w14:paraId="16F8E727" w14:textId="77777777" w:rsidR="003F6AFA" w:rsidRDefault="00000000">
      <w:pPr>
        <w:pStyle w:val="Ttulo1"/>
        <w:spacing w:before="0" w:after="120" w:line="275" w:lineRule="auto"/>
        <w:rPr>
          <w:rFonts w:ascii="Google Sans" w:eastAsia="Google Sans" w:hAnsi="Google Sans" w:cs="Google Sans"/>
          <w:color w:val="1B1C1D"/>
        </w:rPr>
      </w:pPr>
      <w:r>
        <w:rPr>
          <w:rFonts w:ascii="Google Sans" w:eastAsia="Google Sans" w:hAnsi="Google Sans" w:cs="Google Sans"/>
          <w:color w:val="1B1C1D"/>
        </w:rPr>
        <w:t>Evidencia Empírica de las Políticas de Flexibilidad Laboral: Contexto Internacional y Reformas Españolas</w:t>
      </w:r>
    </w:p>
    <w:p w14:paraId="65C87DAF"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578A9D75"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7BC76725" w14:textId="77777777" w:rsidR="003F6AFA"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Introducción: De la Teoría a la Evidencia Empírica</w:t>
      </w:r>
    </w:p>
    <w:p w14:paraId="2BCCE7E2"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6EE8A33D"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marco conceptual de la flexibilidad laboral, como se ha establecido previamente, distingue entre las dimensiones externa (contratación y despido) e interna (ajuste de condiciones), y sitúa la elevada dualidad como el problema estructural endémico del modelo español.</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Sin embargo, el impacto real de las políticas que regulan estas dimensiones no es una mera cuestión teórica; constituye un campo de intensa controversia empírica.</w:t>
      </w:r>
    </w:p>
    <w:p w14:paraId="6DCB48B4"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Las políticas de protección del empleo (EPL, por sus siglas en inglés) se encuentran en el nexo de un </w:t>
      </w:r>
      <w:proofErr w:type="spellStart"/>
      <w:r>
        <w:rPr>
          <w:rFonts w:ascii="Google Sans Text" w:eastAsia="Google Sans Text" w:hAnsi="Google Sans Text" w:cs="Google Sans Text"/>
          <w:i/>
          <w:color w:val="1B1C1D"/>
        </w:rPr>
        <w:t>trade</w:t>
      </w:r>
      <w:proofErr w:type="spellEnd"/>
      <w:r>
        <w:rPr>
          <w:rFonts w:ascii="Google Sans Text" w:eastAsia="Google Sans Text" w:hAnsi="Google Sans Text" w:cs="Google Sans Text"/>
          <w:i/>
          <w:color w:val="1B1C1D"/>
        </w:rPr>
        <w:t>-off</w:t>
      </w:r>
      <w:r>
        <w:rPr>
          <w:rFonts w:ascii="Google Sans Text" w:eastAsia="Google Sans Text" w:hAnsi="Google Sans Text" w:cs="Google Sans Text"/>
          <w:color w:val="1B1C1D"/>
        </w:rPr>
        <w:t xml:space="preserve"> fundamental: la búsqueda de seguridad para el trabajador frente a la necesidad de adaptación competitiva de la empresa.</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La teoría por sí sola no puede determinar qué efecto domina.</w:t>
      </w:r>
    </w:p>
    <w:p w14:paraId="2AB110D0"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Este apartado aborda la pregunta empírica central: ¿cuáles son las consecuencias </w:t>
      </w:r>
      <w:r>
        <w:rPr>
          <w:rFonts w:ascii="Google Sans Text" w:eastAsia="Google Sans Text" w:hAnsi="Google Sans Text" w:cs="Google Sans Text"/>
          <w:i/>
          <w:color w:val="1B1C1D"/>
        </w:rPr>
        <w:t>medibles</w:t>
      </w:r>
      <w:r>
        <w:rPr>
          <w:rFonts w:ascii="Google Sans Text" w:eastAsia="Google Sans Text" w:hAnsi="Google Sans Text" w:cs="Google Sans Text"/>
          <w:color w:val="1B1C1D"/>
        </w:rPr>
        <w:t xml:space="preserve"> de alterar el nivel y el tipo de EPL? Para responder, se revisará la literatura académica internacional, evaluando la evidencia sobre los efectos de la flexibilidad en el desempleo, la productividad y la segmentación del mercado. Posteriormente, este análisis se centrará en los dos experimentos de política económica más significativos de España en las últimas décadas: las reformas de 2012 y 2021, utilizando evaluaciones de organismos como el FMI, la OCDE, el Banco de España y centros de investigación como </w:t>
      </w:r>
      <w:proofErr w:type="spellStart"/>
      <w:r>
        <w:rPr>
          <w:rFonts w:ascii="Google Sans Text" w:eastAsia="Google Sans Text" w:hAnsi="Google Sans Text" w:cs="Google Sans Text"/>
          <w:color w:val="1B1C1D"/>
        </w:rPr>
        <w:t>Fedea</w:t>
      </w:r>
      <w:proofErr w:type="spellEnd"/>
      <w:r>
        <w:rPr>
          <w:rFonts w:ascii="Google Sans Text" w:eastAsia="Google Sans Text" w:hAnsi="Google Sans Text" w:cs="Google Sans Text"/>
          <w:color w:val="1B1C1D"/>
        </w:rPr>
        <w:t xml:space="preserve"> y </w:t>
      </w:r>
      <w:proofErr w:type="spellStart"/>
      <w:r>
        <w:rPr>
          <w:rFonts w:ascii="Google Sans Text" w:eastAsia="Google Sans Text" w:hAnsi="Google Sans Text" w:cs="Google Sans Text"/>
          <w:color w:val="1B1C1D"/>
        </w:rPr>
        <w:t>EsadeEcPol</w:t>
      </w:r>
      <w:proofErr w:type="spellEnd"/>
      <w:r>
        <w:rPr>
          <w:rFonts w:ascii="Google Sans Text" w:eastAsia="Google Sans Text" w:hAnsi="Google Sans Text" w:cs="Google Sans Text"/>
          <w:color w:val="1B1C1D"/>
        </w:rPr>
        <w:t>.</w:t>
      </w:r>
    </w:p>
    <w:p w14:paraId="65DEB2EF"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B835D95" w14:textId="77777777" w:rsidR="003F6AFA"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El Debate Empírico Internacional sobre Flexibilidad y Protección del Empleo (EPL)</w:t>
      </w:r>
    </w:p>
    <w:p w14:paraId="69A9E00A"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3504C157"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 literatura académica internacional sobre los efectos de la regulación de la protección del empleo (EPL) ofrece un panorama mucho más matizado y controvertido de lo que sugiere el debate político habitual. No existe una respuesta única, sino un conjunto de hallazgos que dependen de la variable analizada (desempleo, productividad o dualidad).</w:t>
      </w:r>
    </w:p>
    <w:p w14:paraId="1279FB0E"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CA0F065" w14:textId="77777777" w:rsidR="003F6AFA"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Flexibilidad, Empleo y Desempleo: Un Consenso Cuestionado</w:t>
      </w:r>
    </w:p>
    <w:p w14:paraId="75334840"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4B67BF4D"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tesis tradicional, a menudo asociada con instituciones como el Fondo Monetario Internacional (FMI) y la OCDE durante las décadas de 1990 y 2000, postulaba una correlación negativa entre la flexibilidad y las tasas de desempleo.</w:t>
      </w:r>
    </w:p>
    <w:p w14:paraId="6622D725"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Un influyente </w:t>
      </w:r>
      <w:proofErr w:type="spellStart"/>
      <w:r>
        <w:rPr>
          <w:rFonts w:ascii="Google Sans Text" w:eastAsia="Google Sans Text" w:hAnsi="Google Sans Text" w:cs="Google Sans Text"/>
          <w:i/>
          <w:color w:val="1B1C1D"/>
        </w:rPr>
        <w:t>paper</w:t>
      </w:r>
      <w:proofErr w:type="spellEnd"/>
      <w:r>
        <w:rPr>
          <w:rFonts w:ascii="Google Sans Text" w:eastAsia="Google Sans Text" w:hAnsi="Google Sans Text" w:cs="Google Sans Text"/>
          <w:color w:val="1B1C1D"/>
        </w:rPr>
        <w:t xml:space="preserve"> de Bernal-Verdugo, </w:t>
      </w:r>
      <w:proofErr w:type="spellStart"/>
      <w:r>
        <w:rPr>
          <w:rFonts w:ascii="Google Sans Text" w:eastAsia="Google Sans Text" w:hAnsi="Google Sans Text" w:cs="Google Sans Text"/>
          <w:color w:val="1B1C1D"/>
        </w:rPr>
        <w:t>Furceri</w:t>
      </w:r>
      <w:proofErr w:type="spellEnd"/>
      <w:r>
        <w:rPr>
          <w:rFonts w:ascii="Google Sans Text" w:eastAsia="Google Sans Text" w:hAnsi="Google Sans Text" w:cs="Google Sans Text"/>
          <w:color w:val="1B1C1D"/>
        </w:rPr>
        <w:t xml:space="preserve"> y Guillaume (2012) para el FMI, utilizando un panel de 97 países entre 1985 y 2008, concluyó que "las mejoras en la flexibilidad del mercado laboral tienen un impacto negativo estadísticamente significativo en los resultados del desempleo", incluyendo el paro juvenil y de larga duración.</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El estudio identificó que las regulaciones sobre contratación y despido eran las que tenían el efecto más fuerte.</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En una línea similar, Di Tella y </w:t>
      </w:r>
      <w:proofErr w:type="spellStart"/>
      <w:r>
        <w:rPr>
          <w:rFonts w:ascii="Google Sans Text" w:eastAsia="Google Sans Text" w:hAnsi="Google Sans Text" w:cs="Google Sans Text"/>
          <w:color w:val="1B1C1D"/>
        </w:rPr>
        <w:t>MacCulloch</w:t>
      </w:r>
      <w:proofErr w:type="spellEnd"/>
      <w:r>
        <w:rPr>
          <w:rFonts w:ascii="Google Sans Text" w:eastAsia="Google Sans Text" w:hAnsi="Google Sans Text" w:cs="Google Sans Text"/>
          <w:color w:val="1B1C1D"/>
        </w:rPr>
        <w:t xml:space="preserve"> (2005) encontraron para 21 países de la OCDE que las economías con mercados laborales más flexibles tendían a registrar tasas de desempleo más bajas.</w:t>
      </w:r>
      <w:r>
        <w:rPr>
          <w:rFonts w:ascii="Google Sans Text" w:eastAsia="Google Sans Text" w:hAnsi="Google Sans Text" w:cs="Google Sans Text"/>
          <w:color w:val="444746"/>
          <w:sz w:val="24"/>
          <w:szCs w:val="24"/>
          <w:vertAlign w:val="superscript"/>
        </w:rPr>
        <w:t>4</w:t>
      </w:r>
    </w:p>
    <w:p w14:paraId="61A48F0A"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Sin embargo, este aparente consenso ha sido profundamente cuestionado por una creciente literatura crítica y por </w:t>
      </w:r>
      <w:proofErr w:type="gramStart"/>
      <w:r>
        <w:rPr>
          <w:rFonts w:ascii="Google Sans Text" w:eastAsia="Google Sans Text" w:hAnsi="Google Sans Text" w:cs="Google Sans Text"/>
          <w:color w:val="1B1C1D"/>
        </w:rPr>
        <w:t>meta-análisis</w:t>
      </w:r>
      <w:proofErr w:type="gramEnd"/>
      <w:r>
        <w:rPr>
          <w:rFonts w:ascii="Google Sans Text" w:eastAsia="Google Sans Text" w:hAnsi="Google Sans Text" w:cs="Google Sans Text"/>
          <w:color w:val="1B1C1D"/>
        </w:rPr>
        <w:t xml:space="preserve"> más recientes que agrupan un volumen de evidencia mayor.</w:t>
      </w:r>
    </w:p>
    <w:p w14:paraId="0110625B"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Gerry Rodgers (2007), en un trabajo para ONU-DESA, argumentó que, tras revisar la evidencia, "no proporciona mucho apoyo a la opinión de que una mayor flexibilidad resulte en un mayor empleo".</w:t>
      </w:r>
      <w:r>
        <w:rPr>
          <w:rFonts w:ascii="Google Sans Text" w:eastAsia="Google Sans Text" w:hAnsi="Google Sans Text" w:cs="Google Sans Text"/>
          <w:color w:val="444746"/>
          <w:sz w:val="24"/>
          <w:szCs w:val="24"/>
          <w:vertAlign w:val="superscript"/>
        </w:rPr>
        <w:t>5</w:t>
      </w:r>
      <w:r>
        <w:rPr>
          <w:rFonts w:ascii="Google Sans Text" w:eastAsia="Google Sans Text" w:hAnsi="Google Sans Text" w:cs="Google Sans Text"/>
          <w:color w:val="1B1C1D"/>
        </w:rPr>
        <w:t xml:space="preserve"> Rodgers sostuvo que el impacto principal de la flexibilidad no es sobre el </w:t>
      </w:r>
      <w:r>
        <w:rPr>
          <w:rFonts w:ascii="Google Sans Text" w:eastAsia="Google Sans Text" w:hAnsi="Google Sans Text" w:cs="Google Sans Text"/>
          <w:i/>
          <w:color w:val="1B1C1D"/>
        </w:rPr>
        <w:t>nivel</w:t>
      </w:r>
      <w:r>
        <w:rPr>
          <w:rFonts w:ascii="Google Sans Text" w:eastAsia="Google Sans Text" w:hAnsi="Google Sans Text" w:cs="Google Sans Text"/>
          <w:color w:val="1B1C1D"/>
        </w:rPr>
        <w:t xml:space="preserve"> agregado de empleo, sino sobre su </w:t>
      </w:r>
      <w:r>
        <w:rPr>
          <w:rFonts w:ascii="Google Sans Text" w:eastAsia="Google Sans Text" w:hAnsi="Google Sans Text" w:cs="Google Sans Text"/>
          <w:i/>
          <w:color w:val="1B1C1D"/>
        </w:rPr>
        <w:t>distribución</w:t>
      </w:r>
      <w:r>
        <w:rPr>
          <w:rFonts w:ascii="Google Sans Text" w:eastAsia="Google Sans Text" w:hAnsi="Google Sans Text" w:cs="Google Sans Text"/>
          <w:color w:val="1B1C1D"/>
        </w:rPr>
        <w:t>, afectando de manera diferente a distintos grupos de la población (como jóvenes o mujeres) y variando ampliamente entre países.</w:t>
      </w:r>
      <w:r>
        <w:rPr>
          <w:rFonts w:ascii="Google Sans Text" w:eastAsia="Google Sans Text" w:hAnsi="Google Sans Text" w:cs="Google Sans Text"/>
          <w:color w:val="444746"/>
          <w:sz w:val="24"/>
          <w:szCs w:val="24"/>
          <w:vertAlign w:val="superscript"/>
        </w:rPr>
        <w:t>5</w:t>
      </w:r>
    </w:p>
    <w:p w14:paraId="6C99E9DD"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Esta visión crítica se ha visto reforzada por </w:t>
      </w:r>
      <w:proofErr w:type="gramStart"/>
      <w:r>
        <w:rPr>
          <w:rFonts w:ascii="Google Sans Text" w:eastAsia="Google Sans Text" w:hAnsi="Google Sans Text" w:cs="Google Sans Text"/>
          <w:color w:val="1B1C1D"/>
        </w:rPr>
        <w:t>meta-análisis</w:t>
      </w:r>
      <w:proofErr w:type="gramEnd"/>
      <w:r>
        <w:rPr>
          <w:rFonts w:ascii="Google Sans Text" w:eastAsia="Google Sans Text" w:hAnsi="Google Sans Text" w:cs="Google Sans Text"/>
          <w:color w:val="1B1C1D"/>
        </w:rPr>
        <w:t xml:space="preserve"> recientes. </w:t>
      </w:r>
      <w:proofErr w:type="spellStart"/>
      <w:r>
        <w:rPr>
          <w:rFonts w:ascii="Google Sans Text" w:eastAsia="Google Sans Text" w:hAnsi="Google Sans Text" w:cs="Google Sans Text"/>
          <w:color w:val="1B1C1D"/>
        </w:rPr>
        <w:t>Heimberger</w:t>
      </w:r>
      <w:proofErr w:type="spellEnd"/>
      <w:r>
        <w:rPr>
          <w:rFonts w:ascii="Google Sans Text" w:eastAsia="Google Sans Text" w:hAnsi="Google Sans Text" w:cs="Google Sans Text"/>
          <w:color w:val="1B1C1D"/>
        </w:rPr>
        <w:t xml:space="preserve"> (2021), en una revisión de 75 estudios, concluye que "no podemos rechazar la hipótesis de que el efecto medio [de la EPL] sobre el desempleo es cero".</w:t>
      </w:r>
      <w:r>
        <w:rPr>
          <w:rFonts w:ascii="Google Sans Text" w:eastAsia="Google Sans Text" w:hAnsi="Google Sans Text" w:cs="Google Sans Text"/>
          <w:color w:val="444746"/>
          <w:sz w:val="24"/>
          <w:szCs w:val="24"/>
          <w:vertAlign w:val="superscript"/>
        </w:rPr>
        <w:t>6</w:t>
      </w:r>
      <w:r>
        <w:rPr>
          <w:rFonts w:ascii="Google Sans Text" w:eastAsia="Google Sans Text" w:hAnsi="Google Sans Text" w:cs="Google Sans Text"/>
          <w:color w:val="1B1C1D"/>
        </w:rPr>
        <w:t xml:space="preserve"> Otro análisis </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sugiere que la desregulación no tiene impacto en el desempleo total, e incluso podría tener un pequeño efecto de </w:t>
      </w:r>
      <w:r>
        <w:rPr>
          <w:rFonts w:ascii="Google Sans Text" w:eastAsia="Google Sans Text" w:hAnsi="Google Sans Text" w:cs="Google Sans Text"/>
          <w:i/>
          <w:color w:val="1B1C1D"/>
        </w:rPr>
        <w:t>aumento</w:t>
      </w:r>
      <w:r>
        <w:rPr>
          <w:rFonts w:ascii="Google Sans Text" w:eastAsia="Google Sans Text" w:hAnsi="Google Sans Text" w:cs="Google Sans Text"/>
          <w:color w:val="1B1C1D"/>
        </w:rPr>
        <w:t xml:space="preserve"> del desempleo femenino.</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Por lo tanto, la evidencia internacional sobre si "más flexibilidad" reduce el desempleo agregado es, como mínimo, ambigua.</w:t>
      </w:r>
    </w:p>
    <w:p w14:paraId="67ADB4F3"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E03C8CA" w14:textId="77777777" w:rsidR="003F6AFA"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El Impacto en la Productividad y la Reasignación de Recursos</w:t>
      </w:r>
    </w:p>
    <w:p w14:paraId="423AA02F"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5E200AC2"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Donde la literatura académica presenta un consenso mucho más robusto es en la relación entre la EPL y la productividad. El verdadero coste de una EPL elevada no parece ser el nivel de desempleo, sino la rigidez que introduce en la reasignación de recursos, frenando el dinamismo económico.</w:t>
      </w:r>
    </w:p>
    <w:p w14:paraId="0E498C98"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Una EPL estricta, al elevar los costes de ajuste, "reduce no solo la destrucción de empleo, sino también la creación de empleo".</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Según Stefano </w:t>
      </w:r>
      <w:proofErr w:type="spellStart"/>
      <w:r>
        <w:rPr>
          <w:rFonts w:ascii="Google Sans Text" w:eastAsia="Google Sans Text" w:hAnsi="Google Sans Text" w:cs="Google Sans Text"/>
          <w:color w:val="1B1C1D"/>
        </w:rPr>
        <w:t>Scarpetta</w:t>
      </w:r>
      <w:proofErr w:type="spellEnd"/>
      <w:r>
        <w:rPr>
          <w:rFonts w:ascii="Google Sans Text" w:eastAsia="Google Sans Text" w:hAnsi="Google Sans Text" w:cs="Google Sans Text"/>
          <w:color w:val="1B1C1D"/>
        </w:rPr>
        <w:t xml:space="preserve"> (OCDE/IZA), este doble efecto debilita la capacidad de las empresas para explotar nuevas tecnologías y mercados, y "reduce la capacidad de las economías para reasignar los recursos laborales a los usos más productivos".</w:t>
      </w:r>
      <w:r>
        <w:rPr>
          <w:rFonts w:ascii="Google Sans Text" w:eastAsia="Google Sans Text" w:hAnsi="Google Sans Text" w:cs="Google Sans Text"/>
          <w:color w:val="444746"/>
          <w:sz w:val="24"/>
          <w:szCs w:val="24"/>
          <w:vertAlign w:val="superscript"/>
        </w:rPr>
        <w:t>8</w:t>
      </w:r>
    </w:p>
    <w:p w14:paraId="36A36E13"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Esta tesis macro se confirma a nivel micro. Estudios de IZA y NBER sugieren que las regulaciones de despido tienen un "impacto deprimente en el crecimiento de la productividad" en aquellos sectores donde las restricciones son más vinculantes.</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Otros trabajos </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y análisis a nivel de planta </w:t>
      </w:r>
      <w:r>
        <w:rPr>
          <w:rFonts w:ascii="Google Sans Text" w:eastAsia="Google Sans Text" w:hAnsi="Google Sans Text" w:cs="Google Sans Text"/>
          <w:color w:val="444746"/>
          <w:sz w:val="24"/>
          <w:szCs w:val="24"/>
          <w:vertAlign w:val="superscript"/>
        </w:rPr>
        <w:t>10</w:t>
      </w:r>
      <w:r>
        <w:rPr>
          <w:rFonts w:ascii="Google Sans Text" w:eastAsia="Google Sans Text" w:hAnsi="Google Sans Text" w:cs="Google Sans Text"/>
          <w:color w:val="1B1C1D"/>
        </w:rPr>
        <w:t xml:space="preserve"> corroboran que la rigidez en la legislación de despido frena la capacidad de las empresas para adaptarse y, con ello, el crecimiento de la productividad agregada. El debate de políticas relevante, por tanto, no es "flexibilidad vs. desempleo", sino más bien "flexibilidad/dinamismo vs. seguridad/estabilidad".</w:t>
      </w:r>
    </w:p>
    <w:p w14:paraId="36C293FD"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1B41684" w14:textId="77777777" w:rsidR="003F6AFA"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Segmentación del Mercado (Dualidad) como Consecuencia de Reformas Parciales</w:t>
      </w:r>
    </w:p>
    <w:p w14:paraId="54D0BC57"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66D62F25"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El hallazgo empírico más relevante para el caso español es el que analiza el efecto de las </w:t>
      </w:r>
      <w:r>
        <w:rPr>
          <w:rFonts w:ascii="Google Sans Text" w:eastAsia="Google Sans Text" w:hAnsi="Google Sans Text" w:cs="Google Sans Text"/>
          <w:i/>
          <w:color w:val="1B1C1D"/>
        </w:rPr>
        <w:t>reformas parciales</w:t>
      </w:r>
      <w:r>
        <w:rPr>
          <w:rFonts w:ascii="Google Sans Text" w:eastAsia="Google Sans Text" w:hAnsi="Google Sans Text" w:cs="Google Sans Text"/>
          <w:color w:val="1B1C1D"/>
        </w:rPr>
        <w:t>. La evidencia internacional es contundente: "liberalizar los contratos temporales mientras se mantiene una regulación estricta de los contratos permanentes contribuye a la segmentación del mercado de trabajo (dualidad)".</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Esta dualidad, a su vez, deprime el crecimiento de la productividad, ya que la movilidad laboral se canaliza a través de contratos precarios con baja inversión en capital humano.</w:t>
      </w:r>
      <w:r>
        <w:rPr>
          <w:rFonts w:ascii="Google Sans Text" w:eastAsia="Google Sans Text" w:hAnsi="Google Sans Text" w:cs="Google Sans Text"/>
          <w:color w:val="444746"/>
          <w:sz w:val="24"/>
          <w:szCs w:val="24"/>
          <w:vertAlign w:val="superscript"/>
        </w:rPr>
        <w:t>8</w:t>
      </w:r>
    </w:p>
    <w:p w14:paraId="41DB7A9A" w14:textId="77777777" w:rsidR="003F6AF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El </w:t>
      </w:r>
      <w:proofErr w:type="spellStart"/>
      <w:proofErr w:type="gramStart"/>
      <w:r>
        <w:rPr>
          <w:rFonts w:ascii="Google Sans Text" w:eastAsia="Google Sans Text" w:hAnsi="Google Sans Text" w:cs="Google Sans Text"/>
          <w:i/>
          <w:color w:val="1B1C1D"/>
        </w:rPr>
        <w:t>paper</w:t>
      </w:r>
      <w:proofErr w:type="spellEnd"/>
      <w:proofErr w:type="gramEnd"/>
      <w:r>
        <w:rPr>
          <w:rFonts w:ascii="Google Sans Text" w:eastAsia="Google Sans Text" w:hAnsi="Google Sans Text" w:cs="Google Sans Text"/>
          <w:color w:val="1B1C1D"/>
        </w:rPr>
        <w:t xml:space="preserve"> de </w:t>
      </w:r>
      <w:proofErr w:type="spellStart"/>
      <w:r>
        <w:rPr>
          <w:rFonts w:ascii="Google Sans Text" w:eastAsia="Google Sans Text" w:hAnsi="Google Sans Text" w:cs="Google Sans Text"/>
          <w:color w:val="1B1C1D"/>
        </w:rPr>
        <w:t>Aguirregabiria</w:t>
      </w:r>
      <w:proofErr w:type="spellEnd"/>
      <w:r>
        <w:rPr>
          <w:rFonts w:ascii="Google Sans Text" w:eastAsia="Google Sans Text" w:hAnsi="Google Sans Text" w:cs="Google Sans Text"/>
          <w:color w:val="1B1C1D"/>
        </w:rPr>
        <w:t xml:space="preserve"> y Alonso-Borrego (2014) ofrece una autopsia empírica de este fenómeno precisamente en España, al evaluar la reforma de 1984 que liberalizó masivamente los contratos temporales.</w:t>
      </w:r>
      <w:r>
        <w:rPr>
          <w:rFonts w:ascii="Google Sans Text" w:eastAsia="Google Sans Text" w:hAnsi="Google Sans Text" w:cs="Google Sans Text"/>
          <w:color w:val="444746"/>
          <w:sz w:val="24"/>
          <w:szCs w:val="24"/>
          <w:vertAlign w:val="superscript"/>
        </w:rPr>
        <w:t>11</w:t>
      </w:r>
      <w:r>
        <w:rPr>
          <w:rFonts w:ascii="Google Sans Text" w:eastAsia="Google Sans Text" w:hAnsi="Google Sans Text" w:cs="Google Sans Text"/>
          <w:color w:val="1B1C1D"/>
        </w:rPr>
        <w:t xml:space="preserve"> Sus hallazgos son cruciales:</w:t>
      </w:r>
    </w:p>
    <w:p w14:paraId="1BFB4FD2" w14:textId="77777777" w:rsidR="003F6AFA"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Empleo:</w:t>
      </w:r>
      <w:r>
        <w:rPr>
          <w:rFonts w:ascii="Google Sans Text" w:eastAsia="Google Sans Text" w:hAnsi="Google Sans Text" w:cs="Google Sans Text"/>
          <w:color w:val="1B1C1D"/>
        </w:rPr>
        <w:t xml:space="preserve"> La reforma tuvo "efectos positivos importantes en el empleo total" (un 3.5% de aumento) y en la rotación.</w:t>
      </w:r>
    </w:p>
    <w:p w14:paraId="1331F805" w14:textId="77777777" w:rsidR="003F6AFA"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Dualidad:</w:t>
      </w:r>
      <w:r>
        <w:rPr>
          <w:rFonts w:ascii="Google Sans Text" w:eastAsia="Google Sans Text" w:hAnsi="Google Sans Text" w:cs="Google Sans Text"/>
          <w:color w:val="1B1C1D"/>
        </w:rPr>
        <w:t xml:space="preserve"> Provocó una "fuerte sustitución de trabajadores permanentes por temporales", con una caída estimada del 10% en el empleo permanente.</w:t>
      </w:r>
    </w:p>
    <w:p w14:paraId="7F048B4A" w14:textId="77777777" w:rsidR="003F6AFA"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Productividad:</w:t>
      </w:r>
      <w:r>
        <w:rPr>
          <w:rFonts w:ascii="Google Sans Text" w:eastAsia="Google Sans Text" w:hAnsi="Google Sans Text" w:cs="Google Sans Text"/>
          <w:color w:val="1B1C1D"/>
        </w:rPr>
        <w:t xml:space="preserve"> Los efectos sobre la productividad y el valor de la empresa fueron "muy pequeños".</w:t>
      </w:r>
    </w:p>
    <w:p w14:paraId="6C608DEA" w14:textId="77777777" w:rsidR="003F6AFA"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Lo más revelador es el ejercicio contrafactual del estudio: simularon una reforma alternativa que redujera a la mitad los costes de despido de </w:t>
      </w:r>
      <w:r>
        <w:rPr>
          <w:rFonts w:ascii="Google Sans Text" w:eastAsia="Google Sans Text" w:hAnsi="Google Sans Text" w:cs="Google Sans Text"/>
          <w:i/>
          <w:color w:val="1B1C1D"/>
        </w:rPr>
        <w:t>todos</w:t>
      </w:r>
      <w:r>
        <w:rPr>
          <w:rFonts w:ascii="Google Sans Text" w:eastAsia="Google Sans Text" w:hAnsi="Google Sans Text" w:cs="Google Sans Text"/>
          <w:color w:val="1B1C1D"/>
        </w:rPr>
        <w:t xml:space="preserve"> los contratos (permanentes y temporales). El resultado: "el mismo aumento del empleo total, pero mejoras mucho mayores en la productividad y el valor de las empresas".</w:t>
      </w:r>
      <w:r>
        <w:rPr>
          <w:rFonts w:ascii="Google Sans Text" w:eastAsia="Google Sans Text" w:hAnsi="Google Sans Text" w:cs="Google Sans Text"/>
          <w:color w:val="444746"/>
          <w:sz w:val="24"/>
          <w:szCs w:val="24"/>
          <w:vertAlign w:val="superscript"/>
        </w:rPr>
        <w:t>11</w:t>
      </w:r>
    </w:p>
    <w:p w14:paraId="4F3149E9"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Este estudio cuantifica el origen del modelo español de dualidad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y demuestra empíricamente que la estrategia de flexibilizar </w:t>
      </w:r>
      <w:r>
        <w:rPr>
          <w:rFonts w:ascii="Google Sans Text" w:eastAsia="Google Sans Text" w:hAnsi="Google Sans Text" w:cs="Google Sans Text"/>
          <w:i/>
          <w:color w:val="1B1C1D"/>
        </w:rPr>
        <w:t>solo</w:t>
      </w:r>
      <w:r>
        <w:rPr>
          <w:rFonts w:ascii="Google Sans Text" w:eastAsia="Google Sans Text" w:hAnsi="Google Sans Text" w:cs="Google Sans Text"/>
          <w:color w:val="1B1C1D"/>
        </w:rPr>
        <w:t xml:space="preserve"> por la vía de la temporalidad está destinada a crear empleo de baja productividad. Este hallazgo es la base intelectual para todas las recomendaciones posteriores de la OCDE y el FMI a España: "reduzcan la brecha de protección entre temporales </w:t>
      </w:r>
      <w:proofErr w:type="spellStart"/>
      <w:r>
        <w:rPr>
          <w:rFonts w:ascii="Google Sans Text" w:eastAsia="Google Sans Text" w:hAnsi="Google Sans Text" w:cs="Google Sans Text"/>
          <w:color w:val="1B1C1D"/>
        </w:rPr>
        <w:t>e</w:t>
      </w:r>
      <w:proofErr w:type="spellEnd"/>
      <w:r>
        <w:rPr>
          <w:rFonts w:ascii="Google Sans Text" w:eastAsia="Google Sans Text" w:hAnsi="Google Sans Text" w:cs="Google Sans Text"/>
          <w:color w:val="1B1C1D"/>
        </w:rPr>
        <w:t xml:space="preserve"> indefinidos". Las reformas de 2012 y 2021 son, en esencia, dos intentos opuestos de resolver el problema empíricamente identificado por </w:t>
      </w:r>
      <w:proofErr w:type="spellStart"/>
      <w:r>
        <w:rPr>
          <w:rFonts w:ascii="Google Sans Text" w:eastAsia="Google Sans Text" w:hAnsi="Google Sans Text" w:cs="Google Sans Text"/>
          <w:color w:val="1B1C1D"/>
        </w:rPr>
        <w:t>Aguirregabiria</w:t>
      </w:r>
      <w:proofErr w:type="spellEnd"/>
      <w:r>
        <w:rPr>
          <w:rFonts w:ascii="Google Sans Text" w:eastAsia="Google Sans Text" w:hAnsi="Google Sans Text" w:cs="Google Sans Text"/>
          <w:color w:val="1B1C1D"/>
        </w:rPr>
        <w:t xml:space="preserve"> y Alonso-Borrego.</w:t>
      </w:r>
    </w:p>
    <w:p w14:paraId="30ED4BE2" w14:textId="77777777" w:rsidR="003F6AFA" w:rsidRDefault="003F6AFA">
      <w:pPr>
        <w:pBdr>
          <w:top w:val="nil"/>
          <w:left w:val="nil"/>
          <w:bottom w:val="nil"/>
          <w:right w:val="nil"/>
          <w:between w:val="nil"/>
        </w:pBdr>
        <w:spacing w:line="275" w:lineRule="auto"/>
        <w:rPr>
          <w:rFonts w:ascii="Google Sans Text" w:eastAsia="Google Sans Text" w:hAnsi="Google Sans Text" w:cs="Google Sans Text"/>
          <w:color w:val="1B1C1D"/>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F6AFA" w14:paraId="6C391CB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84E795"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Tabla 1: Resumen de Hallazgos Empíricos Internacionales sobre la EPL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B507BB" w14:textId="77777777" w:rsidR="003F6AFA" w:rsidRDefault="003F6AFA">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F69182" w14:textId="77777777" w:rsidR="003F6AFA" w:rsidRDefault="003F6AFA">
            <w:pPr>
              <w:pBdr>
                <w:top w:val="nil"/>
                <w:left w:val="nil"/>
                <w:bottom w:val="nil"/>
                <w:right w:val="nil"/>
                <w:between w:val="nil"/>
              </w:pBdr>
              <w:spacing w:line="276" w:lineRule="auto"/>
              <w:rPr>
                <w:rFonts w:ascii="Google Sans Text" w:eastAsia="Google Sans Text" w:hAnsi="Google Sans Text" w:cs="Google Sans Text"/>
                <w:b/>
                <w:color w:val="1B1C1D"/>
              </w:rPr>
            </w:pPr>
          </w:p>
        </w:tc>
      </w:tr>
      <w:tr w:rsidR="003F6AFA" w14:paraId="76920F0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1069E1"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Variable de Impacto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BADA3F"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Hallazgo Empírico y Matices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535FE2"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Citas Clave</w:t>
            </w:r>
          </w:p>
        </w:tc>
      </w:tr>
      <w:tr w:rsidR="003F6AFA" w14:paraId="5C3C196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578D02"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Nivel de Desempleo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968B5"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Controvertido.</w:t>
            </w:r>
            <w:r>
              <w:rPr>
                <w:rFonts w:ascii="Google Sans Text" w:eastAsia="Google Sans Text" w:hAnsi="Google Sans Text" w:cs="Google Sans Text"/>
                <w:color w:val="1B1C1D"/>
              </w:rPr>
              <w:t xml:space="preserve"> El FMI encuentra que la flexibilidad reduce el desempleo. </w:t>
            </w:r>
            <w:proofErr w:type="gramStart"/>
            <w:r>
              <w:rPr>
                <w:rFonts w:ascii="Google Sans Text" w:eastAsia="Google Sans Text" w:hAnsi="Google Sans Text" w:cs="Google Sans Text"/>
                <w:color w:val="1B1C1D"/>
              </w:rPr>
              <w:t>Meta-análisis</w:t>
            </w:r>
            <w:proofErr w:type="gram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Heimberger</w:t>
            </w:r>
            <w:proofErr w:type="spellEnd"/>
            <w:r>
              <w:rPr>
                <w:rFonts w:ascii="Google Sans Text" w:eastAsia="Google Sans Text" w:hAnsi="Google Sans Text" w:cs="Google Sans Text"/>
                <w:color w:val="1B1C1D"/>
              </w:rPr>
              <w:t>) y UN/ILO no encuentran un efecto agregado claro, sino distributivo.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C2BF92" w14:textId="77777777" w:rsidR="003F6AFA"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Bernal-Verdugo et al. (2012) [3]; Rodgers (2007) </w:t>
            </w:r>
            <w:r>
              <w:rPr>
                <w:rFonts w:ascii="Google Sans Text" w:eastAsia="Google Sans Text" w:hAnsi="Google Sans Text" w:cs="Google Sans Text"/>
                <w:color w:val="444746"/>
                <w:sz w:val="24"/>
                <w:szCs w:val="24"/>
                <w:vertAlign w:val="superscript"/>
              </w:rPr>
              <w:t>5</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Heimberger</w:t>
            </w:r>
            <w:proofErr w:type="spellEnd"/>
            <w:r>
              <w:rPr>
                <w:rFonts w:ascii="Google Sans Text" w:eastAsia="Google Sans Text" w:hAnsi="Google Sans Text" w:cs="Google Sans Text"/>
                <w:color w:val="1B1C1D"/>
              </w:rPr>
              <w:t xml:space="preserve"> (2021) </w:t>
            </w:r>
            <w:r>
              <w:rPr>
                <w:rFonts w:ascii="Google Sans Text" w:eastAsia="Google Sans Text" w:hAnsi="Google Sans Text" w:cs="Google Sans Text"/>
                <w:color w:val="444746"/>
                <w:sz w:val="24"/>
                <w:szCs w:val="24"/>
                <w:vertAlign w:val="superscript"/>
              </w:rPr>
              <w:t>6</w:t>
            </w:r>
          </w:p>
        </w:tc>
      </w:tr>
      <w:tr w:rsidR="003F6AFA" w14:paraId="545BC04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A69A2C"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Productividad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754E17"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Consenso Robusto.</w:t>
            </w:r>
            <w:r>
              <w:rPr>
                <w:rFonts w:ascii="Google Sans Text" w:eastAsia="Google Sans Text" w:hAnsi="Google Sans Text" w:cs="Google Sans Text"/>
                <w:color w:val="1B1C1D"/>
              </w:rPr>
              <w:t xml:space="preserve"> Una EPL estricta reduce el dinamismo, la reasignación de recursos y el crecimiento de la productividad, al frenar tanto la creación como la destrucción de empleo.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41CCD5" w14:textId="77777777" w:rsidR="003F6AFA"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proofErr w:type="spellStart"/>
            <w:r>
              <w:rPr>
                <w:rFonts w:ascii="Google Sans Text" w:eastAsia="Google Sans Text" w:hAnsi="Google Sans Text" w:cs="Google Sans Text"/>
                <w:color w:val="1B1C1D"/>
              </w:rPr>
              <w:t>Scarpetta</w:t>
            </w:r>
            <w:proofErr w:type="spellEnd"/>
            <w:r>
              <w:rPr>
                <w:rFonts w:ascii="Google Sans Text" w:eastAsia="Google Sans Text" w:hAnsi="Google Sans Text" w:cs="Google Sans Text"/>
                <w:color w:val="1B1C1D"/>
              </w:rPr>
              <w:t xml:space="preserve"> (OCDE/IZA) </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Bassanini</w:t>
            </w:r>
            <w:proofErr w:type="spellEnd"/>
            <w:r>
              <w:rPr>
                <w:rFonts w:ascii="Google Sans Text" w:eastAsia="Google Sans Text" w:hAnsi="Google Sans Text" w:cs="Google Sans Text"/>
                <w:color w:val="1B1C1D"/>
              </w:rPr>
              <w:t xml:space="preserve"> et al. (IZA) </w:t>
            </w:r>
            <w:r>
              <w:rPr>
                <w:rFonts w:ascii="Google Sans Text" w:eastAsia="Google Sans Text" w:hAnsi="Google Sans Text" w:cs="Google Sans Text"/>
                <w:color w:val="444746"/>
                <w:sz w:val="24"/>
                <w:szCs w:val="24"/>
                <w:vertAlign w:val="superscript"/>
              </w:rPr>
              <w:t>9</w:t>
            </w:r>
          </w:p>
        </w:tc>
      </w:tr>
      <w:tr w:rsidR="003F6AFA" w14:paraId="7D97D46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EB2BEB"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Dualidad / Segmentación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00C569"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Consenso Robusto.</w:t>
            </w:r>
            <w:r>
              <w:rPr>
                <w:rFonts w:ascii="Google Sans Text" w:eastAsia="Google Sans Text" w:hAnsi="Google Sans Text" w:cs="Google Sans Text"/>
                <w:color w:val="1B1C1D"/>
              </w:rPr>
              <w:t xml:space="preserve"> Las reformas </w:t>
            </w:r>
            <w:r>
              <w:rPr>
                <w:rFonts w:ascii="Google Sans Text" w:eastAsia="Google Sans Text" w:hAnsi="Google Sans Text" w:cs="Google Sans Text"/>
                <w:i/>
                <w:color w:val="1B1C1D"/>
              </w:rPr>
              <w:t>parciales</w:t>
            </w:r>
            <w:r>
              <w:rPr>
                <w:rFonts w:ascii="Google Sans Text" w:eastAsia="Google Sans Text" w:hAnsi="Google Sans Text" w:cs="Google Sans Text"/>
                <w:color w:val="1B1C1D"/>
              </w:rPr>
              <w:t xml:space="preserve"> (liberalizar solo temporales manteniendo la rigidez en los indefinidos) aumentan la dualidad y tienen un efecto nulo o negativo en la productividad.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A254B0" w14:textId="77777777" w:rsidR="003F6AFA"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proofErr w:type="spellStart"/>
            <w:r>
              <w:rPr>
                <w:rFonts w:ascii="Google Sans Text" w:eastAsia="Google Sans Text" w:hAnsi="Google Sans Text" w:cs="Google Sans Text"/>
                <w:color w:val="1B1C1D"/>
              </w:rPr>
              <w:t>Aguirregabiria</w:t>
            </w:r>
            <w:proofErr w:type="spellEnd"/>
            <w:r>
              <w:rPr>
                <w:rFonts w:ascii="Google Sans Text" w:eastAsia="Google Sans Text" w:hAnsi="Google Sans Text" w:cs="Google Sans Text"/>
                <w:color w:val="1B1C1D"/>
              </w:rPr>
              <w:t xml:space="preserve"> &amp; Alonso-Borrego (2014) [11]; </w:t>
            </w:r>
            <w:proofErr w:type="spellStart"/>
            <w:r>
              <w:rPr>
                <w:rFonts w:ascii="Google Sans Text" w:eastAsia="Google Sans Text" w:hAnsi="Google Sans Text" w:cs="Google Sans Text"/>
                <w:color w:val="1B1C1D"/>
              </w:rPr>
              <w:t>Scarpetta</w:t>
            </w:r>
            <w:proofErr w:type="spellEnd"/>
            <w:r>
              <w:rPr>
                <w:rFonts w:ascii="Google Sans Text" w:eastAsia="Google Sans Text" w:hAnsi="Google Sans Text" w:cs="Google Sans Text"/>
                <w:color w:val="1B1C1D"/>
              </w:rPr>
              <w:t xml:space="preserve"> (OCDE/IZA) </w:t>
            </w:r>
            <w:r>
              <w:rPr>
                <w:rFonts w:ascii="Google Sans Text" w:eastAsia="Google Sans Text" w:hAnsi="Google Sans Text" w:cs="Google Sans Text"/>
                <w:color w:val="444746"/>
                <w:sz w:val="24"/>
                <w:szCs w:val="24"/>
                <w:vertAlign w:val="superscript"/>
              </w:rPr>
              <w:t>8</w:t>
            </w:r>
          </w:p>
        </w:tc>
      </w:tr>
    </w:tbl>
    <w:p w14:paraId="44BC65E9"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0A9E641B" w14:textId="77777777" w:rsidR="003F6AFA"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Evidencia Empírica de la Reforma Laboral Española de 2012</w:t>
      </w:r>
    </w:p>
    <w:p w14:paraId="797305B8"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4CAF6099"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La reforma laboral española de 2012 fue un intento de abordar el problema de la rigidez, pero desde una óptica diferente. Su objetivo explícito era fortalecer la flexibilidad </w:t>
      </w:r>
      <w:r>
        <w:rPr>
          <w:rFonts w:ascii="Google Sans Text" w:eastAsia="Google Sans Text" w:hAnsi="Google Sans Text" w:cs="Google Sans Text"/>
          <w:i/>
          <w:color w:val="1B1C1D"/>
        </w:rPr>
        <w:t>interna</w:t>
      </w:r>
      <w:r>
        <w:rPr>
          <w:rFonts w:ascii="Google Sans Text" w:eastAsia="Google Sans Text" w:hAnsi="Google Sans Text" w:cs="Google Sans Text"/>
          <w:color w:val="1B1C1D"/>
        </w:rPr>
        <w:t xml:space="preserve"> (ajustes de salarios, jornada o funciones) como alternativa al masivo ajuste </w:t>
      </w:r>
      <w:r>
        <w:rPr>
          <w:rFonts w:ascii="Google Sans Text" w:eastAsia="Google Sans Text" w:hAnsi="Google Sans Text" w:cs="Google Sans Text"/>
          <w:i/>
          <w:color w:val="1B1C1D"/>
        </w:rPr>
        <w:t>externo</w:t>
      </w:r>
      <w:r>
        <w:rPr>
          <w:rFonts w:ascii="Google Sans Text" w:eastAsia="Google Sans Text" w:hAnsi="Google Sans Text" w:cs="Google Sans Text"/>
          <w:color w:val="1B1C1D"/>
        </w:rPr>
        <w:t xml:space="preserve"> (despido) que había caracterizado la crisis financiera de 2008.</w:t>
      </w:r>
      <w:r>
        <w:rPr>
          <w:rFonts w:ascii="Google Sans Text" w:eastAsia="Google Sans Text" w:hAnsi="Google Sans Text" w:cs="Google Sans Text"/>
          <w:color w:val="444746"/>
          <w:sz w:val="24"/>
          <w:szCs w:val="24"/>
          <w:vertAlign w:val="superscript"/>
        </w:rPr>
        <w:t>1</w:t>
      </w:r>
    </w:p>
    <w:p w14:paraId="7F19B80D"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18B6CF33" w14:textId="77777777" w:rsidR="003F6AFA"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El Fomento de la Flexibilidad Interna: Negociación Colectiva y Salarios</w:t>
      </w:r>
    </w:p>
    <w:p w14:paraId="38379066"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46AB6DB9"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La reforma buscaba facilitar el ajuste </w:t>
      </w:r>
      <w:r>
        <w:rPr>
          <w:rFonts w:ascii="Google Sans Text" w:eastAsia="Google Sans Text" w:hAnsi="Google Sans Text" w:cs="Google Sans Text"/>
          <w:i/>
          <w:color w:val="1B1C1D"/>
        </w:rPr>
        <w:t>interno</w:t>
      </w:r>
      <w:r>
        <w:rPr>
          <w:rFonts w:ascii="Google Sans Text" w:eastAsia="Google Sans Text" w:hAnsi="Google Sans Text" w:cs="Google Sans Text"/>
          <w:color w:val="1B1C1D"/>
        </w:rPr>
        <w:t xml:space="preserve"> para evitar la destrucción de empleo.</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Las medidas clave fueron la prioridad aplicativa del convenio de empresa sobre el sectorial, la facilitación de las "modificaciones sustanciales de las condiciones de trabajo" y la limitación de la ultraactividad de los convenios.</w:t>
      </w:r>
      <w:r>
        <w:rPr>
          <w:rFonts w:ascii="Google Sans Text" w:eastAsia="Google Sans Text" w:hAnsi="Google Sans Text" w:cs="Google Sans Text"/>
          <w:color w:val="444746"/>
          <w:sz w:val="24"/>
          <w:szCs w:val="24"/>
          <w:vertAlign w:val="superscript"/>
        </w:rPr>
        <w:t>1</w:t>
      </w:r>
    </w:p>
    <w:p w14:paraId="399D35CA"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justificación empírica de esta medida la proporcionaba el propio Banco de España (2012), que en un estudio mostró cómo una </w:t>
      </w:r>
      <w:r>
        <w:rPr>
          <w:rFonts w:ascii="Google Sans Text" w:eastAsia="Google Sans Text" w:hAnsi="Google Sans Text" w:cs="Google Sans Text"/>
          <w:i/>
          <w:color w:val="1B1C1D"/>
        </w:rPr>
        <w:t>mayor</w:t>
      </w:r>
      <w:r>
        <w:rPr>
          <w:rFonts w:ascii="Google Sans Text" w:eastAsia="Google Sans Text" w:hAnsi="Google Sans Text" w:cs="Google Sans Text"/>
          <w:color w:val="1B1C1D"/>
        </w:rPr>
        <w:t xml:space="preserve"> cobertura de convenios de empresa está asociada con una </w:t>
      </w:r>
      <w:r>
        <w:rPr>
          <w:rFonts w:ascii="Google Sans Text" w:eastAsia="Google Sans Text" w:hAnsi="Google Sans Text" w:cs="Google Sans Text"/>
          <w:i/>
          <w:color w:val="1B1C1D"/>
        </w:rPr>
        <w:t>mayor</w:t>
      </w:r>
      <w:r>
        <w:rPr>
          <w:rFonts w:ascii="Google Sans Text" w:eastAsia="Google Sans Text" w:hAnsi="Google Sans Text" w:cs="Google Sans Text"/>
          <w:color w:val="1B1C1D"/>
        </w:rPr>
        <w:t xml:space="preserve"> dispersión salarial intrasectorial.</w:t>
      </w:r>
      <w:r>
        <w:rPr>
          <w:rFonts w:ascii="Google Sans Text" w:eastAsia="Google Sans Text" w:hAnsi="Google Sans Text" w:cs="Google Sans Text"/>
          <w:color w:val="444746"/>
          <w:sz w:val="24"/>
          <w:szCs w:val="24"/>
          <w:vertAlign w:val="superscript"/>
        </w:rPr>
        <w:t>14</w:t>
      </w:r>
      <w:r>
        <w:rPr>
          <w:rFonts w:ascii="Google Sans Text" w:eastAsia="Google Sans Text" w:hAnsi="Google Sans Text" w:cs="Google Sans Text"/>
          <w:color w:val="1B1C1D"/>
        </w:rPr>
        <w:t xml:space="preserve"> Esto es un indicador clave de que los salarios se adaptan mejor a la realidad y productividad de la empresa individual, en lugar de estar fijados por un convenio sectorial rígido.</w:t>
      </w:r>
    </w:p>
    <w:p w14:paraId="5F254938"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Tras la reforma, la evidencia mostró un "aumento (moderado) en el número de convenios de empresa".</w:t>
      </w:r>
      <w:r>
        <w:rPr>
          <w:rFonts w:ascii="Google Sans Text" w:eastAsia="Google Sans Text" w:hAnsi="Google Sans Text" w:cs="Google Sans Text"/>
          <w:color w:val="444746"/>
          <w:sz w:val="24"/>
          <w:szCs w:val="24"/>
          <w:vertAlign w:val="superscript"/>
        </w:rPr>
        <w:t>15</w:t>
      </w:r>
      <w:r>
        <w:rPr>
          <w:rFonts w:ascii="Google Sans Text" w:eastAsia="Google Sans Text" w:hAnsi="Google Sans Text" w:cs="Google Sans Text"/>
          <w:color w:val="1B1C1D"/>
        </w:rPr>
        <w:t xml:space="preserve"> Sin embargo, análisis más finos revelaron que los empresarios, especialmente en microempresas, "habrían optado mayoritariamente" por las </w:t>
      </w:r>
      <w:r>
        <w:rPr>
          <w:rFonts w:ascii="Google Sans Text" w:eastAsia="Google Sans Text" w:hAnsi="Google Sans Text" w:cs="Google Sans Text"/>
          <w:i/>
          <w:color w:val="1B1C1D"/>
        </w:rPr>
        <w:t>cláusulas de descuelgue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opt-outs</w:t>
      </w:r>
      <w:proofErr w:type="spellEnd"/>
      <w:r>
        <w:rPr>
          <w:rFonts w:ascii="Google Sans Text" w:eastAsia="Google Sans Text" w:hAnsi="Google Sans Text" w:cs="Google Sans Text"/>
          <w:color w:val="1B1C1D"/>
        </w:rPr>
        <w:t>) del convenio sectorial, un mecanismo más ágil que negociar un convenio de empresa completo desde cero.</w:t>
      </w:r>
      <w:r>
        <w:rPr>
          <w:rFonts w:ascii="Google Sans Text" w:eastAsia="Google Sans Text" w:hAnsi="Google Sans Text" w:cs="Google Sans Text"/>
          <w:color w:val="444746"/>
          <w:sz w:val="24"/>
          <w:szCs w:val="24"/>
          <w:vertAlign w:val="superscript"/>
        </w:rPr>
        <w:t>16</w:t>
      </w:r>
      <w:r>
        <w:rPr>
          <w:rFonts w:ascii="Google Sans Text" w:eastAsia="Google Sans Text" w:hAnsi="Google Sans Text" w:cs="Google Sans Text"/>
          <w:color w:val="1B1C1D"/>
        </w:rPr>
        <w:t xml:space="preserve"> Se confirmó así el uso de la "no aplicación" de los salarios del convenio sectorial como principal vía de flexibilidad interna.</w:t>
      </w:r>
      <w:r>
        <w:rPr>
          <w:rFonts w:ascii="Google Sans Text" w:eastAsia="Google Sans Text" w:hAnsi="Google Sans Text" w:cs="Google Sans Text"/>
          <w:color w:val="444746"/>
          <w:sz w:val="24"/>
          <w:szCs w:val="24"/>
          <w:vertAlign w:val="superscript"/>
        </w:rPr>
        <w:t>17</w:t>
      </w:r>
    </w:p>
    <w:p w14:paraId="3476C415"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4B4D3232" w14:textId="77777777" w:rsidR="003F6AFA"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El Impacto Macro: Devaluación Salarial y Creación de Empleo</w:t>
      </w:r>
    </w:p>
    <w:p w14:paraId="6B8B7676"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604C85F3"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La evidencia sobre el impacto macro de la reforma de 2012 es robusta. Un </w:t>
      </w:r>
      <w:proofErr w:type="spellStart"/>
      <w:proofErr w:type="gramStart"/>
      <w:r>
        <w:rPr>
          <w:rFonts w:ascii="Google Sans Text" w:eastAsia="Google Sans Text" w:hAnsi="Google Sans Text" w:cs="Google Sans Text"/>
          <w:i/>
          <w:color w:val="1B1C1D"/>
        </w:rPr>
        <w:t>paper</w:t>
      </w:r>
      <w:proofErr w:type="spellEnd"/>
      <w:proofErr w:type="gramEnd"/>
      <w:r>
        <w:rPr>
          <w:rFonts w:ascii="Google Sans Text" w:eastAsia="Google Sans Text" w:hAnsi="Google Sans Text" w:cs="Google Sans Text"/>
          <w:color w:val="1B1C1D"/>
        </w:rPr>
        <w:t xml:space="preserve"> crucial del FMI (</w:t>
      </w:r>
      <w:proofErr w:type="spellStart"/>
      <w:r>
        <w:rPr>
          <w:rFonts w:ascii="Google Sans Text" w:eastAsia="Google Sans Text" w:hAnsi="Google Sans Text" w:cs="Google Sans Text"/>
          <w:color w:val="1B1C1D"/>
        </w:rPr>
        <w:t>Stepanyan</w:t>
      </w:r>
      <w:proofErr w:type="spellEnd"/>
      <w:r>
        <w:rPr>
          <w:rFonts w:ascii="Google Sans Text" w:eastAsia="Google Sans Text" w:hAnsi="Google Sans Text" w:cs="Google Sans Text"/>
          <w:color w:val="1B1C1D"/>
        </w:rPr>
        <w:t xml:space="preserve"> y Salas, 2020) concluye que existe "fuerte evidencia" de que la reforma "aumentó la flexibilidad salarial".</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Esta flexibilidad permitió una "devaluación interna" que, según el FMI y otros análisis, "ayudó a la economía española a recuperar competitividad y crear empleo".</w:t>
      </w:r>
      <w:r>
        <w:rPr>
          <w:rFonts w:ascii="Google Sans Text" w:eastAsia="Google Sans Text" w:hAnsi="Google Sans Text" w:cs="Google Sans Text"/>
          <w:color w:val="444746"/>
          <w:sz w:val="24"/>
          <w:szCs w:val="24"/>
          <w:vertAlign w:val="superscript"/>
        </w:rPr>
        <w:t>18</w:t>
      </w:r>
    </w:p>
    <w:p w14:paraId="72BBA97E"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Un estudio de BBVA </w:t>
      </w:r>
      <w:proofErr w:type="spellStart"/>
      <w:r>
        <w:rPr>
          <w:rFonts w:ascii="Google Sans Text" w:eastAsia="Google Sans Text" w:hAnsi="Google Sans Text" w:cs="Google Sans Text"/>
          <w:color w:val="1B1C1D"/>
        </w:rPr>
        <w:t>Research</w:t>
      </w:r>
      <w:proofErr w:type="spellEnd"/>
      <w:r>
        <w:rPr>
          <w:rFonts w:ascii="Google Sans Text" w:eastAsia="Google Sans Text" w:hAnsi="Google Sans Text" w:cs="Google Sans Text"/>
          <w:color w:val="1B1C1D"/>
        </w:rPr>
        <w:t xml:space="preserve"> (2016) corrobora que la reforma favoreció una "mayor flexibilidad salarial e interna".</w:t>
      </w:r>
      <w:r>
        <w:rPr>
          <w:rFonts w:ascii="Google Sans Text" w:eastAsia="Google Sans Text" w:hAnsi="Google Sans Text" w:cs="Google Sans Text"/>
          <w:color w:val="444746"/>
          <w:sz w:val="24"/>
          <w:szCs w:val="24"/>
          <w:vertAlign w:val="superscript"/>
        </w:rPr>
        <w:t>19</w:t>
      </w:r>
      <w:r>
        <w:rPr>
          <w:rFonts w:ascii="Google Sans Text" w:eastAsia="Google Sans Text" w:hAnsi="Google Sans Text" w:cs="Google Sans Text"/>
          <w:color w:val="1B1C1D"/>
        </w:rPr>
        <w:t xml:space="preserve"> El impacto de esta flexibilidad fue cuantificado por Doménech et al. (2018), citados por el FMI, quienes estimaron que si esta flexibilidad salarial hubiera existido en 2008, se podría haber evitado la destrucción de "casi 1.8 millones de empleos equivalentes a tiempo completo".</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Esta mayor capacidad de respuesta del empleo al crecimiento del PIB fue una de las explicaciones aportadas para la "sorprendente" creación de 400.000 empleos en 2014 con un crecimiento económico de solo el 1.4%.</w:t>
      </w:r>
      <w:r>
        <w:rPr>
          <w:rFonts w:ascii="Google Sans Text" w:eastAsia="Google Sans Text" w:hAnsi="Google Sans Text" w:cs="Google Sans Text"/>
          <w:color w:val="444746"/>
          <w:sz w:val="24"/>
          <w:szCs w:val="24"/>
          <w:vertAlign w:val="superscript"/>
        </w:rPr>
        <w:t>15</w:t>
      </w:r>
    </w:p>
    <w:p w14:paraId="24624E65"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6A6649D6" w14:textId="77777777" w:rsidR="003F6AFA"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Consecuencias sobre la Calidad del Empleo y la Desigualdad</w:t>
      </w:r>
    </w:p>
    <w:p w14:paraId="712B8C14"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2EA9C657"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El análisis de </w:t>
      </w:r>
      <w:proofErr w:type="spellStart"/>
      <w:r>
        <w:rPr>
          <w:rFonts w:ascii="Google Sans Text" w:eastAsia="Google Sans Text" w:hAnsi="Google Sans Text" w:cs="Google Sans Text"/>
          <w:color w:val="1B1C1D"/>
        </w:rPr>
        <w:t>Stepanyan</w:t>
      </w:r>
      <w:proofErr w:type="spellEnd"/>
      <w:r>
        <w:rPr>
          <w:rFonts w:ascii="Google Sans Text" w:eastAsia="Google Sans Text" w:hAnsi="Google Sans Text" w:cs="Google Sans Text"/>
          <w:color w:val="1B1C1D"/>
        </w:rPr>
        <w:t xml:space="preserve"> y Salas (2020) para el FMI ofrece la visión más matizada sobre los efectos distributivos de la reforma de 2012.</w:t>
      </w:r>
      <w:r>
        <w:rPr>
          <w:rFonts w:ascii="Google Sans Text" w:eastAsia="Google Sans Text" w:hAnsi="Google Sans Text" w:cs="Google Sans Text"/>
          <w:color w:val="444746"/>
          <w:sz w:val="24"/>
          <w:szCs w:val="24"/>
          <w:vertAlign w:val="superscript"/>
        </w:rPr>
        <w:t>18</w:t>
      </w:r>
    </w:p>
    <w:p w14:paraId="422AC0D0"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Paradójicamente, el estudio encuentra que la reforma ayudó a "mejorar los resultados de igualdad de ingresos", reflejado en una reducción del coeficiente de Gini.</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Sin embargo, esta mejora no se debió a una mejora de la calidad del empleo, sino al </w:t>
      </w:r>
      <w:r>
        <w:rPr>
          <w:rFonts w:ascii="Google Sans Text" w:eastAsia="Google Sans Text" w:hAnsi="Google Sans Text" w:cs="Google Sans Text"/>
          <w:i/>
          <w:color w:val="1B1C1D"/>
        </w:rPr>
        <w:t>fuerte</w:t>
      </w:r>
      <w:r>
        <w:rPr>
          <w:rFonts w:ascii="Google Sans Text" w:eastAsia="Google Sans Text" w:hAnsi="Google Sans Text" w:cs="Google Sans Text"/>
          <w:color w:val="1B1C1D"/>
        </w:rPr>
        <w:t xml:space="preserve"> impacto en la creación de empleo. El mero hecho de pasar de "sin empleo" a "con empleo" es el factor más potente de reducción de la desigualdad de ingresos en la parte baja de la distribución.</w:t>
      </w:r>
    </w:p>
    <w:p w14:paraId="7D33B0CB" w14:textId="77777777" w:rsidR="003F6AF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El coste de esta mejora en la </w:t>
      </w:r>
      <w:r>
        <w:rPr>
          <w:rFonts w:ascii="Google Sans Text" w:eastAsia="Google Sans Text" w:hAnsi="Google Sans Text" w:cs="Google Sans Text"/>
          <w:i/>
          <w:color w:val="1B1C1D"/>
        </w:rPr>
        <w:t>cantidad</w:t>
      </w:r>
      <w:r>
        <w:rPr>
          <w:rFonts w:ascii="Google Sans Text" w:eastAsia="Google Sans Text" w:hAnsi="Google Sans Text" w:cs="Google Sans Text"/>
          <w:color w:val="1B1C1D"/>
        </w:rPr>
        <w:t xml:space="preserve"> de empleo fue un "deterioro" en la </w:t>
      </w:r>
      <w:r>
        <w:rPr>
          <w:rFonts w:ascii="Google Sans Text" w:eastAsia="Google Sans Text" w:hAnsi="Google Sans Text" w:cs="Google Sans Text"/>
          <w:i/>
          <w:color w:val="1B1C1D"/>
        </w:rPr>
        <w:t>calidad</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del mismo</w:t>
      </w:r>
      <w:proofErr w:type="gramEnd"/>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Específicamente, el FMI asocia la reforma con:</w:t>
      </w:r>
    </w:p>
    <w:p w14:paraId="431255A8" w14:textId="77777777" w:rsidR="003F6AFA"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rPr>
        <w:t>Un "deterioro de las horas medias trabajadas".</w:t>
      </w:r>
    </w:p>
    <w:p w14:paraId="316CD5E4" w14:textId="77777777" w:rsidR="003F6AFA"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rPr>
        <w:t>Un "deterioro de la 'pobreza laboral'" (</w:t>
      </w:r>
      <w:proofErr w:type="spellStart"/>
      <w:r>
        <w:rPr>
          <w:rFonts w:ascii="Google Sans Text" w:eastAsia="Google Sans Text" w:hAnsi="Google Sans Text" w:cs="Google Sans Text"/>
          <w:color w:val="1B1C1D"/>
        </w:rPr>
        <w:t>in-work</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poverty</w:t>
      </w:r>
      <w:proofErr w:type="spellEnd"/>
      <w:r>
        <w:rPr>
          <w:rFonts w:ascii="Google Sans Text" w:eastAsia="Google Sans Text" w:hAnsi="Google Sans Text" w:cs="Google Sans Text"/>
          <w:color w:val="1B1C1D"/>
        </w:rPr>
        <w:t>).</w:t>
      </w:r>
    </w:p>
    <w:p w14:paraId="375646B9" w14:textId="77777777" w:rsidR="003F6AFA"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color w:val="1B1C1D"/>
        </w:rPr>
        <w:t>Un "deterioro del 'empleo a tiempo parcial involuntario'".</w:t>
      </w:r>
    </w:p>
    <w:p w14:paraId="03E3F835" w14:textId="77777777" w:rsidR="003F6AFA"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recuperación post-2012, facilitada por la reforma, se basó en una devaluación salarial que permitió a las empresas </w:t>
      </w:r>
      <w:proofErr w:type="spellStart"/>
      <w:r>
        <w:rPr>
          <w:rFonts w:ascii="Google Sans Text" w:eastAsia="Google Sans Text" w:hAnsi="Google Sans Text" w:cs="Google Sans Text"/>
          <w:color w:val="1B1C1D"/>
        </w:rPr>
        <w:t>re-contratar</w:t>
      </w:r>
      <w:proofErr w:type="spellEnd"/>
      <w:r>
        <w:rPr>
          <w:rFonts w:ascii="Google Sans Text" w:eastAsia="Google Sans Text" w:hAnsi="Google Sans Text" w:cs="Google Sans Text"/>
          <w:color w:val="1B1C1D"/>
        </w:rPr>
        <w:t>, pero en condiciones de menor intensidad (menos horas) y menor remuneración (pobreza laboral). Esta tensión entre la recuperación macroeconómica y la percepción de precariedad laboral fue el germen de la contestación política que llevaría a la reforma de 2021.</w:t>
      </w:r>
    </w:p>
    <w:p w14:paraId="5BB5CA4A"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81E6C32" w14:textId="77777777" w:rsidR="003F6AFA"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El Impacto en la Dualidad: Un Objetivo Frustrado</w:t>
      </w:r>
    </w:p>
    <w:p w14:paraId="7229A8E8"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4341B7F4"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bien el objetivo principal de la reforma de 2012 era la flexibilidad interna, también buscaba reducir la dualidad. En este aspecto, la evidencia empírica muestra un fracaso.</w:t>
      </w:r>
    </w:p>
    <w:p w14:paraId="4B3AE63B"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El </w:t>
      </w:r>
      <w:proofErr w:type="spellStart"/>
      <w:r>
        <w:rPr>
          <w:rFonts w:ascii="Google Sans Text" w:eastAsia="Google Sans Text" w:hAnsi="Google Sans Text" w:cs="Google Sans Text"/>
          <w:i/>
          <w:color w:val="1B1C1D"/>
        </w:rPr>
        <w:t>paper</w:t>
      </w:r>
      <w:proofErr w:type="spellEnd"/>
      <w:r>
        <w:rPr>
          <w:rFonts w:ascii="Google Sans Text" w:eastAsia="Google Sans Text" w:hAnsi="Google Sans Text" w:cs="Google Sans Text"/>
          <w:color w:val="1B1C1D"/>
        </w:rPr>
        <w:t xml:space="preserve"> de referencia de García Pérez (2016) para </w:t>
      </w:r>
      <w:proofErr w:type="spellStart"/>
      <w:r>
        <w:rPr>
          <w:rFonts w:ascii="Google Sans Text" w:eastAsia="Google Sans Text" w:hAnsi="Google Sans Text" w:cs="Google Sans Text"/>
          <w:color w:val="1B1C1D"/>
        </w:rPr>
        <w:t>Fedea</w:t>
      </w:r>
      <w:proofErr w:type="spellEnd"/>
      <w:r>
        <w:rPr>
          <w:rFonts w:ascii="Google Sans Text" w:eastAsia="Google Sans Text" w:hAnsi="Google Sans Text" w:cs="Google Sans Text"/>
          <w:color w:val="1B1C1D"/>
        </w:rPr>
        <w:t xml:space="preserve"> concluyó que, si bien la reforma "ha contribuido a reducir el grado de dualidad... hasta cierto punto", su impacto fue "positivo pero pequeño".</w:t>
      </w:r>
      <w:r>
        <w:rPr>
          <w:rFonts w:ascii="Google Sans Text" w:eastAsia="Google Sans Text" w:hAnsi="Google Sans Text" w:cs="Google Sans Text"/>
          <w:color w:val="444746"/>
          <w:sz w:val="24"/>
          <w:szCs w:val="24"/>
          <w:vertAlign w:val="superscript"/>
        </w:rPr>
        <w:t>20</w:t>
      </w:r>
      <w:r>
        <w:rPr>
          <w:rFonts w:ascii="Google Sans Text" w:eastAsia="Google Sans Text" w:hAnsi="Google Sans Text" w:cs="Google Sans Text"/>
          <w:color w:val="1B1C1D"/>
        </w:rPr>
        <w:t xml:space="preserve"> La probabilidad mensual de salir del paro a un contrato </w:t>
      </w:r>
      <w:r>
        <w:rPr>
          <w:rFonts w:ascii="Google Sans Text" w:eastAsia="Google Sans Text" w:hAnsi="Google Sans Text" w:cs="Google Sans Text"/>
          <w:i/>
          <w:color w:val="1B1C1D"/>
        </w:rPr>
        <w:t>indefinido</w:t>
      </w:r>
      <w:r>
        <w:rPr>
          <w:rFonts w:ascii="Google Sans Text" w:eastAsia="Google Sans Text" w:hAnsi="Google Sans Text" w:cs="Google Sans Text"/>
          <w:color w:val="1B1C1D"/>
        </w:rPr>
        <w:t xml:space="preserve"> aumentó (del 1.7% al 2.6%), pero la probabilidad de salir a un contrato </w:t>
      </w:r>
      <w:r>
        <w:rPr>
          <w:rFonts w:ascii="Google Sans Text" w:eastAsia="Google Sans Text" w:hAnsi="Google Sans Text" w:cs="Google Sans Text"/>
          <w:i/>
          <w:color w:val="1B1C1D"/>
        </w:rPr>
        <w:t>temporal</w:t>
      </w:r>
      <w:r>
        <w:rPr>
          <w:rFonts w:ascii="Google Sans Text" w:eastAsia="Google Sans Text" w:hAnsi="Google Sans Text" w:cs="Google Sans Text"/>
          <w:color w:val="1B1C1D"/>
        </w:rPr>
        <w:t xml:space="preserve"> seguía siendo del 11.8%, "casi cinco veces más probable".</w:t>
      </w:r>
      <w:r>
        <w:rPr>
          <w:rFonts w:ascii="Google Sans Text" w:eastAsia="Google Sans Text" w:hAnsi="Google Sans Text" w:cs="Google Sans Text"/>
          <w:color w:val="444746"/>
          <w:sz w:val="24"/>
          <w:szCs w:val="24"/>
          <w:vertAlign w:val="superscript"/>
        </w:rPr>
        <w:t>20</w:t>
      </w:r>
      <w:r>
        <w:rPr>
          <w:rFonts w:ascii="Google Sans Text" w:eastAsia="Google Sans Text" w:hAnsi="Google Sans Text" w:cs="Google Sans Text"/>
          <w:color w:val="1B1C1D"/>
        </w:rPr>
        <w:t xml:space="preserve"> La conclusión de </w:t>
      </w:r>
      <w:proofErr w:type="spellStart"/>
      <w:r>
        <w:rPr>
          <w:rFonts w:ascii="Google Sans Text" w:eastAsia="Google Sans Text" w:hAnsi="Google Sans Text" w:cs="Google Sans Text"/>
          <w:color w:val="1B1C1D"/>
        </w:rPr>
        <w:t>Fedea</w:t>
      </w:r>
      <w:proofErr w:type="spellEnd"/>
      <w:r>
        <w:rPr>
          <w:rFonts w:ascii="Google Sans Text" w:eastAsia="Google Sans Text" w:hAnsi="Google Sans Text" w:cs="Google Sans Text"/>
          <w:color w:val="1B1C1D"/>
        </w:rPr>
        <w:t xml:space="preserve"> fue que "será necesario un mayor esfuerzo" para reducir la dualidad.</w:t>
      </w:r>
      <w:r>
        <w:rPr>
          <w:rFonts w:ascii="Google Sans Text" w:eastAsia="Google Sans Text" w:hAnsi="Google Sans Text" w:cs="Google Sans Text"/>
          <w:color w:val="444746"/>
          <w:sz w:val="24"/>
          <w:szCs w:val="24"/>
          <w:vertAlign w:val="superscript"/>
        </w:rPr>
        <w:t>20</w:t>
      </w:r>
    </w:p>
    <w:p w14:paraId="2D9F3010"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La explicación de este fracaso la aportan análisis como el de Funcas (2015), que identificaron un problema de "dependencia de la senda" (</w:t>
      </w:r>
      <w:proofErr w:type="spellStart"/>
      <w:r>
        <w:rPr>
          <w:rFonts w:ascii="Google Sans Text" w:eastAsia="Google Sans Text" w:hAnsi="Google Sans Text" w:cs="Google Sans Text"/>
          <w:color w:val="1B1C1D"/>
        </w:rPr>
        <w:t>path</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dependency</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21</w:t>
      </w:r>
      <w:r>
        <w:rPr>
          <w:rFonts w:ascii="Google Sans Text" w:eastAsia="Google Sans Text" w:hAnsi="Google Sans Text" w:cs="Google Sans Text"/>
          <w:color w:val="1B1C1D"/>
        </w:rPr>
        <w:t xml:space="preserve"> Aunque la reforma de 2012 </w:t>
      </w:r>
      <w:r>
        <w:rPr>
          <w:rFonts w:ascii="Google Sans Text" w:eastAsia="Google Sans Text" w:hAnsi="Google Sans Text" w:cs="Google Sans Text"/>
          <w:i/>
          <w:color w:val="1B1C1D"/>
        </w:rPr>
        <w:t>ofreció</w:t>
      </w:r>
      <w:r>
        <w:rPr>
          <w:rFonts w:ascii="Google Sans Text" w:eastAsia="Google Sans Text" w:hAnsi="Google Sans Text" w:cs="Google Sans Text"/>
          <w:color w:val="1B1C1D"/>
        </w:rPr>
        <w:t xml:space="preserve"> nuevas herramientas de flexibilidad </w:t>
      </w:r>
      <w:r>
        <w:rPr>
          <w:rFonts w:ascii="Google Sans Text" w:eastAsia="Google Sans Text" w:hAnsi="Google Sans Text" w:cs="Google Sans Text"/>
          <w:i/>
          <w:color w:val="1B1C1D"/>
        </w:rPr>
        <w:t>interna</w:t>
      </w:r>
      <w:r>
        <w:rPr>
          <w:rFonts w:ascii="Google Sans Text" w:eastAsia="Google Sans Text" w:hAnsi="Google Sans Text" w:cs="Google Sans Text"/>
          <w:color w:val="1B1C1D"/>
        </w:rPr>
        <w:t xml:space="preserve"> (ajustes salariales), las empresas españolas siguieron "confiando desproporcionadamente en la flexibilidad </w:t>
      </w:r>
      <w:r>
        <w:rPr>
          <w:rFonts w:ascii="Google Sans Text" w:eastAsia="Google Sans Text" w:hAnsi="Google Sans Text" w:cs="Google Sans Text"/>
          <w:i/>
          <w:color w:val="1B1C1D"/>
        </w:rPr>
        <w:t>externa</w:t>
      </w:r>
      <w:r>
        <w:rPr>
          <w:rFonts w:ascii="Google Sans Text" w:eastAsia="Google Sans Text" w:hAnsi="Google Sans Text" w:cs="Google Sans Text"/>
          <w:color w:val="1B1C1D"/>
        </w:rPr>
        <w:t xml:space="preserve"> (despidos [de temporales])".</w:t>
      </w:r>
      <w:r>
        <w:rPr>
          <w:rFonts w:ascii="Google Sans Text" w:eastAsia="Google Sans Text" w:hAnsi="Google Sans Text" w:cs="Google Sans Text"/>
          <w:color w:val="444746"/>
          <w:sz w:val="24"/>
          <w:szCs w:val="24"/>
          <w:vertAlign w:val="superscript"/>
        </w:rPr>
        <w:t>21</w:t>
      </w:r>
    </w:p>
    <w:p w14:paraId="4F03AC5B"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"buffer" (colchón) de trabajadores temporales seguía siendo la vía de ajuste preferida por las empresas, más fácil y menos conflictiva que negociar recortes salariales con la plantilla fija.</w:t>
      </w:r>
      <w:r>
        <w:rPr>
          <w:rFonts w:ascii="Google Sans Text" w:eastAsia="Google Sans Text" w:hAnsi="Google Sans Text" w:cs="Google Sans Text"/>
          <w:color w:val="444746"/>
          <w:sz w:val="24"/>
          <w:szCs w:val="24"/>
          <w:vertAlign w:val="superscript"/>
        </w:rPr>
        <w:t>21</w:t>
      </w:r>
      <w:r>
        <w:rPr>
          <w:rFonts w:ascii="Google Sans Text" w:eastAsia="Google Sans Text" w:hAnsi="Google Sans Text" w:cs="Google Sans Text"/>
          <w:color w:val="1B1C1D"/>
        </w:rPr>
        <w:t xml:space="preserve"> La reforma de 2012, basada en </w:t>
      </w:r>
      <w:r>
        <w:rPr>
          <w:rFonts w:ascii="Google Sans Text" w:eastAsia="Google Sans Text" w:hAnsi="Google Sans Text" w:cs="Google Sans Text"/>
          <w:i/>
          <w:color w:val="1B1C1D"/>
        </w:rPr>
        <w:t>incentivos</w:t>
      </w:r>
      <w:r>
        <w:rPr>
          <w:rFonts w:ascii="Google Sans Text" w:eastAsia="Google Sans Text" w:hAnsi="Google Sans Text" w:cs="Google Sans Text"/>
          <w:color w:val="1B1C1D"/>
        </w:rPr>
        <w:t xml:space="preserve">, fracasó en romper la inercia cultural y empresarial de 30 años (instaurada desde la reforma de 1984) de gestionar los recursos humanos a través de la temporalidad. Este fracaso empírico es la justificación directa de la reforma de 2021, que cambió de estrategia: de </w:t>
      </w:r>
      <w:r>
        <w:rPr>
          <w:rFonts w:ascii="Google Sans Text" w:eastAsia="Google Sans Text" w:hAnsi="Google Sans Text" w:cs="Google Sans Text"/>
          <w:i/>
          <w:color w:val="1B1C1D"/>
        </w:rPr>
        <w:t>incentivar</w:t>
      </w:r>
      <w:r>
        <w:rPr>
          <w:rFonts w:ascii="Google Sans Text" w:eastAsia="Google Sans Text" w:hAnsi="Google Sans Text" w:cs="Google Sans Text"/>
          <w:color w:val="1B1C1D"/>
        </w:rPr>
        <w:t xml:space="preserve"> a </w:t>
      </w:r>
      <w:r>
        <w:rPr>
          <w:rFonts w:ascii="Google Sans Text" w:eastAsia="Google Sans Text" w:hAnsi="Google Sans Text" w:cs="Google Sans Text"/>
          <w:i/>
          <w:color w:val="1B1C1D"/>
        </w:rPr>
        <w:t>prohibir</w:t>
      </w:r>
      <w:r>
        <w:rPr>
          <w:rFonts w:ascii="Google Sans Text" w:eastAsia="Google Sans Text" w:hAnsi="Google Sans Text" w:cs="Google Sans Text"/>
          <w:color w:val="1B1C1D"/>
        </w:rPr>
        <w:t>.</w:t>
      </w:r>
    </w:p>
    <w:p w14:paraId="5AF7F107" w14:textId="77777777" w:rsidR="003F6AFA" w:rsidRDefault="003F6AFA">
      <w:pPr>
        <w:pBdr>
          <w:top w:val="nil"/>
          <w:left w:val="nil"/>
          <w:bottom w:val="nil"/>
          <w:right w:val="nil"/>
          <w:between w:val="nil"/>
        </w:pBdr>
        <w:spacing w:line="275" w:lineRule="auto"/>
        <w:rPr>
          <w:rFonts w:ascii="Google Sans Text" w:eastAsia="Google Sans Text" w:hAnsi="Google Sans Text" w:cs="Google Sans Text"/>
          <w:color w:val="1B1C1D"/>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F6AFA" w14:paraId="11B2B6B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E68ECE"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Tabla 2: Evaluación Empírica de la Reforma Laboral de 2012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158F1" w14:textId="77777777" w:rsidR="003F6AFA" w:rsidRDefault="003F6AFA">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DE2CD" w14:textId="77777777" w:rsidR="003F6AFA" w:rsidRDefault="003F6AFA">
            <w:pPr>
              <w:pBdr>
                <w:top w:val="nil"/>
                <w:left w:val="nil"/>
                <w:bottom w:val="nil"/>
                <w:right w:val="nil"/>
                <w:between w:val="nil"/>
              </w:pBdr>
              <w:spacing w:line="276" w:lineRule="auto"/>
              <w:rPr>
                <w:rFonts w:ascii="Google Sans Text" w:eastAsia="Google Sans Text" w:hAnsi="Google Sans Text" w:cs="Google Sans Text"/>
                <w:b/>
                <w:color w:val="1B1C1D"/>
              </w:rPr>
            </w:pPr>
          </w:p>
        </w:tc>
      </w:tr>
      <w:tr w:rsidR="003F6AFA" w14:paraId="41DC1C4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18D8C3"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Objetivo / Variable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40667E"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Resultado Empírico y Matices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A8A559"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Citas Clave</w:t>
            </w:r>
          </w:p>
        </w:tc>
      </w:tr>
      <w:tr w:rsidR="003F6AFA" w14:paraId="230D68A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368F10"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Flexibilidad Salarial (Interna)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1B3187"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Éxito.</w:t>
            </w:r>
            <w:r>
              <w:rPr>
                <w:rFonts w:ascii="Google Sans Text" w:eastAsia="Google Sans Text" w:hAnsi="Google Sans Text" w:cs="Google Sans Text"/>
                <w:color w:val="1B1C1D"/>
              </w:rPr>
              <w:t xml:space="preserve"> Fuerte evidencia de que aumentó la flexibilidad salarial, permitiendo una "devaluación interna" que mejoró la competitividad.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47E448" w14:textId="77777777" w:rsidR="003F6AFA"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proofErr w:type="spellStart"/>
            <w:r>
              <w:rPr>
                <w:rFonts w:ascii="Google Sans Text" w:eastAsia="Google Sans Text" w:hAnsi="Google Sans Text" w:cs="Google Sans Text"/>
                <w:color w:val="1B1C1D"/>
              </w:rPr>
              <w:t>Stepanyan</w:t>
            </w:r>
            <w:proofErr w:type="spellEnd"/>
            <w:r>
              <w:rPr>
                <w:rFonts w:ascii="Google Sans Text" w:eastAsia="Google Sans Text" w:hAnsi="Google Sans Text" w:cs="Google Sans Text"/>
                <w:color w:val="1B1C1D"/>
              </w:rPr>
              <w:t xml:space="preserve"> &amp; Salas (FMI) </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Doménech et al. </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BBVA </w:t>
            </w:r>
            <w:r>
              <w:rPr>
                <w:rFonts w:ascii="Google Sans Text" w:eastAsia="Google Sans Text" w:hAnsi="Google Sans Text" w:cs="Google Sans Text"/>
                <w:color w:val="444746"/>
                <w:sz w:val="24"/>
                <w:szCs w:val="24"/>
                <w:vertAlign w:val="superscript"/>
              </w:rPr>
              <w:t>19</w:t>
            </w:r>
          </w:p>
        </w:tc>
      </w:tr>
      <w:tr w:rsidR="003F6AFA" w14:paraId="422E683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73FDD2"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Uso Flexibilidad Interna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DD3B82"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Fracaso Relativo.</w:t>
            </w:r>
            <w:r>
              <w:rPr>
                <w:rFonts w:ascii="Google Sans Text" w:eastAsia="Google Sans Text" w:hAnsi="Google Sans Text" w:cs="Google Sans Text"/>
                <w:color w:val="1B1C1D"/>
              </w:rPr>
              <w:t xml:space="preserve"> Las empresas (y sindicatos) siguieron prefiriendo el ajuste vía </w:t>
            </w:r>
            <w:r>
              <w:rPr>
                <w:rFonts w:ascii="Google Sans Text" w:eastAsia="Google Sans Text" w:hAnsi="Google Sans Text" w:cs="Google Sans Text"/>
                <w:i/>
                <w:color w:val="1B1C1D"/>
              </w:rPr>
              <w:t>externa</w:t>
            </w:r>
            <w:r>
              <w:rPr>
                <w:rFonts w:ascii="Google Sans Text" w:eastAsia="Google Sans Text" w:hAnsi="Google Sans Text" w:cs="Google Sans Text"/>
                <w:color w:val="1B1C1D"/>
              </w:rPr>
              <w:t xml:space="preserve"> (no renovación de temporales) al ajuste </w:t>
            </w:r>
            <w:r>
              <w:rPr>
                <w:rFonts w:ascii="Google Sans Text" w:eastAsia="Google Sans Text" w:hAnsi="Google Sans Text" w:cs="Google Sans Text"/>
                <w:i/>
                <w:color w:val="1B1C1D"/>
              </w:rPr>
              <w:t>interno</w:t>
            </w:r>
            <w:r>
              <w:rPr>
                <w:rFonts w:ascii="Google Sans Text" w:eastAsia="Google Sans Text" w:hAnsi="Google Sans Text" w:cs="Google Sans Text"/>
                <w:color w:val="1B1C1D"/>
              </w:rPr>
              <w:t xml:space="preserve"> (reducción salarial).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409204" w14:textId="77777777" w:rsidR="003F6AFA"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Funcas </w:t>
            </w:r>
            <w:r>
              <w:rPr>
                <w:rFonts w:ascii="Google Sans Text" w:eastAsia="Google Sans Text" w:hAnsi="Google Sans Text" w:cs="Google Sans Text"/>
                <w:color w:val="444746"/>
                <w:sz w:val="24"/>
                <w:szCs w:val="24"/>
                <w:vertAlign w:val="superscript"/>
              </w:rPr>
              <w:t>21</w:t>
            </w:r>
            <w:r>
              <w:rPr>
                <w:rFonts w:ascii="Google Sans Text" w:eastAsia="Google Sans Text" w:hAnsi="Google Sans Text" w:cs="Google Sans Text"/>
                <w:color w:val="1B1C1D"/>
              </w:rPr>
              <w:t>; Conde-Ruiz, J. I. et al. (</w:t>
            </w:r>
            <w:proofErr w:type="spellStart"/>
            <w:r>
              <w:rPr>
                <w:rFonts w:ascii="Google Sans Text" w:eastAsia="Google Sans Text" w:hAnsi="Google Sans Text" w:cs="Google Sans Text"/>
                <w:color w:val="1B1C1D"/>
              </w:rPr>
              <w:t>EsadeEcPol</w:t>
            </w:r>
            <w:proofErr w:type="spellEnd"/>
            <w:r>
              <w:rPr>
                <w:rFonts w:ascii="Google Sans Text" w:eastAsia="Google Sans Text" w:hAnsi="Google Sans Text" w:cs="Google Sans Text"/>
                <w:color w:val="1B1C1D"/>
              </w:rPr>
              <w:t>) [22]</w:t>
            </w:r>
          </w:p>
        </w:tc>
      </w:tr>
      <w:tr w:rsidR="003F6AFA" w14:paraId="65A14E4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1C7BA"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Tasa de Dualidad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37DCB3"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Fracaso.</w:t>
            </w:r>
            <w:r>
              <w:rPr>
                <w:rFonts w:ascii="Google Sans Text" w:eastAsia="Google Sans Text" w:hAnsi="Google Sans Text" w:cs="Google Sans Text"/>
                <w:color w:val="1B1C1D"/>
              </w:rPr>
              <w:t xml:space="preserve"> El impacto en reducir la dualidad fue "positivo pero pequeño". La probabilidad de encontrar un empleo temporal siguió siendo 5x mayor que un indefinido.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1A865D" w14:textId="77777777" w:rsidR="003F6AFA"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García Pérez (</w:t>
            </w:r>
            <w:proofErr w:type="spellStart"/>
            <w:r>
              <w:rPr>
                <w:rFonts w:ascii="Google Sans Text" w:eastAsia="Google Sans Text" w:hAnsi="Google Sans Text" w:cs="Google Sans Text"/>
                <w:color w:val="1B1C1D"/>
              </w:rPr>
              <w:t>Fedea</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20</w:t>
            </w:r>
          </w:p>
        </w:tc>
      </w:tr>
      <w:tr w:rsidR="003F6AFA" w14:paraId="097AD49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444E2E"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Calidad del Empleo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845DA"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Negativo.</w:t>
            </w:r>
            <w:r>
              <w:rPr>
                <w:rFonts w:ascii="Google Sans Text" w:eastAsia="Google Sans Text" w:hAnsi="Google Sans Text" w:cs="Google Sans Text"/>
                <w:color w:val="1B1C1D"/>
              </w:rPr>
              <w:t xml:space="preserve"> Aumentó la creación de empleo (reduciendo el Gini) pero a costa de </w:t>
            </w:r>
            <w:r>
              <w:rPr>
                <w:rFonts w:ascii="Google Sans Text" w:eastAsia="Google Sans Text" w:hAnsi="Google Sans Text" w:cs="Google Sans Text"/>
                <w:i/>
                <w:color w:val="1B1C1D"/>
              </w:rPr>
              <w:t>deteriorar</w:t>
            </w:r>
            <w:r>
              <w:rPr>
                <w:rFonts w:ascii="Google Sans Text" w:eastAsia="Google Sans Text" w:hAnsi="Google Sans Text" w:cs="Google Sans Text"/>
                <w:color w:val="1B1C1D"/>
              </w:rPr>
              <w:t xml:space="preserve"> la calidad: caída de horas medias, aumento de la pobreza laboral y del tiempo parcial involuntario.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1CA1DF" w14:textId="77777777" w:rsidR="003F6AFA"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proofErr w:type="spellStart"/>
            <w:r>
              <w:rPr>
                <w:rFonts w:ascii="Google Sans Text" w:eastAsia="Google Sans Text" w:hAnsi="Google Sans Text" w:cs="Google Sans Text"/>
                <w:color w:val="1B1C1D"/>
              </w:rPr>
              <w:t>Stepanyan</w:t>
            </w:r>
            <w:proofErr w:type="spellEnd"/>
            <w:r>
              <w:rPr>
                <w:rFonts w:ascii="Google Sans Text" w:eastAsia="Google Sans Text" w:hAnsi="Google Sans Text" w:cs="Google Sans Text"/>
                <w:color w:val="1B1C1D"/>
              </w:rPr>
              <w:t xml:space="preserve"> &amp; Salas (FMI) </w:t>
            </w:r>
            <w:r>
              <w:rPr>
                <w:rFonts w:ascii="Google Sans Text" w:eastAsia="Google Sans Text" w:hAnsi="Google Sans Text" w:cs="Google Sans Text"/>
                <w:color w:val="444746"/>
                <w:sz w:val="24"/>
                <w:szCs w:val="24"/>
                <w:vertAlign w:val="superscript"/>
              </w:rPr>
              <w:t>18</w:t>
            </w:r>
          </w:p>
        </w:tc>
      </w:tr>
    </w:tbl>
    <w:p w14:paraId="483A399C"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7CC0FB92" w14:textId="77777777" w:rsidR="003F6AFA"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Evidencia Empírica de la Reforma Laboral Española de 2021</w:t>
      </w:r>
    </w:p>
    <w:p w14:paraId="12801171"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5629EA33"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La reforma laboral de 2021 (RDL 32/2021) supuso un cambio de paradigma. En respuesta directa al fracaso de la reforma de 2012 en atajar la dualidad y la precariedad, su objetivo central fue atajar la temporalidad como la causa principal de los problemas del mercado laboral español.</w:t>
      </w:r>
      <w:r>
        <w:rPr>
          <w:rFonts w:ascii="Google Sans Text" w:eastAsia="Google Sans Text" w:hAnsi="Google Sans Text" w:cs="Google Sans Text"/>
          <w:color w:val="444746"/>
          <w:sz w:val="24"/>
          <w:szCs w:val="24"/>
          <w:vertAlign w:val="superscript"/>
        </w:rPr>
        <w:t>1</w:t>
      </w:r>
    </w:p>
    <w:p w14:paraId="210A91AD"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2D8369F3" w14:textId="77777777" w:rsidR="003F6AFA"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El Impacto Inmediato: El Colapso de la Tasa de Temporalidad "Contractual"</w:t>
      </w:r>
    </w:p>
    <w:p w14:paraId="2584496C"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5F018C46" w14:textId="77777777" w:rsidR="003F6AF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su objetivo principal (la reducción de la tasa de temporalidad </w:t>
      </w:r>
      <w:r>
        <w:rPr>
          <w:rFonts w:ascii="Google Sans Text" w:eastAsia="Google Sans Text" w:hAnsi="Google Sans Text" w:cs="Google Sans Text"/>
          <w:i/>
          <w:color w:val="1B1C1D"/>
        </w:rPr>
        <w:t>estadística</w:t>
      </w:r>
      <w:r>
        <w:rPr>
          <w:rFonts w:ascii="Google Sans Text" w:eastAsia="Google Sans Text" w:hAnsi="Google Sans Text" w:cs="Google Sans Text"/>
          <w:color w:val="1B1C1D"/>
        </w:rPr>
        <w:t>), la reforma ha sido un éxito rotundo. La evidencia cuantitativa es clara:</w:t>
      </w:r>
    </w:p>
    <w:p w14:paraId="596F43AD" w14:textId="77777777" w:rsidR="003F6AFA"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Caída Histórica:</w:t>
      </w:r>
      <w:r>
        <w:rPr>
          <w:rFonts w:ascii="Google Sans Text" w:eastAsia="Google Sans Text" w:hAnsi="Google Sans Text" w:cs="Google Sans Text"/>
          <w:color w:val="1B1C1D"/>
        </w:rPr>
        <w:t xml:space="preserve"> Según CaixaBank </w:t>
      </w:r>
      <w:proofErr w:type="spellStart"/>
      <w:r>
        <w:rPr>
          <w:rFonts w:ascii="Google Sans Text" w:eastAsia="Google Sans Text" w:hAnsi="Google Sans Text" w:cs="Google Sans Text"/>
          <w:color w:val="1B1C1D"/>
        </w:rPr>
        <w:t>Research</w:t>
      </w:r>
      <w:proofErr w:type="spellEnd"/>
      <w:r>
        <w:rPr>
          <w:rFonts w:ascii="Google Sans Text" w:eastAsia="Google Sans Text" w:hAnsi="Google Sans Text" w:cs="Google Sans Text"/>
          <w:color w:val="1B1C1D"/>
        </w:rPr>
        <w:t xml:space="preserve"> (2025), la tasa de temporalidad se desplomó desde una media del </w:t>
      </w:r>
      <w:r>
        <w:rPr>
          <w:rFonts w:ascii="Google Sans Text" w:eastAsia="Google Sans Text" w:hAnsi="Google Sans Text" w:cs="Google Sans Text"/>
          <w:b/>
          <w:color w:val="1B1C1D"/>
        </w:rPr>
        <w:t>29.7%</w:t>
      </w:r>
      <w:r>
        <w:rPr>
          <w:rFonts w:ascii="Google Sans Text" w:eastAsia="Google Sans Text" w:hAnsi="Google Sans Text" w:cs="Google Sans Text"/>
          <w:color w:val="1B1C1D"/>
        </w:rPr>
        <w:t xml:space="preserve"> (en el período 2014-2019) al </w:t>
      </w:r>
      <w:r>
        <w:rPr>
          <w:rFonts w:ascii="Google Sans Text" w:eastAsia="Google Sans Text" w:hAnsi="Google Sans Text" w:cs="Google Sans Text"/>
          <w:b/>
          <w:color w:val="1B1C1D"/>
        </w:rPr>
        <w:t>12.7%</w:t>
      </w:r>
      <w:r>
        <w:rPr>
          <w:rFonts w:ascii="Google Sans Text" w:eastAsia="Google Sans Text" w:hAnsi="Google Sans Text" w:cs="Google Sans Text"/>
          <w:color w:val="1B1C1D"/>
        </w:rPr>
        <w:t xml:space="preserve"> (en 2024), situando a España, por primera vez, cerca de la media europea y corrigiendo su anomalía histórica.</w:t>
      </w:r>
      <w:r>
        <w:rPr>
          <w:rFonts w:ascii="Google Sans Text" w:eastAsia="Google Sans Text" w:hAnsi="Google Sans Text" w:cs="Google Sans Text"/>
          <w:color w:val="444746"/>
          <w:sz w:val="24"/>
          <w:szCs w:val="24"/>
          <w:vertAlign w:val="superscript"/>
        </w:rPr>
        <w:t>23</w:t>
      </w:r>
    </w:p>
    <w:p w14:paraId="1C84336B" w14:textId="77777777" w:rsidR="003F6AFA"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Trasvase a Indefinidos:</w:t>
      </w:r>
      <w:r>
        <w:rPr>
          <w:rFonts w:ascii="Google Sans Text" w:eastAsia="Google Sans Text" w:hAnsi="Google Sans Text" w:cs="Google Sans Text"/>
          <w:color w:val="1B1C1D"/>
        </w:rPr>
        <w:t xml:space="preserve"> El Banco de España (2023) cuantifica el trasvase: entre el cuarto trimestre de 2021 y el de 2022, el número de asalariados con contrato </w:t>
      </w:r>
      <w:r>
        <w:rPr>
          <w:rFonts w:ascii="Google Sans Text" w:eastAsia="Google Sans Text" w:hAnsi="Google Sans Text" w:cs="Google Sans Text"/>
          <w:i/>
          <w:color w:val="1B1C1D"/>
        </w:rPr>
        <w:t>indefinido</w:t>
      </w:r>
      <w:r>
        <w:rPr>
          <w:rFonts w:ascii="Google Sans Text" w:eastAsia="Google Sans Text" w:hAnsi="Google Sans Text" w:cs="Google Sans Text"/>
          <w:color w:val="1B1C1D"/>
        </w:rPr>
        <w:t xml:space="preserve"> aumentó en torno a </w:t>
      </w:r>
      <w:r>
        <w:rPr>
          <w:rFonts w:ascii="Google Sans Text" w:eastAsia="Google Sans Text" w:hAnsi="Google Sans Text" w:cs="Google Sans Text"/>
          <w:b/>
          <w:color w:val="1B1C1D"/>
        </w:rPr>
        <w:t>1.6 millones</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24</w:t>
      </w:r>
    </w:p>
    <w:p w14:paraId="16B5551C" w14:textId="77777777" w:rsidR="003F6AFA"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Evaluación del FMI:</w:t>
      </w:r>
      <w:r>
        <w:rPr>
          <w:rFonts w:ascii="Google Sans Text" w:eastAsia="Google Sans Text" w:hAnsi="Google Sans Text" w:cs="Google Sans Text"/>
          <w:color w:val="1B1C1D"/>
        </w:rPr>
        <w:t xml:space="preserve"> El FMI (2024), en su evaluación preliminar, confirma una "reducción de la incidencia del empleo temporal de casi 10 puntos porcentuales".</w:t>
      </w:r>
      <w:r>
        <w:rPr>
          <w:rFonts w:ascii="Google Sans Text" w:eastAsia="Google Sans Text" w:hAnsi="Google Sans Text" w:cs="Google Sans Text"/>
          <w:color w:val="444746"/>
          <w:sz w:val="24"/>
          <w:szCs w:val="24"/>
          <w:vertAlign w:val="superscript"/>
        </w:rPr>
        <w:t>25</w:t>
      </w:r>
    </w:p>
    <w:p w14:paraId="458EC05B" w14:textId="77777777" w:rsidR="003F6AFA"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Un matiz importante que aporta el FMI (2024) es que este éxito se concentra en el sector privado, ya que "el empleo temporal en el sector público no se ha visto afectado por la reforma hasta ahora".</w:t>
      </w:r>
      <w:r>
        <w:rPr>
          <w:rFonts w:ascii="Google Sans Text" w:eastAsia="Google Sans Text" w:hAnsi="Google Sans Text" w:cs="Google Sans Text"/>
          <w:color w:val="444746"/>
          <w:sz w:val="24"/>
          <w:szCs w:val="24"/>
          <w:vertAlign w:val="superscript"/>
        </w:rPr>
        <w:t>25</w:t>
      </w:r>
    </w:p>
    <w:p w14:paraId="10762AD8"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20565465" w14:textId="77777777" w:rsidR="003F6AFA"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El Nuevo Pilar de Flexibilidad: El Contrato Fijo-Discontinuo (FD)</w:t>
      </w:r>
    </w:p>
    <w:p w14:paraId="2AF07BD0"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66CA9B39"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La reforma no eliminó la necesidad de flexibilidad de las empresas; la </w:t>
      </w:r>
      <w:r>
        <w:rPr>
          <w:rFonts w:ascii="Google Sans Text" w:eastAsia="Google Sans Text" w:hAnsi="Google Sans Text" w:cs="Google Sans Text"/>
          <w:i/>
          <w:color w:val="1B1C1D"/>
        </w:rPr>
        <w:t>canalizó</w:t>
      </w:r>
      <w:r>
        <w:rPr>
          <w:rFonts w:ascii="Google Sans Text" w:eastAsia="Google Sans Text" w:hAnsi="Google Sans Text" w:cs="Google Sans Text"/>
          <w:color w:val="1B1C1D"/>
        </w:rPr>
        <w:t xml:space="preserve">. Restringió drásticamente el contrato temporal por obra y servicio (eliminándolo) y acotó el eventual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y simultáneamente, amplió el uso del contrato Fijo-Discontinuo (FD).</w:t>
      </w:r>
      <w:r>
        <w:rPr>
          <w:rFonts w:ascii="Google Sans Text" w:eastAsia="Google Sans Text" w:hAnsi="Google Sans Text" w:cs="Google Sans Text"/>
          <w:color w:val="444746"/>
          <w:sz w:val="24"/>
          <w:szCs w:val="24"/>
          <w:vertAlign w:val="superscript"/>
        </w:rPr>
        <w:t>1</w:t>
      </w:r>
    </w:p>
    <w:p w14:paraId="05B1D08C"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Un análisis legal (2022) confirma que el uso del FD se extendió más allá de las actividades estacionales para incluir "trabajos o actividades que antes se realizaban mediante un contrato temporal por obra o servicio", como las </w:t>
      </w:r>
      <w:r>
        <w:rPr>
          <w:rFonts w:ascii="Google Sans Text" w:eastAsia="Google Sans Text" w:hAnsi="Google Sans Text" w:cs="Google Sans Text"/>
          <w:i/>
          <w:color w:val="1B1C1D"/>
        </w:rPr>
        <w:t>contratas</w:t>
      </w:r>
      <w:r>
        <w:rPr>
          <w:rFonts w:ascii="Google Sans Text" w:eastAsia="Google Sans Text" w:hAnsi="Google Sans Text" w:cs="Google Sans Text"/>
          <w:color w:val="1B1C1D"/>
        </w:rPr>
        <w:t xml:space="preserve"> y el trabajo en Empresas de Trabajo Temporal (ETT).</w:t>
      </w:r>
      <w:r>
        <w:rPr>
          <w:rFonts w:ascii="Google Sans Text" w:eastAsia="Google Sans Text" w:hAnsi="Google Sans Text" w:cs="Google Sans Text"/>
          <w:color w:val="444746"/>
          <w:sz w:val="24"/>
          <w:szCs w:val="24"/>
          <w:vertAlign w:val="superscript"/>
        </w:rPr>
        <w:t>26</w:t>
      </w:r>
    </w:p>
    <w:p w14:paraId="119A417C" w14:textId="77777777" w:rsidR="003F6AF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evidencia empírica documenta la </w:t>
      </w:r>
      <w:r>
        <w:rPr>
          <w:rFonts w:ascii="Google Sans Text" w:eastAsia="Google Sans Text" w:hAnsi="Google Sans Text" w:cs="Google Sans Text"/>
          <w:i/>
          <w:color w:val="1B1C1D"/>
        </w:rPr>
        <w:t>explosión</w:t>
      </w:r>
      <w:r>
        <w:rPr>
          <w:rFonts w:ascii="Google Sans Text" w:eastAsia="Google Sans Text" w:hAnsi="Google Sans Text" w:cs="Google Sans Text"/>
          <w:color w:val="1B1C1D"/>
        </w:rPr>
        <w:t xml:space="preserve"> inmediata en su uso:</w:t>
      </w:r>
    </w:p>
    <w:p w14:paraId="65CEF57B" w14:textId="77777777" w:rsidR="003F6AFA"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En enero de 2022 (primer mes completo de aplicación), los contratos FD "se triplicaron con respecto a enero de 2021" y aumentaron un 74.3% solo respecto al mes anterior (diciembre 2021).</w:t>
      </w:r>
      <w:r>
        <w:rPr>
          <w:rFonts w:ascii="Google Sans Text" w:eastAsia="Google Sans Text" w:hAnsi="Google Sans Text" w:cs="Google Sans Text"/>
          <w:color w:val="444746"/>
          <w:sz w:val="24"/>
          <w:szCs w:val="24"/>
          <w:vertAlign w:val="superscript"/>
        </w:rPr>
        <w:t>27</w:t>
      </w:r>
    </w:p>
    <w:p w14:paraId="4FAC5BCE" w14:textId="77777777" w:rsidR="003F6AFA"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El </w:t>
      </w:r>
      <w:proofErr w:type="spellStart"/>
      <w:proofErr w:type="gramStart"/>
      <w:r>
        <w:rPr>
          <w:rFonts w:ascii="Google Sans Text" w:eastAsia="Google Sans Text" w:hAnsi="Google Sans Text" w:cs="Google Sans Text"/>
          <w:i/>
          <w:color w:val="1B1C1D"/>
        </w:rPr>
        <w:t>paper</w:t>
      </w:r>
      <w:proofErr w:type="spellEnd"/>
      <w:proofErr w:type="gramEnd"/>
      <w:r>
        <w:rPr>
          <w:rFonts w:ascii="Google Sans Text" w:eastAsia="Google Sans Text" w:hAnsi="Google Sans Text" w:cs="Google Sans Text"/>
          <w:color w:val="1B1C1D"/>
        </w:rPr>
        <w:t xml:space="preserve"> de Florentino Felgueroso (2024) para </w:t>
      </w:r>
      <w:proofErr w:type="spellStart"/>
      <w:r>
        <w:rPr>
          <w:rFonts w:ascii="Google Sans Text" w:eastAsia="Google Sans Text" w:hAnsi="Google Sans Text" w:cs="Google Sans Text"/>
          <w:color w:val="1B1C1D"/>
        </w:rPr>
        <w:t>Fedea</w:t>
      </w:r>
      <w:proofErr w:type="spellEnd"/>
      <w:r>
        <w:rPr>
          <w:rFonts w:ascii="Google Sans Text" w:eastAsia="Google Sans Text" w:hAnsi="Google Sans Text" w:cs="Google Sans Text"/>
          <w:color w:val="1B1C1D"/>
        </w:rPr>
        <w:t xml:space="preserve">, que utiliza microdatos de la Seguridad Social, ofrece el análisis más detallado del </w:t>
      </w:r>
      <w:r>
        <w:rPr>
          <w:rFonts w:ascii="Google Sans Text" w:eastAsia="Google Sans Text" w:hAnsi="Google Sans Text" w:cs="Google Sans Text"/>
          <w:i/>
          <w:color w:val="1B1C1D"/>
        </w:rPr>
        <w:t>stock</w:t>
      </w:r>
      <w:r>
        <w:rPr>
          <w:rFonts w:ascii="Google Sans Text" w:eastAsia="Google Sans Text" w:hAnsi="Google Sans Text" w:cs="Google Sans Text"/>
          <w:color w:val="1B1C1D"/>
        </w:rPr>
        <w:t xml:space="preserve"> de trabajadores FD.</w:t>
      </w:r>
      <w:r>
        <w:rPr>
          <w:rFonts w:ascii="Google Sans Text" w:eastAsia="Google Sans Text" w:hAnsi="Google Sans Text" w:cs="Google Sans Text"/>
          <w:color w:val="444746"/>
          <w:sz w:val="24"/>
          <w:szCs w:val="24"/>
          <w:vertAlign w:val="superscript"/>
        </w:rPr>
        <w:t>28</w:t>
      </w:r>
    </w:p>
    <w:p w14:paraId="224ACBCC" w14:textId="77777777" w:rsidR="003F6AFA"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Stock:</w:t>
      </w:r>
      <w:r>
        <w:rPr>
          <w:rFonts w:ascii="Google Sans Text" w:eastAsia="Google Sans Text" w:hAnsi="Google Sans Text" w:cs="Google Sans Text"/>
          <w:color w:val="1B1C1D"/>
        </w:rPr>
        <w:t xml:space="preserve"> El stock de trabajadores FD aumentó de </w:t>
      </w:r>
      <w:r>
        <w:rPr>
          <w:rFonts w:ascii="Google Sans Text" w:eastAsia="Google Sans Text" w:hAnsi="Google Sans Text" w:cs="Google Sans Text"/>
          <w:b/>
          <w:color w:val="1B1C1D"/>
        </w:rPr>
        <w:t>650,000 a 1.42 millones</w:t>
      </w:r>
      <w:r>
        <w:rPr>
          <w:rFonts w:ascii="Google Sans Text" w:eastAsia="Google Sans Text" w:hAnsi="Google Sans Text" w:cs="Google Sans Text"/>
          <w:color w:val="1B1C1D"/>
        </w:rPr>
        <w:t xml:space="preserve"> tras la reforma.</w:t>
      </w:r>
    </w:p>
    <w:p w14:paraId="2A792269" w14:textId="77777777" w:rsidR="003F6AFA"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Inactividad:</w:t>
      </w:r>
      <w:r>
        <w:rPr>
          <w:rFonts w:ascii="Google Sans Text" w:eastAsia="Google Sans Text" w:hAnsi="Google Sans Text" w:cs="Google Sans Text"/>
          <w:color w:val="1B1C1D"/>
        </w:rPr>
        <w:t xml:space="preserve"> Este stock se divide "casi por igual" entre trabajadores en período de </w:t>
      </w:r>
      <w:r>
        <w:rPr>
          <w:rFonts w:ascii="Google Sans Text" w:eastAsia="Google Sans Text" w:hAnsi="Google Sans Text" w:cs="Google Sans Text"/>
          <w:i/>
          <w:color w:val="1B1C1D"/>
        </w:rPr>
        <w:t>actividad</w:t>
      </w:r>
      <w:r>
        <w:rPr>
          <w:rFonts w:ascii="Google Sans Text" w:eastAsia="Google Sans Text" w:hAnsi="Google Sans Text" w:cs="Google Sans Text"/>
          <w:color w:val="1B1C1D"/>
        </w:rPr>
        <w:t xml:space="preserve"> y de </w:t>
      </w:r>
      <w:r>
        <w:rPr>
          <w:rFonts w:ascii="Google Sans Text" w:eastAsia="Google Sans Text" w:hAnsi="Google Sans Text" w:cs="Google Sans Text"/>
          <w:i/>
          <w:color w:val="1B1C1D"/>
        </w:rPr>
        <w:t>inactividad</w:t>
      </w:r>
      <w:r>
        <w:rPr>
          <w:rFonts w:ascii="Google Sans Text" w:eastAsia="Google Sans Text" w:hAnsi="Google Sans Text" w:cs="Google Sans Text"/>
          <w:color w:val="1B1C1D"/>
        </w:rPr>
        <w:t xml:space="preserve"> (cifras refinadas: 730,000 activos y 518,000 inactivos, a diciembre de 2022).</w:t>
      </w:r>
    </w:p>
    <w:p w14:paraId="0429CCB2" w14:textId="77777777" w:rsidR="003F6AFA"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Edad:</w:t>
      </w:r>
      <w:r>
        <w:rPr>
          <w:rFonts w:ascii="Google Sans Text" w:eastAsia="Google Sans Text" w:hAnsi="Google Sans Text" w:cs="Google Sans Text"/>
          <w:color w:val="1B1C1D"/>
        </w:rPr>
        <w:t xml:space="preserve"> Se ha producido un "rejuvenecimiento" del colectivo. La proporción de jóvenes de 16-24 años "se triplicó" en 2022, alcanzando el 22% del total del stock de FD.</w:t>
      </w:r>
    </w:p>
    <w:p w14:paraId="529E8521" w14:textId="77777777" w:rsidR="003F6AFA" w:rsidRDefault="00000000">
      <w:pPr>
        <w:numPr>
          <w:ilvl w:val="1"/>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Inestabilidad:</w:t>
      </w:r>
      <w:r>
        <w:rPr>
          <w:rFonts w:ascii="Google Sans Text" w:eastAsia="Google Sans Text" w:hAnsi="Google Sans Text" w:cs="Google Sans Text"/>
          <w:color w:val="1B1C1D"/>
        </w:rPr>
        <w:t xml:space="preserve"> Este colectivo joven se caracteriza por "mayores tasas de inactividad y de ruptura de los contratos por abandono voluntario".</w:t>
      </w:r>
    </w:p>
    <w:p w14:paraId="2666333C" w14:textId="77777777" w:rsidR="003F6AFA" w:rsidRDefault="003F6A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9C83C05" w14:textId="77777777" w:rsidR="003F6AFA"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El Debate Crítico: ¿Estabilidad "Contractual" vs. Estabilidad "Empírica"?</w:t>
      </w:r>
    </w:p>
    <w:p w14:paraId="51B360A2"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698F185E"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El éxito estadístico de la reforma ha dado paso a un debate académico más profundo: ¿el cambio de </w:t>
      </w:r>
      <w:r>
        <w:rPr>
          <w:rFonts w:ascii="Google Sans Text" w:eastAsia="Google Sans Text" w:hAnsi="Google Sans Text" w:cs="Google Sans Text"/>
          <w:i/>
          <w:color w:val="1B1C1D"/>
        </w:rPr>
        <w:t>etiqueta</w:t>
      </w:r>
      <w:r>
        <w:rPr>
          <w:rFonts w:ascii="Google Sans Text" w:eastAsia="Google Sans Text" w:hAnsi="Google Sans Text" w:cs="Google Sans Text"/>
          <w:color w:val="1B1C1D"/>
        </w:rPr>
        <w:t xml:space="preserve"> (de "temporal" a "fijo-discontinuo") se ha traducido en un cambio </w:t>
      </w:r>
      <w:r>
        <w:rPr>
          <w:rFonts w:ascii="Google Sans Text" w:eastAsia="Google Sans Text" w:hAnsi="Google Sans Text" w:cs="Google Sans Text"/>
          <w:i/>
          <w:color w:val="1B1C1D"/>
        </w:rPr>
        <w:t>real</w:t>
      </w:r>
      <w:r>
        <w:rPr>
          <w:rFonts w:ascii="Google Sans Text" w:eastAsia="Google Sans Text" w:hAnsi="Google Sans Text" w:cs="Google Sans Text"/>
          <w:color w:val="1B1C1D"/>
        </w:rPr>
        <w:t xml:space="preserve"> de estabilidad laboral? La evidencia empírica más sofisticada sugiere que no.</w:t>
      </w:r>
    </w:p>
    <w:p w14:paraId="31A6AF1B" w14:textId="77777777" w:rsidR="003F6AFA"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El </w:t>
      </w:r>
      <w:proofErr w:type="spellStart"/>
      <w:proofErr w:type="gramStart"/>
      <w:r>
        <w:rPr>
          <w:rFonts w:ascii="Google Sans Text" w:eastAsia="Google Sans Text" w:hAnsi="Google Sans Text" w:cs="Google Sans Text"/>
          <w:i/>
          <w:color w:val="1B1C1D"/>
        </w:rPr>
        <w:t>paper</w:t>
      </w:r>
      <w:proofErr w:type="spellEnd"/>
      <w:proofErr w:type="gramEnd"/>
      <w:r>
        <w:rPr>
          <w:rFonts w:ascii="Google Sans Text" w:eastAsia="Google Sans Text" w:hAnsi="Google Sans Text" w:cs="Google Sans Text"/>
          <w:color w:val="1B1C1D"/>
        </w:rPr>
        <w:t xml:space="preserve"> de Conde Ruiz et al. (2023) para </w:t>
      </w:r>
      <w:proofErr w:type="spellStart"/>
      <w:r>
        <w:rPr>
          <w:rFonts w:ascii="Google Sans Text" w:eastAsia="Google Sans Text" w:hAnsi="Google Sans Text" w:cs="Google Sans Text"/>
          <w:color w:val="1B1C1D"/>
        </w:rPr>
        <w:t>Fedea</w:t>
      </w:r>
      <w:proofErr w:type="spellEnd"/>
      <w:r>
        <w:rPr>
          <w:rFonts w:ascii="Google Sans Text" w:eastAsia="Google Sans Text" w:hAnsi="Google Sans Text" w:cs="Google Sans Text"/>
          <w:color w:val="1B1C1D"/>
        </w:rPr>
        <w:t xml:space="preserve"> es la evaluación más influyente hasta la fecha. Introduce la distinción clave entre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w:t>
      </w:r>
    </w:p>
    <w:p w14:paraId="62987A4B" w14:textId="77777777" w:rsidR="003F6AFA"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Temporalidad "Contractual":</w:t>
      </w:r>
      <w:r>
        <w:rPr>
          <w:rFonts w:ascii="Google Sans Text" w:eastAsia="Google Sans Text" w:hAnsi="Google Sans Text" w:cs="Google Sans Text"/>
          <w:color w:val="1B1C1D"/>
        </w:rPr>
        <w:t xml:space="preserve"> La tasa de contratos etiquetados como "temporales". Aquí la reforma fue un </w:t>
      </w:r>
      <w:r>
        <w:rPr>
          <w:rFonts w:ascii="Google Sans Text" w:eastAsia="Google Sans Text" w:hAnsi="Google Sans Text" w:cs="Google Sans Text"/>
          <w:b/>
          <w:color w:val="1B1C1D"/>
        </w:rPr>
        <w:t>éxito</w:t>
      </w:r>
      <w:r>
        <w:rPr>
          <w:rFonts w:ascii="Google Sans Text" w:eastAsia="Google Sans Text" w:hAnsi="Google Sans Text" w:cs="Google Sans Text"/>
          <w:color w:val="1B1C1D"/>
        </w:rPr>
        <w:t>.</w:t>
      </w:r>
    </w:p>
    <w:p w14:paraId="0E988722" w14:textId="77777777" w:rsidR="003F6AFA"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Temporalidad "Empírica":</w:t>
      </w:r>
      <w:r>
        <w:rPr>
          <w:rFonts w:ascii="Google Sans Text" w:eastAsia="Google Sans Text" w:hAnsi="Google Sans Text" w:cs="Google Sans Text"/>
          <w:color w:val="1B1C1D"/>
        </w:rPr>
        <w:t xml:space="preserve"> La precariedad o inestabilidad </w:t>
      </w:r>
      <w:r>
        <w:rPr>
          <w:rFonts w:ascii="Google Sans Text" w:eastAsia="Google Sans Text" w:hAnsi="Google Sans Text" w:cs="Google Sans Text"/>
          <w:i/>
          <w:color w:val="1B1C1D"/>
        </w:rPr>
        <w:t>real</w:t>
      </w:r>
      <w:r>
        <w:rPr>
          <w:rFonts w:ascii="Google Sans Text" w:eastAsia="Google Sans Text" w:hAnsi="Google Sans Text" w:cs="Google Sans Text"/>
          <w:color w:val="1B1C1D"/>
        </w:rPr>
        <w:t xml:space="preserve"> (medida por la duración efectiva de los empleos y los flujos de alta y baja en la Seguridad Social).</w:t>
      </w:r>
    </w:p>
    <w:p w14:paraId="0C84EECF" w14:textId="77777777" w:rsidR="003F6AFA"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El hallazgo clave de Conde Ruiz et al. (2023) es que, si bien la reforma redujo la temporalidad contractual, "no parece haber sido tan eficaz en mitigar la precariedad o la inestabilidad laboral".</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xml:space="preserve"> Su análisis de los flujos diarios de afiliación y baja a la Seguridad Social muestra que la nueva distribución de contratos "replica casi exactamente la situación anterior en términos de estabilidad laboral".</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xml:space="preserve"> Es decir, la rotación y la inestabilidad persisten, pero ahora ocurren </w:t>
      </w:r>
      <w:r>
        <w:rPr>
          <w:rFonts w:ascii="Google Sans Text" w:eastAsia="Google Sans Text" w:hAnsi="Google Sans Text" w:cs="Google Sans Text"/>
          <w:i/>
          <w:color w:val="1B1C1D"/>
        </w:rPr>
        <w:t>dentro</w:t>
      </w:r>
      <w:r>
        <w:rPr>
          <w:rFonts w:ascii="Google Sans Text" w:eastAsia="Google Sans Text" w:hAnsi="Google Sans Text" w:cs="Google Sans Text"/>
          <w:color w:val="1B1C1D"/>
        </w:rPr>
        <w:t xml:space="preserve"> de contratos etiquetados como "indefinidos" (los FD). El estudio detecta incluso un "aumento de la mortalidad" (menor duración) de los contratos </w:t>
      </w:r>
      <w:r>
        <w:rPr>
          <w:rFonts w:ascii="Google Sans Text" w:eastAsia="Google Sans Text" w:hAnsi="Google Sans Text" w:cs="Google Sans Text"/>
          <w:i/>
          <w:color w:val="1B1C1D"/>
        </w:rPr>
        <w:t>indefinidos ordinarios</w:t>
      </w:r>
      <w:r>
        <w:rPr>
          <w:rFonts w:ascii="Google Sans Text" w:eastAsia="Google Sans Text" w:hAnsi="Google Sans Text" w:cs="Google Sans Text"/>
          <w:color w:val="1B1C1D"/>
        </w:rPr>
        <w:t xml:space="preserve"> post-reforma.</w:t>
      </w:r>
      <w:r>
        <w:rPr>
          <w:rFonts w:ascii="Google Sans Text" w:eastAsia="Google Sans Text" w:hAnsi="Google Sans Text" w:cs="Google Sans Text"/>
          <w:color w:val="444746"/>
          <w:sz w:val="24"/>
          <w:szCs w:val="24"/>
          <w:vertAlign w:val="superscript"/>
        </w:rPr>
        <w:t>29</w:t>
      </w:r>
    </w:p>
    <w:p w14:paraId="62CA2B4D"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Esta tesis es corroborada de forma independiente por el Banco de España (2023). En un boletín económico, los investigadores señalan que los contratos Fijos-Discontinuos "difieren de los indefinidos convencionales en que muestran </w:t>
      </w:r>
      <w:r>
        <w:rPr>
          <w:rFonts w:ascii="Google Sans Text" w:eastAsia="Google Sans Text" w:hAnsi="Google Sans Text" w:cs="Google Sans Text"/>
          <w:b/>
          <w:color w:val="1B1C1D"/>
        </w:rPr>
        <w:t>mayor probabilidad de salida al desempleo</w:t>
      </w:r>
      <w:r>
        <w:rPr>
          <w:rFonts w:ascii="Google Sans Text" w:eastAsia="Google Sans Text" w:hAnsi="Google Sans Text" w:cs="Google Sans Text"/>
          <w:color w:val="1B1C1D"/>
        </w:rPr>
        <w:t xml:space="preserve"> —con más intensidad aún tras la última reforma laboral— y, por tanto, de </w:t>
      </w:r>
      <w:r>
        <w:rPr>
          <w:rFonts w:ascii="Google Sans Text" w:eastAsia="Google Sans Text" w:hAnsi="Google Sans Text" w:cs="Google Sans Text"/>
          <w:b/>
          <w:color w:val="1B1C1D"/>
        </w:rPr>
        <w:t>mayor inestabilidad</w:t>
      </w:r>
      <w:r>
        <w:rPr>
          <w:rFonts w:ascii="Google Sans Text" w:eastAsia="Google Sans Text" w:hAnsi="Google Sans Text" w:cs="Google Sans Text"/>
          <w:color w:val="1B1C1D"/>
        </w:rPr>
        <w:t xml:space="preserve"> en la renta salarial".</w:t>
      </w:r>
      <w:r>
        <w:rPr>
          <w:rFonts w:ascii="Google Sans Text" w:eastAsia="Google Sans Text" w:hAnsi="Google Sans Text" w:cs="Google Sans Text"/>
          <w:color w:val="444746"/>
          <w:sz w:val="24"/>
          <w:szCs w:val="24"/>
          <w:vertAlign w:val="superscript"/>
        </w:rPr>
        <w:t>24</w:t>
      </w:r>
    </w:p>
    <w:p w14:paraId="00EC1A58"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El FMI (2024), en su evaluación preliminar, se alinea con esta cautela. Citando a Conde Ruiz et al. </w:t>
      </w:r>
      <w:r>
        <w:rPr>
          <w:rFonts w:ascii="Google Sans Text" w:eastAsia="Google Sans Text" w:hAnsi="Google Sans Text" w:cs="Google Sans Text"/>
          <w:color w:val="444746"/>
          <w:sz w:val="24"/>
          <w:szCs w:val="24"/>
          <w:vertAlign w:val="superscript"/>
        </w:rPr>
        <w:t>25</w:t>
      </w:r>
      <w:r>
        <w:rPr>
          <w:rFonts w:ascii="Google Sans Text" w:eastAsia="Google Sans Text" w:hAnsi="Google Sans Text" w:cs="Google Sans Text"/>
          <w:color w:val="1B1C1D"/>
        </w:rPr>
        <w:t xml:space="preserve">, concluye que, si bien la reforma redujo la tasa de temporalidad, su "efecto más amplio sobre la </w:t>
      </w:r>
      <w:r>
        <w:rPr>
          <w:rFonts w:ascii="Google Sans Text" w:eastAsia="Google Sans Text" w:hAnsi="Google Sans Text" w:cs="Google Sans Text"/>
          <w:b/>
          <w:color w:val="1B1C1D"/>
        </w:rPr>
        <w:t>estabilidad general del empleo sigue sin estar claro</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25</w:t>
      </w:r>
    </w:p>
    <w:p w14:paraId="7CBB4E9F"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reforma de 2021, por tanto, no parece haber acabado con la dualidad, sino que la ha transformado. Se ha pasado de una dualidad </w:t>
      </w:r>
      <w:r>
        <w:rPr>
          <w:rFonts w:ascii="Google Sans Text" w:eastAsia="Google Sans Text" w:hAnsi="Google Sans Text" w:cs="Google Sans Text"/>
          <w:i/>
          <w:color w:val="1B1C1D"/>
        </w:rPr>
        <w:t>Legal</w:t>
      </w:r>
      <w:r>
        <w:rPr>
          <w:rFonts w:ascii="Google Sans Text" w:eastAsia="Google Sans Text" w:hAnsi="Google Sans Text" w:cs="Google Sans Text"/>
          <w:color w:val="1B1C1D"/>
        </w:rPr>
        <w:t xml:space="preserve"> (Indefinido vs. Temporal) a una nueva dualidad </w:t>
      </w:r>
      <w:r>
        <w:rPr>
          <w:rFonts w:ascii="Google Sans Text" w:eastAsia="Google Sans Text" w:hAnsi="Google Sans Text" w:cs="Google Sans Text"/>
          <w:i/>
          <w:color w:val="1B1C1D"/>
        </w:rPr>
        <w:t>Empírica</w:t>
      </w:r>
      <w:r>
        <w:rPr>
          <w:rFonts w:ascii="Google Sans Text" w:eastAsia="Google Sans Text" w:hAnsi="Google Sans Text" w:cs="Google Sans Text"/>
          <w:color w:val="1B1C1D"/>
        </w:rPr>
        <w:t xml:space="preserve"> (Indefinidos Ordinarios Estables vs. Indefinidos Fijos-Discontinuos Inestables). La flexibilidad que las empresas necesitan y que antes obtenían del temporal, ahora la obtienen del FD.</w:t>
      </w:r>
    </w:p>
    <w:p w14:paraId="38C433DB"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Una consecuencia profunda, señalada por Conde Ruiz et al. (2023), es que la "tasa de temporalidad" —el indicador que ha medido el fracaso del mercado laboral español durante 40 años— es ahora un indicador </w:t>
      </w:r>
      <w:r>
        <w:rPr>
          <w:rFonts w:ascii="Google Sans Text" w:eastAsia="Google Sans Text" w:hAnsi="Google Sans Text" w:cs="Google Sans Text"/>
          <w:i/>
          <w:color w:val="1B1C1D"/>
        </w:rPr>
        <w:t>obsoleto</w:t>
      </w:r>
      <w:r>
        <w:rPr>
          <w:rFonts w:ascii="Google Sans Text" w:eastAsia="Google Sans Text" w:hAnsi="Google Sans Text" w:cs="Google Sans Text"/>
          <w:color w:val="1B1C1D"/>
        </w:rPr>
        <w:t xml:space="preserve"> y "probablemente no sea la mejor herramienta" para medir la precariedad real del mercado.</w:t>
      </w:r>
      <w:r>
        <w:rPr>
          <w:rFonts w:ascii="Google Sans Text" w:eastAsia="Google Sans Text" w:hAnsi="Google Sans Text" w:cs="Google Sans Text"/>
          <w:color w:val="444746"/>
          <w:sz w:val="24"/>
          <w:szCs w:val="24"/>
          <w:vertAlign w:val="superscript"/>
        </w:rPr>
        <w:t>29</w:t>
      </w:r>
    </w:p>
    <w:p w14:paraId="5A0634F2" w14:textId="77777777" w:rsidR="003F6AFA" w:rsidRDefault="003F6AFA">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F6AFA" w14:paraId="0EC7188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2A0054"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Tabla 3: Evaluación Empírica de la Reforma Laboral de 2021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5B7D3E" w14:textId="77777777" w:rsidR="003F6AFA" w:rsidRDefault="003F6AFA">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E08E7D" w14:textId="77777777" w:rsidR="003F6AFA" w:rsidRDefault="003F6AFA">
            <w:pPr>
              <w:pBdr>
                <w:top w:val="nil"/>
                <w:left w:val="nil"/>
                <w:bottom w:val="nil"/>
                <w:right w:val="nil"/>
                <w:between w:val="nil"/>
              </w:pBdr>
              <w:spacing w:line="276" w:lineRule="auto"/>
              <w:rPr>
                <w:rFonts w:ascii="Google Sans Text" w:eastAsia="Google Sans Text" w:hAnsi="Google Sans Text" w:cs="Google Sans Text"/>
                <w:b/>
                <w:color w:val="1B1C1D"/>
              </w:rPr>
            </w:pPr>
          </w:p>
        </w:tc>
      </w:tr>
      <w:tr w:rsidR="003F6AFA" w14:paraId="62430BB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046842"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Objetivo / Variable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205975"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Resultado Empírico y Matices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14C129"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Citas Clave</w:t>
            </w:r>
          </w:p>
        </w:tc>
      </w:tr>
      <w:tr w:rsidR="003F6AFA" w14:paraId="44528E3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24A8A5"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Tasa de Temporalidad "Contractual"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669AE2"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Éxito Rotundo.</w:t>
            </w:r>
            <w:r>
              <w:rPr>
                <w:rFonts w:ascii="Google Sans Text" w:eastAsia="Google Sans Text" w:hAnsi="Google Sans Text" w:cs="Google Sans Text"/>
                <w:color w:val="1B1C1D"/>
              </w:rPr>
              <w:t xml:space="preserve"> Caída histórica de la tasa (ej. de 29.7% a 12.7%). Corrección de la anomalía estadística española.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509AE2" w14:textId="77777777" w:rsidR="003F6AFA"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CaixaBank </w:t>
            </w:r>
            <w:proofErr w:type="spellStart"/>
            <w:r>
              <w:rPr>
                <w:rFonts w:ascii="Google Sans Text" w:eastAsia="Google Sans Text" w:hAnsi="Google Sans Text" w:cs="Google Sans Text"/>
                <w:color w:val="1B1C1D"/>
              </w:rPr>
              <w:t>Research</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23</w:t>
            </w:r>
            <w:r>
              <w:rPr>
                <w:rFonts w:ascii="Google Sans Text" w:eastAsia="Google Sans Text" w:hAnsi="Google Sans Text" w:cs="Google Sans Text"/>
                <w:color w:val="1B1C1D"/>
              </w:rPr>
              <w:t xml:space="preserve">; FMI </w:t>
            </w:r>
            <w:r>
              <w:rPr>
                <w:rFonts w:ascii="Google Sans Text" w:eastAsia="Google Sans Text" w:hAnsi="Google Sans Text" w:cs="Google Sans Text"/>
                <w:color w:val="444746"/>
                <w:sz w:val="24"/>
                <w:szCs w:val="24"/>
                <w:vertAlign w:val="superscript"/>
              </w:rPr>
              <w:t>25</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BdE</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24</w:t>
            </w:r>
          </w:p>
        </w:tc>
      </w:tr>
      <w:tr w:rsidR="003F6AFA" w14:paraId="6459BCE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6C413"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Uso del Contrato Fijo-Discontinuo (FD)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CDC8E"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Explosión.</w:t>
            </w:r>
            <w:r>
              <w:rPr>
                <w:rFonts w:ascii="Google Sans Text" w:eastAsia="Google Sans Text" w:hAnsi="Google Sans Text" w:cs="Google Sans Text"/>
                <w:color w:val="1B1C1D"/>
              </w:rPr>
              <w:t xml:space="preserve"> El stock de trabajadores FD se duplicó (de 650k a 1.42M). Se convierte en el nuevo mecanismo de flexibilidad, canalizando a jóvenes y trabajos de alta rotación.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5EA48" w14:textId="77777777" w:rsidR="003F6AFA"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Felgueroso (</w:t>
            </w:r>
            <w:proofErr w:type="spellStart"/>
            <w:r>
              <w:rPr>
                <w:rFonts w:ascii="Google Sans Text" w:eastAsia="Google Sans Text" w:hAnsi="Google Sans Text" w:cs="Google Sans Text"/>
                <w:color w:val="1B1C1D"/>
              </w:rPr>
              <w:t>Fedea</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28</w:t>
            </w:r>
            <w:r>
              <w:rPr>
                <w:rFonts w:ascii="Google Sans Text" w:eastAsia="Google Sans Text" w:hAnsi="Google Sans Text" w:cs="Google Sans Text"/>
                <w:color w:val="1B1C1D"/>
              </w:rPr>
              <w:t xml:space="preserve">; BBVA </w:t>
            </w:r>
            <w:proofErr w:type="spellStart"/>
            <w:r>
              <w:rPr>
                <w:rFonts w:ascii="Google Sans Text" w:eastAsia="Google Sans Text" w:hAnsi="Google Sans Text" w:cs="Google Sans Text"/>
                <w:color w:val="1B1C1D"/>
              </w:rPr>
              <w:t>Research</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27</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BdE</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24</w:t>
            </w:r>
          </w:p>
        </w:tc>
      </w:tr>
      <w:tr w:rsidR="003F6AFA" w14:paraId="32EFDBF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B191BC"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Estabilidad "Empírica" (Real)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30B7A1"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Efecto Nulo o No Concluyente.</w:t>
            </w:r>
            <w:r>
              <w:rPr>
                <w:rFonts w:ascii="Google Sans Text" w:eastAsia="Google Sans Text" w:hAnsi="Google Sans Text" w:cs="Google Sans Text"/>
                <w:color w:val="1B1C1D"/>
              </w:rPr>
              <w:t xml:space="preserve"> Los FD muestran una "mayor probabilidad de salida al desempleo" y "mayor inestabilidad" que los indefinidos ordinarios.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18FA1" w14:textId="77777777" w:rsidR="003F6AFA"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Banco de España </w:t>
            </w:r>
            <w:r>
              <w:rPr>
                <w:rFonts w:ascii="Google Sans Text" w:eastAsia="Google Sans Text" w:hAnsi="Google Sans Text" w:cs="Google Sans Text"/>
                <w:color w:val="444746"/>
                <w:sz w:val="24"/>
                <w:szCs w:val="24"/>
                <w:vertAlign w:val="superscript"/>
              </w:rPr>
              <w:t>24</w:t>
            </w:r>
          </w:p>
        </w:tc>
      </w:tr>
      <w:tr w:rsidR="003F6AFA" w14:paraId="716EAEA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D59F31"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Estabilidad General (Flujos de Altas/Bajas)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8F132" w14:textId="77777777" w:rsidR="003F6AFA"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Efecto Nulo.</w:t>
            </w:r>
            <w:r>
              <w:rPr>
                <w:rFonts w:ascii="Google Sans Text" w:eastAsia="Google Sans Text" w:hAnsi="Google Sans Text" w:cs="Google Sans Text"/>
                <w:color w:val="1B1C1D"/>
              </w:rPr>
              <w:t xml:space="preserve"> Los flujos diarios de altas y bajas "replican casi exactamente la situación anterior". La inestabilidad real persiste, aunque con otra etiqueta contractual.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59CF33" w14:textId="77777777" w:rsidR="003F6AFA"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Conde Ruiz et al. (</w:t>
            </w:r>
            <w:proofErr w:type="spellStart"/>
            <w:r>
              <w:rPr>
                <w:rFonts w:ascii="Google Sans Text" w:eastAsia="Google Sans Text" w:hAnsi="Google Sans Text" w:cs="Google Sans Text"/>
                <w:color w:val="1B1C1D"/>
              </w:rPr>
              <w:t>Fedea</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xml:space="preserve">; FMI </w:t>
            </w:r>
            <w:r>
              <w:rPr>
                <w:rFonts w:ascii="Google Sans Text" w:eastAsia="Google Sans Text" w:hAnsi="Google Sans Text" w:cs="Google Sans Text"/>
                <w:color w:val="444746"/>
                <w:sz w:val="24"/>
                <w:szCs w:val="24"/>
                <w:vertAlign w:val="superscript"/>
              </w:rPr>
              <w:t>25</w:t>
            </w:r>
          </w:p>
        </w:tc>
      </w:tr>
    </w:tbl>
    <w:p w14:paraId="3E2FB97A" w14:textId="77777777" w:rsidR="003F6AFA" w:rsidRDefault="003F6AFA">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47EB51C4" w14:textId="77777777" w:rsidR="003F6AFA"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Conclusiones Generales de la Evidencia Empírica</w:t>
      </w:r>
    </w:p>
    <w:p w14:paraId="29AC9AE1" w14:textId="77777777" w:rsidR="003F6AFA" w:rsidRDefault="003F6AFA">
      <w:pPr>
        <w:pBdr>
          <w:top w:val="nil"/>
          <w:left w:val="nil"/>
          <w:bottom w:val="nil"/>
          <w:right w:val="nil"/>
          <w:between w:val="nil"/>
        </w:pBdr>
        <w:spacing w:after="240" w:line="275" w:lineRule="auto"/>
        <w:rPr>
          <w:rFonts w:ascii="Google Sans" w:eastAsia="Google Sans" w:hAnsi="Google Sans" w:cs="Google Sans"/>
          <w:color w:val="1B1C1D"/>
        </w:rPr>
      </w:pPr>
    </w:p>
    <w:p w14:paraId="5DBE78F0"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análisis de la evidencia empírica sobre las políticas de flexibilidad laboral, tanto a nivel internacional como en el caso de las reformas españolas de 2012 y 2021, permite extraer conclusiones complejas y matizadas.</w:t>
      </w:r>
    </w:p>
    <w:p w14:paraId="6F3268CD"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1. El Contexto Internacional:</w:t>
      </w:r>
      <w:r>
        <w:rPr>
          <w:rFonts w:ascii="Google Sans Text" w:eastAsia="Google Sans Text" w:hAnsi="Google Sans Text" w:cs="Google Sans Text"/>
          <w:color w:val="1B1C1D"/>
        </w:rPr>
        <w:t xml:space="preserve"> La evidencia empírica global es clara en dos puntos que enmarcan el problema español. Primero, no hay pruebas concluyentes de que una mayor rigidez (EPL) afecte significativamente el </w:t>
      </w:r>
      <w:r>
        <w:rPr>
          <w:rFonts w:ascii="Google Sans Text" w:eastAsia="Google Sans Text" w:hAnsi="Google Sans Text" w:cs="Google Sans Text"/>
          <w:i/>
          <w:color w:val="1B1C1D"/>
        </w:rPr>
        <w:t>nivel</w:t>
      </w:r>
      <w:r>
        <w:rPr>
          <w:rFonts w:ascii="Google Sans Text" w:eastAsia="Google Sans Text" w:hAnsi="Google Sans Text" w:cs="Google Sans Text"/>
          <w:color w:val="1B1C1D"/>
        </w:rPr>
        <w:t xml:space="preserve"> agregado de desempleo, pero sí hay pruebas robustas de que perjudica el crecimiento de la </w:t>
      </w:r>
      <w:r>
        <w:rPr>
          <w:rFonts w:ascii="Google Sans Text" w:eastAsia="Google Sans Text" w:hAnsi="Google Sans Text" w:cs="Google Sans Text"/>
          <w:i/>
          <w:color w:val="1B1C1D"/>
        </w:rPr>
        <w:t>productividad</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Segundo, las reformas </w:t>
      </w:r>
      <w:r>
        <w:rPr>
          <w:rFonts w:ascii="Google Sans Text" w:eastAsia="Google Sans Text" w:hAnsi="Google Sans Text" w:cs="Google Sans Text"/>
          <w:i/>
          <w:color w:val="1B1C1D"/>
        </w:rPr>
        <w:t>parciales</w:t>
      </w:r>
      <w:r>
        <w:rPr>
          <w:rFonts w:ascii="Google Sans Text" w:eastAsia="Google Sans Text" w:hAnsi="Google Sans Text" w:cs="Google Sans Text"/>
          <w:color w:val="1B1C1D"/>
        </w:rPr>
        <w:t xml:space="preserve"> que solo liberalizan los contratos temporales —como la española de 1984— son una receta empíricamente demostrada para crear </w:t>
      </w:r>
      <w:r>
        <w:rPr>
          <w:rFonts w:ascii="Google Sans Text" w:eastAsia="Google Sans Text" w:hAnsi="Google Sans Text" w:cs="Google Sans Text"/>
          <w:i/>
          <w:color w:val="1B1C1D"/>
        </w:rPr>
        <w:t>dualidad</w:t>
      </w:r>
      <w:r>
        <w:rPr>
          <w:rFonts w:ascii="Google Sans Text" w:eastAsia="Google Sans Text" w:hAnsi="Google Sans Text" w:cs="Google Sans Text"/>
          <w:color w:val="1B1C1D"/>
        </w:rPr>
        <w:t xml:space="preserve"> y estancamiento de la productividad.</w:t>
      </w:r>
      <w:r>
        <w:rPr>
          <w:rFonts w:ascii="Google Sans Text" w:eastAsia="Google Sans Text" w:hAnsi="Google Sans Text" w:cs="Google Sans Text"/>
          <w:color w:val="444746"/>
          <w:sz w:val="24"/>
          <w:szCs w:val="24"/>
          <w:vertAlign w:val="superscript"/>
        </w:rPr>
        <w:t>11</w:t>
      </w:r>
    </w:p>
    <w:p w14:paraId="7BEB6399" w14:textId="77777777" w:rsidR="003F6AFA"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2. La Lección de 2012:</w:t>
      </w:r>
      <w:r>
        <w:rPr>
          <w:rFonts w:ascii="Google Sans Text" w:eastAsia="Google Sans Text" w:hAnsi="Google Sans Text" w:cs="Google Sans Text"/>
          <w:color w:val="1B1C1D"/>
        </w:rPr>
        <w:t xml:space="preserve"> La reforma de 2012 fue un intento de resolver el problema de la productividad fomentando la flexibilidad </w:t>
      </w:r>
      <w:r>
        <w:rPr>
          <w:rFonts w:ascii="Google Sans Text" w:eastAsia="Google Sans Text" w:hAnsi="Google Sans Text" w:cs="Google Sans Text"/>
          <w:i/>
          <w:color w:val="1B1C1D"/>
        </w:rPr>
        <w:t>interna</w:t>
      </w:r>
      <w:r>
        <w:rPr>
          <w:rFonts w:ascii="Google Sans Text" w:eastAsia="Google Sans Text" w:hAnsi="Google Sans Text" w:cs="Google Sans Text"/>
          <w:color w:val="1B1C1D"/>
        </w:rPr>
        <w:t xml:space="preserve">. La evidencia muestra que </w:t>
      </w:r>
      <w:r>
        <w:rPr>
          <w:rFonts w:ascii="Google Sans Text" w:eastAsia="Google Sans Text" w:hAnsi="Google Sans Text" w:cs="Google Sans Text"/>
          <w:i/>
          <w:color w:val="1B1C1D"/>
        </w:rPr>
        <w:t>logró</w:t>
      </w:r>
      <w:r>
        <w:rPr>
          <w:rFonts w:ascii="Google Sans Text" w:eastAsia="Google Sans Text" w:hAnsi="Google Sans Text" w:cs="Google Sans Text"/>
          <w:color w:val="1B1C1D"/>
        </w:rPr>
        <w:t xml:space="preserve"> su objetivo de flexibilidad salarial (devaluación interna), lo que ayudó a crear empleo tras la crisis financiera.</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Sin embargo, </w:t>
      </w:r>
      <w:r>
        <w:rPr>
          <w:rFonts w:ascii="Google Sans Text" w:eastAsia="Google Sans Text" w:hAnsi="Google Sans Text" w:cs="Google Sans Text"/>
          <w:i/>
          <w:color w:val="1B1C1D"/>
        </w:rPr>
        <w:t>fracasó</w:t>
      </w:r>
      <w:r>
        <w:rPr>
          <w:rFonts w:ascii="Google Sans Text" w:eastAsia="Google Sans Text" w:hAnsi="Google Sans Text" w:cs="Google Sans Text"/>
          <w:color w:val="1B1C1D"/>
        </w:rPr>
        <w:t xml:space="preserve"> en su objetivo de reducir la dualidad </w:t>
      </w:r>
      <w:r>
        <w:rPr>
          <w:rFonts w:ascii="Google Sans Text" w:eastAsia="Google Sans Text" w:hAnsi="Google Sans Text" w:cs="Google Sans Text"/>
          <w:color w:val="444746"/>
          <w:sz w:val="24"/>
          <w:szCs w:val="24"/>
          <w:vertAlign w:val="superscript"/>
        </w:rPr>
        <w:t>20</w:t>
      </w:r>
      <w:r>
        <w:rPr>
          <w:rFonts w:ascii="Google Sans Text" w:eastAsia="Google Sans Text" w:hAnsi="Google Sans Text" w:cs="Google Sans Text"/>
          <w:color w:val="1B1C1D"/>
        </w:rPr>
        <w:t xml:space="preserve"> debido a la "dependencia de la senda": la cultura empresarial de usar el "colchón" temporal fue más fuerte que los nuevos incentivos para el ajuste interno.</w:t>
      </w:r>
      <w:r>
        <w:rPr>
          <w:rFonts w:ascii="Google Sans Text" w:eastAsia="Google Sans Text" w:hAnsi="Google Sans Text" w:cs="Google Sans Text"/>
          <w:color w:val="444746"/>
          <w:sz w:val="24"/>
          <w:szCs w:val="24"/>
          <w:vertAlign w:val="superscript"/>
        </w:rPr>
        <w:t>21</w:t>
      </w:r>
      <w:r>
        <w:rPr>
          <w:rFonts w:ascii="Google Sans Text" w:eastAsia="Google Sans Text" w:hAnsi="Google Sans Text" w:cs="Google Sans Text"/>
          <w:color w:val="1B1C1D"/>
        </w:rPr>
        <w:t xml:space="preserve"> Además, la recuperación que generó fue a costa de la </w:t>
      </w:r>
      <w:r>
        <w:rPr>
          <w:rFonts w:ascii="Google Sans Text" w:eastAsia="Google Sans Text" w:hAnsi="Google Sans Text" w:cs="Google Sans Text"/>
          <w:i/>
          <w:color w:val="1B1C1D"/>
        </w:rPr>
        <w:t>calidad</w:t>
      </w:r>
      <w:r>
        <w:rPr>
          <w:rFonts w:ascii="Google Sans Text" w:eastAsia="Google Sans Text" w:hAnsi="Google Sans Text" w:cs="Google Sans Text"/>
          <w:color w:val="1B1C1D"/>
        </w:rPr>
        <w:t xml:space="preserve"> del empleo, aumentando la pobreza laboral.</w:t>
      </w:r>
      <w:r>
        <w:rPr>
          <w:rFonts w:ascii="Google Sans Text" w:eastAsia="Google Sans Text" w:hAnsi="Google Sans Text" w:cs="Google Sans Text"/>
          <w:color w:val="444746"/>
          <w:sz w:val="24"/>
          <w:szCs w:val="24"/>
          <w:vertAlign w:val="superscript"/>
        </w:rPr>
        <w:t>18</w:t>
      </w:r>
    </w:p>
    <w:p w14:paraId="1058F0C7" w14:textId="77777777" w:rsidR="003F6AFA" w:rsidRDefault="00000000">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3. La Lección de 2021:</w:t>
      </w:r>
      <w:r>
        <w:rPr>
          <w:rFonts w:ascii="Google Sans Text" w:eastAsia="Google Sans Text" w:hAnsi="Google Sans Text" w:cs="Google Sans Text"/>
          <w:color w:val="1B1C1D"/>
        </w:rPr>
        <w:t xml:space="preserve"> La reforma de 2021 fue una respuesta directa a los fracasos de 2012 (alta dualidad y baja calidad). Su estrategia fue opuesta: en lugar de </w:t>
      </w:r>
      <w:r>
        <w:rPr>
          <w:rFonts w:ascii="Google Sans Text" w:eastAsia="Google Sans Text" w:hAnsi="Google Sans Text" w:cs="Google Sans Text"/>
          <w:i/>
          <w:color w:val="1B1C1D"/>
        </w:rPr>
        <w:t>incentivar</w:t>
      </w:r>
      <w:r>
        <w:rPr>
          <w:rFonts w:ascii="Google Sans Text" w:eastAsia="Google Sans Text" w:hAnsi="Google Sans Text" w:cs="Google Sans Text"/>
          <w:color w:val="1B1C1D"/>
        </w:rPr>
        <w:t xml:space="preserve">, optó por </w:t>
      </w:r>
      <w:r>
        <w:rPr>
          <w:rFonts w:ascii="Google Sans Text" w:eastAsia="Google Sans Text" w:hAnsi="Google Sans Text" w:cs="Google Sans Text"/>
          <w:i/>
          <w:color w:val="1B1C1D"/>
        </w:rPr>
        <w:t>prohibir</w:t>
      </w:r>
      <w:r>
        <w:rPr>
          <w:rFonts w:ascii="Google Sans Text" w:eastAsia="Google Sans Text" w:hAnsi="Google Sans Text" w:cs="Google Sans Text"/>
          <w:color w:val="1B1C1D"/>
        </w:rPr>
        <w:t xml:space="preserve"> la temporalidad. La evidencia empírica demuestra un éxito rotundo en </w:t>
      </w:r>
      <w:r>
        <w:rPr>
          <w:rFonts w:ascii="Google Sans Text" w:eastAsia="Google Sans Text" w:hAnsi="Google Sans Text" w:cs="Google Sans Text"/>
          <w:i/>
          <w:color w:val="1B1C1D"/>
        </w:rPr>
        <w:t>eliminar la temporalidad contractual</w:t>
      </w:r>
      <w:r>
        <w:rPr>
          <w:rFonts w:ascii="Google Sans Text" w:eastAsia="Google Sans Text" w:hAnsi="Google Sans Text" w:cs="Google Sans Text"/>
          <w:color w:val="1B1C1D"/>
        </w:rPr>
        <w:t>, corrigiendo la anomalía estadística de España.</w:t>
      </w:r>
      <w:r>
        <w:rPr>
          <w:rFonts w:ascii="Google Sans Text" w:eastAsia="Google Sans Text" w:hAnsi="Google Sans Text" w:cs="Google Sans Text"/>
          <w:color w:val="444746"/>
          <w:sz w:val="24"/>
          <w:szCs w:val="24"/>
          <w:vertAlign w:val="superscript"/>
        </w:rPr>
        <w:t>23</w:t>
      </w:r>
      <w:r>
        <w:rPr>
          <w:rFonts w:ascii="Google Sans Text" w:eastAsia="Google Sans Text" w:hAnsi="Google Sans Text" w:cs="Google Sans Text"/>
          <w:color w:val="1B1C1D"/>
        </w:rPr>
        <w:t xml:space="preserve"> Sin embargo, la evidencia más sofisticada (del Banco de España y </w:t>
      </w:r>
      <w:proofErr w:type="spellStart"/>
      <w:r>
        <w:rPr>
          <w:rFonts w:ascii="Google Sans Text" w:eastAsia="Google Sans Text" w:hAnsi="Google Sans Text" w:cs="Google Sans Text"/>
          <w:color w:val="1B1C1D"/>
        </w:rPr>
        <w:t>Fedea</w:t>
      </w:r>
      <w:proofErr w:type="spellEnd"/>
      <w:r>
        <w:rPr>
          <w:rFonts w:ascii="Google Sans Text" w:eastAsia="Google Sans Text" w:hAnsi="Google Sans Text" w:cs="Google Sans Text"/>
          <w:color w:val="1B1C1D"/>
        </w:rPr>
        <w:t xml:space="preserve">) demuestra que la flexibilidad que la economía demanda se ha </w:t>
      </w:r>
      <w:r>
        <w:rPr>
          <w:rFonts w:ascii="Google Sans Text" w:eastAsia="Google Sans Text" w:hAnsi="Google Sans Text" w:cs="Google Sans Text"/>
          <w:i/>
          <w:color w:val="1B1C1D"/>
        </w:rPr>
        <w:t>canalizado</w:t>
      </w:r>
      <w:r>
        <w:rPr>
          <w:rFonts w:ascii="Google Sans Text" w:eastAsia="Google Sans Text" w:hAnsi="Google Sans Text" w:cs="Google Sans Text"/>
          <w:color w:val="1B1C1D"/>
        </w:rPr>
        <w:t xml:space="preserve"> masivamente al contrato Fijo-Discontinuo.</w:t>
      </w:r>
      <w:r>
        <w:rPr>
          <w:rFonts w:ascii="Google Sans Text" w:eastAsia="Google Sans Text" w:hAnsi="Google Sans Text" w:cs="Google Sans Text"/>
          <w:color w:val="444746"/>
          <w:sz w:val="24"/>
          <w:szCs w:val="24"/>
          <w:vertAlign w:val="superscript"/>
        </w:rPr>
        <w:t>28</w:t>
      </w:r>
      <w:r>
        <w:rPr>
          <w:rFonts w:ascii="Google Sans Text" w:eastAsia="Google Sans Text" w:hAnsi="Google Sans Text" w:cs="Google Sans Text"/>
          <w:color w:val="1B1C1D"/>
        </w:rPr>
        <w:t xml:space="preserve"> El resultado es que la </w:t>
      </w:r>
      <w:r>
        <w:rPr>
          <w:rFonts w:ascii="Google Sans Text" w:eastAsia="Google Sans Text" w:hAnsi="Google Sans Text" w:cs="Google Sans Text"/>
          <w:i/>
          <w:color w:val="1B1C1D"/>
        </w:rPr>
        <w:t>inestabilidad empírica</w:t>
      </w:r>
      <w:r>
        <w:rPr>
          <w:rFonts w:ascii="Google Sans Text" w:eastAsia="Google Sans Text" w:hAnsi="Google Sans Text" w:cs="Google Sans Text"/>
          <w:color w:val="1B1C1D"/>
        </w:rPr>
        <w:t xml:space="preserve"> (los flujos reales de trabajadores) persiste </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xml:space="preserve">, aunque ahora esté oculta bajo la etiqueta de "indefinido". La reforma ha resuelto la </w:t>
      </w:r>
      <w:r>
        <w:rPr>
          <w:rFonts w:ascii="Google Sans Text" w:eastAsia="Google Sans Text" w:hAnsi="Google Sans Text" w:cs="Google Sans Text"/>
          <w:i/>
          <w:color w:val="1B1C1D"/>
        </w:rPr>
        <w:t>anomalía estadística</w:t>
      </w:r>
      <w:r>
        <w:rPr>
          <w:rFonts w:ascii="Google Sans Text" w:eastAsia="Google Sans Text" w:hAnsi="Google Sans Text" w:cs="Google Sans Text"/>
          <w:color w:val="1B1C1D"/>
        </w:rPr>
        <w:t xml:space="preserve">, pero la evidencia sugiere que ha creado una </w:t>
      </w:r>
      <w:r>
        <w:rPr>
          <w:rFonts w:ascii="Google Sans Text" w:eastAsia="Google Sans Text" w:hAnsi="Google Sans Text" w:cs="Google Sans Text"/>
          <w:i/>
          <w:color w:val="1B1C1D"/>
        </w:rPr>
        <w:t>nueva dualidad</w:t>
      </w:r>
      <w:r>
        <w:rPr>
          <w:rFonts w:ascii="Google Sans Text" w:eastAsia="Google Sans Text" w:hAnsi="Google Sans Text" w:cs="Google Sans Text"/>
          <w:color w:val="1B1C1D"/>
        </w:rPr>
        <w:t xml:space="preserve"> (Indefinido Ordinario vs. Indefinido Fijo-Discontinuo) </w:t>
      </w:r>
      <w:r>
        <w:rPr>
          <w:rFonts w:ascii="Google Sans Text" w:eastAsia="Google Sans Text" w:hAnsi="Google Sans Text" w:cs="Google Sans Text"/>
          <w:color w:val="444746"/>
          <w:sz w:val="24"/>
          <w:szCs w:val="24"/>
          <w:vertAlign w:val="superscript"/>
        </w:rPr>
        <w:t>24</w:t>
      </w:r>
      <w:r>
        <w:rPr>
          <w:rFonts w:ascii="Google Sans Text" w:eastAsia="Google Sans Text" w:hAnsi="Google Sans Text" w:cs="Google Sans Text"/>
          <w:color w:val="1B1C1D"/>
        </w:rPr>
        <w:t xml:space="preserve">, cuya naturaleza y consecuencias a largo plazo sobre la productividad y el capital humano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aún están por medirse.</w:t>
      </w:r>
    </w:p>
    <w:p w14:paraId="3F19B013" w14:textId="77777777" w:rsidR="003F6AFA" w:rsidRDefault="00000000">
      <w:pPr>
        <w:pStyle w:val="Ttulo4"/>
        <w:spacing w:before="0"/>
        <w:rPr>
          <w:rFonts w:ascii="Google Sans" w:eastAsia="Google Sans" w:hAnsi="Google Sans" w:cs="Google Sans"/>
        </w:rPr>
      </w:pPr>
      <w:r>
        <w:rPr>
          <w:rFonts w:ascii="Google Sans" w:eastAsia="Google Sans" w:hAnsi="Google Sans" w:cs="Google Sans"/>
        </w:rPr>
        <w:t>Obras citadas</w:t>
      </w:r>
    </w:p>
    <w:p w14:paraId="5784A211"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Tema 4 2025.pdf</w:t>
      </w:r>
    </w:p>
    <w:p w14:paraId="164A45DD"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Labor Market Flexibility and Unemployment: New Empirical Evidence of Static and Dynamic Effects - International Monetary Fund (IMF), fecha de acceso: noviembre 5, 2025, </w:t>
      </w:r>
      <w:hyperlink r:id="rId5">
        <w:r w:rsidRPr="00AF6BBE">
          <w:rPr>
            <w:rFonts w:ascii="Google Sans" w:eastAsia="Google Sans" w:hAnsi="Google Sans" w:cs="Google Sans"/>
            <w:color w:val="0000EE"/>
            <w:sz w:val="24"/>
            <w:szCs w:val="24"/>
            <w:u w:val="single"/>
            <w:lang w:val="en-US"/>
          </w:rPr>
          <w:t>https://www.imf.org/en/Publications/WP/Issues/2016/12/31/Labor-Market-Flexibility-and-Unemployment-New-Empirical-Evidence-of-Static-and-Dynamic-25753</w:t>
        </w:r>
      </w:hyperlink>
    </w:p>
    <w:p w14:paraId="3A66E10A"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Labor Market Flexibility and Unemployment: New Empirical ..., fecha de acceso: noviembre 5, 2025, </w:t>
      </w:r>
      <w:hyperlink r:id="rId6">
        <w:r w:rsidRPr="00AF6BBE">
          <w:rPr>
            <w:rFonts w:ascii="Google Sans" w:eastAsia="Google Sans" w:hAnsi="Google Sans" w:cs="Google Sans"/>
            <w:color w:val="0000EE"/>
            <w:sz w:val="24"/>
            <w:szCs w:val="24"/>
            <w:u w:val="single"/>
            <w:lang w:val="en-US"/>
          </w:rPr>
          <w:t>https://www.imf.org/external/pubs/ft/wp/2012/wp1264.pdf</w:t>
        </w:r>
      </w:hyperlink>
    </w:p>
    <w:p w14:paraId="17D4077D"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The consequences of labor market #exibility: Panel evidence based on survey data, fecha de acceso: noviembre 5, 2025, </w:t>
      </w:r>
      <w:hyperlink r:id="rId7">
        <w:r w:rsidRPr="00AF6BBE">
          <w:rPr>
            <w:rFonts w:ascii="Google Sans" w:eastAsia="Google Sans" w:hAnsi="Google Sans" w:cs="Google Sans"/>
            <w:color w:val="0000EE"/>
            <w:sz w:val="24"/>
            <w:szCs w:val="24"/>
            <w:u w:val="single"/>
            <w:lang w:val="en-US"/>
          </w:rPr>
          <w:t>https://www.hbs.edu/ris/download.aspx?name=The%20consequences%20of%20labor%20market%20flexibility.pdf</w:t>
        </w:r>
      </w:hyperlink>
    </w:p>
    <w:p w14:paraId="3C300B7F" w14:textId="77777777" w:rsidR="003F6AFA" w:rsidRDefault="00000000">
      <w:pPr>
        <w:numPr>
          <w:ilvl w:val="0"/>
          <w:numId w:val="7"/>
        </w:numPr>
        <w:pBdr>
          <w:top w:val="nil"/>
          <w:left w:val="nil"/>
          <w:bottom w:val="nil"/>
          <w:right w:val="nil"/>
          <w:between w:val="nil"/>
        </w:pBdr>
      </w:pPr>
      <w:proofErr w:type="spellStart"/>
      <w:r>
        <w:rPr>
          <w:rFonts w:ascii="Google Sans" w:eastAsia="Google Sans" w:hAnsi="Google Sans" w:cs="Google Sans"/>
          <w:sz w:val="24"/>
          <w:szCs w:val="24"/>
        </w:rPr>
        <w:t>Labour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Market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Flexibility</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Decent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Work</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Publications</w:t>
      </w:r>
      <w:proofErr w:type="spellEnd"/>
      <w:r>
        <w:rPr>
          <w:rFonts w:ascii="Google Sans" w:eastAsia="Google Sans" w:hAnsi="Google Sans" w:cs="Google Sans"/>
          <w:sz w:val="24"/>
          <w:szCs w:val="24"/>
        </w:rPr>
        <w:t xml:space="preserve"> | UN DESA ..., fecha de acceso: noviembre 5, 2025, </w:t>
      </w:r>
      <w:hyperlink r:id="rId8">
        <w:r>
          <w:rPr>
            <w:rFonts w:ascii="Google Sans" w:eastAsia="Google Sans" w:hAnsi="Google Sans" w:cs="Google Sans"/>
            <w:color w:val="0000EE"/>
            <w:sz w:val="24"/>
            <w:szCs w:val="24"/>
            <w:u w:val="single"/>
          </w:rPr>
          <w:t>https://desapublications.un.org/file/233/download</w:t>
        </w:r>
      </w:hyperlink>
    </w:p>
    <w:p w14:paraId="1A35CCBF"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A primer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2022 </w:t>
      </w:r>
      <w:proofErr w:type="spellStart"/>
      <w:r>
        <w:rPr>
          <w:rFonts w:ascii="Google Sans" w:eastAsia="Google Sans" w:hAnsi="Google Sans" w:cs="Google Sans"/>
          <w:sz w:val="24"/>
          <w:szCs w:val="24"/>
        </w:rPr>
        <w:t>Spanish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Labour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Reform</w:t>
      </w:r>
      <w:proofErr w:type="spellEnd"/>
      <w:r>
        <w:rPr>
          <w:rFonts w:ascii="Google Sans" w:eastAsia="Google Sans" w:hAnsi="Google Sans" w:cs="Google Sans"/>
          <w:sz w:val="24"/>
          <w:szCs w:val="24"/>
        </w:rPr>
        <w:t xml:space="preserve"> - Turia, fecha de acceso: noviembre 5, 2025, </w:t>
      </w:r>
      <w:hyperlink r:id="rId9">
        <w:r>
          <w:rPr>
            <w:rFonts w:ascii="Google Sans" w:eastAsia="Google Sans" w:hAnsi="Google Sans" w:cs="Google Sans"/>
            <w:color w:val="0000EE"/>
            <w:sz w:val="24"/>
            <w:szCs w:val="24"/>
            <w:u w:val="single"/>
          </w:rPr>
          <w:t>https://turia.uv.es/index.php/IREP/article/download/24764/20993/81682</w:t>
        </w:r>
      </w:hyperlink>
    </w:p>
    <w:p w14:paraId="1CFC8B6A"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The Consequences of Labor Market Flexibility: Panel Evidence ..., fecha de acceso: noviembre 5, 2025, </w:t>
      </w:r>
      <w:hyperlink r:id="rId10">
        <w:r w:rsidRPr="00AF6BBE">
          <w:rPr>
            <w:rFonts w:ascii="Google Sans" w:eastAsia="Google Sans" w:hAnsi="Google Sans" w:cs="Google Sans"/>
            <w:color w:val="0000EE"/>
            <w:sz w:val="24"/>
            <w:szCs w:val="24"/>
            <w:u w:val="single"/>
            <w:lang w:val="en-US"/>
          </w:rPr>
          <w:t>https://www.researchgate.net/publication/332957441_The_Consequences_of_Labor_Market_Flexibility_Panel_Evidence_Based_on_Survey_Data</w:t>
        </w:r>
      </w:hyperlink>
    </w:p>
    <w:p w14:paraId="1F7D14B0"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Employment protection - IZA World of Labor, fecha de acceso: noviembre 5, 2025, </w:t>
      </w:r>
      <w:hyperlink r:id="rId11">
        <w:r w:rsidRPr="00AF6BBE">
          <w:rPr>
            <w:rFonts w:ascii="Google Sans" w:eastAsia="Google Sans" w:hAnsi="Google Sans" w:cs="Google Sans"/>
            <w:color w:val="0000EE"/>
            <w:sz w:val="24"/>
            <w:szCs w:val="24"/>
            <w:u w:val="single"/>
            <w:lang w:val="en-US"/>
          </w:rPr>
          <w:t>https://wol.iza.org/articles/employment-protection/long</w:t>
        </w:r>
      </w:hyperlink>
    </w:p>
    <w:p w14:paraId="1C8F59BD"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Job Protection Legislation and Productivity Growth in OECD Countries | IZA, fecha de acceso: noviembre 5, 2025, </w:t>
      </w:r>
      <w:hyperlink r:id="rId12">
        <w:r w:rsidRPr="00AF6BBE">
          <w:rPr>
            <w:rFonts w:ascii="Google Sans" w:eastAsia="Google Sans" w:hAnsi="Google Sans" w:cs="Google Sans"/>
            <w:color w:val="0000EE"/>
            <w:sz w:val="24"/>
            <w:szCs w:val="24"/>
            <w:u w:val="single"/>
            <w:lang w:val="en-US"/>
          </w:rPr>
          <w:t>https://www.iza.org/publications/dp/3555/job-protection-legislation-and-productivity-growth-in-oecd-countries</w:t>
        </w:r>
      </w:hyperlink>
    </w:p>
    <w:p w14:paraId="42726B2C"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Employment Protection Legislation and Plant-Level Productivity in India - National Bureau of Economic Research, fecha de acceso: noviembre 5, 2025, </w:t>
      </w:r>
      <w:hyperlink r:id="rId13">
        <w:r w:rsidRPr="00AF6BBE">
          <w:rPr>
            <w:rFonts w:ascii="Google Sans" w:eastAsia="Google Sans" w:hAnsi="Google Sans" w:cs="Google Sans"/>
            <w:color w:val="0000EE"/>
            <w:sz w:val="24"/>
            <w:szCs w:val="24"/>
            <w:u w:val="single"/>
            <w:lang w:val="en-US"/>
          </w:rPr>
          <w:t>https://www.nber.org/system/files/working_papers/w17693/w17693.pdf</w:t>
        </w:r>
      </w:hyperlink>
    </w:p>
    <w:p w14:paraId="3A8643B6"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Labor Contracts and Flexibility: Evidence from a Labor Market Reform in Spain | Request PDF - ResearchGate, fecha de acceso: noviembre 5, 2025, </w:t>
      </w:r>
      <w:hyperlink r:id="rId14">
        <w:r w:rsidRPr="00AF6BBE">
          <w:rPr>
            <w:rFonts w:ascii="Google Sans" w:eastAsia="Google Sans" w:hAnsi="Google Sans" w:cs="Google Sans"/>
            <w:color w:val="0000EE"/>
            <w:sz w:val="24"/>
            <w:szCs w:val="24"/>
            <w:u w:val="single"/>
            <w:lang w:val="en-US"/>
          </w:rPr>
          <w:t>https://www.researchgate.net/publication/24000357_Labor_Contracts_and_Flexibility_Evidence_from_a_Labor_Market_Reform_in_Spain</w:t>
        </w:r>
      </w:hyperlink>
    </w:p>
    <w:p w14:paraId="4BE076F5"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LABOR CONTRACTS AND FLEXIBILITY: EVIDENCE FROM A LABOR MARKET REFORM IN SPAIN, fecha de acceso: noviembre 5, 2025, </w:t>
      </w:r>
      <w:hyperlink r:id="rId15">
        <w:r w:rsidRPr="00AF6BBE">
          <w:rPr>
            <w:rFonts w:ascii="Google Sans" w:eastAsia="Google Sans" w:hAnsi="Google Sans" w:cs="Google Sans"/>
            <w:color w:val="0000EE"/>
            <w:sz w:val="24"/>
            <w:szCs w:val="24"/>
            <w:u w:val="single"/>
            <w:lang w:val="en-US"/>
          </w:rPr>
          <w:t>http://aguirregabiria.net/wpapers/lmr_economic_inquiry.pdf</w:t>
        </w:r>
      </w:hyperlink>
    </w:p>
    <w:p w14:paraId="7D4066AC"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Los impactos de la reforma de 2012 en la negociación colectiva - Funcas, fecha de acceso: noviembre 5, 2025, </w:t>
      </w:r>
      <w:hyperlink r:id="rId16">
        <w:r>
          <w:rPr>
            <w:rFonts w:ascii="Google Sans" w:eastAsia="Google Sans" w:hAnsi="Google Sans" w:cs="Google Sans"/>
            <w:color w:val="0000EE"/>
            <w:sz w:val="24"/>
            <w:szCs w:val="24"/>
            <w:u w:val="single"/>
          </w:rPr>
          <w:t>https://www.funcas.es/wp-content/uploads/Migracion/Articulos/FUNCAS_CIE/246art04.pdf</w:t>
        </w:r>
      </w:hyperlink>
    </w:p>
    <w:p w14:paraId="2AAFD43D"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Boletín Económico. Febrero 2012. La relación entre el grado de centralización de la negociación colectiva y la tasa de dese - Banco de España, fecha de acceso: noviembre 5, 2025, </w:t>
      </w:r>
      <w:hyperlink r:id="rId17">
        <w:r>
          <w:rPr>
            <w:rFonts w:ascii="Google Sans" w:eastAsia="Google Sans" w:hAnsi="Google Sans" w:cs="Google Sans"/>
            <w:color w:val="0000EE"/>
            <w:sz w:val="24"/>
            <w:szCs w:val="24"/>
            <w:u w:val="single"/>
          </w:rPr>
          <w:t>https://www.bde.es/webbde/SES/Secciones/Publicaciones/InformesBoletinesRevistas/BoletinEconomico/12/Feb/Fich/art4.pdf</w:t>
        </w:r>
      </w:hyperlink>
    </w:p>
    <w:p w14:paraId="366DF676"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2015/04 Reforma laboral de 2012: ¿Qué sabemos sobre sus efectos y qué queda por hacer? - Documentos </w:t>
      </w:r>
      <w:proofErr w:type="spellStart"/>
      <w:r>
        <w:rPr>
          <w:rFonts w:ascii="Google Sans" w:eastAsia="Google Sans" w:hAnsi="Google Sans" w:cs="Google Sans"/>
          <w:sz w:val="24"/>
          <w:szCs w:val="24"/>
        </w:rPr>
        <w:t>Fedea</w:t>
      </w:r>
      <w:proofErr w:type="spellEnd"/>
      <w:r>
        <w:rPr>
          <w:rFonts w:ascii="Google Sans" w:eastAsia="Google Sans" w:hAnsi="Google Sans" w:cs="Google Sans"/>
          <w:sz w:val="24"/>
          <w:szCs w:val="24"/>
        </w:rPr>
        <w:t xml:space="preserve">, fecha de acceso: noviembre 5, 2025, </w:t>
      </w:r>
      <w:hyperlink r:id="rId18">
        <w:r>
          <w:rPr>
            <w:rFonts w:ascii="Google Sans" w:eastAsia="Google Sans" w:hAnsi="Google Sans" w:cs="Google Sans"/>
            <w:color w:val="0000EE"/>
            <w:sz w:val="24"/>
            <w:szCs w:val="24"/>
            <w:u w:val="single"/>
          </w:rPr>
          <w:t>https://documentos.fedea.net/pubs/fpp/2015/04/FPP2015-04.pdf</w:t>
        </w:r>
      </w:hyperlink>
    </w:p>
    <w:p w14:paraId="3394DF97"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IMPACTO DE LAS ÚLTIMAS REFORMAS LABORALES SOBRE LA ESTRUCTURA DE LA NEGOCIACIÓN COLECTIVA - Dialnet, fecha de acceso: noviembre 5, 2025, </w:t>
      </w:r>
      <w:hyperlink r:id="rId19">
        <w:r>
          <w:rPr>
            <w:rFonts w:ascii="Google Sans" w:eastAsia="Google Sans" w:hAnsi="Google Sans" w:cs="Google Sans"/>
            <w:color w:val="0000EE"/>
            <w:sz w:val="24"/>
            <w:szCs w:val="24"/>
            <w:u w:val="single"/>
          </w:rPr>
          <w:t>https://dialnet.unirioja.es/descarga/articulo/4507673.pdf</w:t>
        </w:r>
      </w:hyperlink>
    </w:p>
    <w:p w14:paraId="71526BB6"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The influence that Spanish Labour Reform represents on Madrid Stock Market: An empirical analysis - NIH, fecha de acceso: noviembre 5, 2025, </w:t>
      </w:r>
      <w:hyperlink r:id="rId20">
        <w:r w:rsidRPr="00AF6BBE">
          <w:rPr>
            <w:rFonts w:ascii="Google Sans" w:eastAsia="Google Sans" w:hAnsi="Google Sans" w:cs="Google Sans"/>
            <w:color w:val="0000EE"/>
            <w:sz w:val="24"/>
            <w:szCs w:val="24"/>
            <w:u w:val="single"/>
            <w:lang w:val="en-US"/>
          </w:rPr>
          <w:t>https://pmc.ncbi.nlm.nih.gov/articles/PMC8494317/</w:t>
        </w:r>
      </w:hyperlink>
    </w:p>
    <w:p w14:paraId="01FB0661"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Distributional Implications of Labor Market Reforms: Learning from ..., fecha de acceso: noviembre 5, 2025, </w:t>
      </w:r>
      <w:hyperlink r:id="rId21">
        <w:r w:rsidRPr="00AF6BBE">
          <w:rPr>
            <w:rFonts w:ascii="Google Sans" w:eastAsia="Google Sans" w:hAnsi="Google Sans" w:cs="Google Sans"/>
            <w:color w:val="0000EE"/>
            <w:sz w:val="24"/>
            <w:szCs w:val="24"/>
            <w:u w:val="single"/>
            <w:lang w:val="en-US"/>
          </w:rPr>
          <w:t>https://www.imf.org/-/media/Files/Publications/WP/2020/English/wpiea2020029-print-pdf.ashx</w:t>
        </w:r>
      </w:hyperlink>
    </w:p>
    <w:p w14:paraId="16306206"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Documento de Trabajo - BBVA </w:t>
      </w:r>
      <w:proofErr w:type="spellStart"/>
      <w:r>
        <w:rPr>
          <w:rFonts w:ascii="Google Sans" w:eastAsia="Google Sans" w:hAnsi="Google Sans" w:cs="Google Sans"/>
          <w:sz w:val="24"/>
          <w:szCs w:val="24"/>
        </w:rPr>
        <w:t>Research</w:t>
      </w:r>
      <w:proofErr w:type="spellEnd"/>
      <w:r>
        <w:rPr>
          <w:rFonts w:ascii="Google Sans" w:eastAsia="Google Sans" w:hAnsi="Google Sans" w:cs="Google Sans"/>
          <w:sz w:val="24"/>
          <w:szCs w:val="24"/>
        </w:rPr>
        <w:t xml:space="preserve">, fecha de acceso: noviembre 5, 2025, </w:t>
      </w:r>
      <w:hyperlink r:id="rId22">
        <w:r>
          <w:rPr>
            <w:rFonts w:ascii="Google Sans" w:eastAsia="Google Sans" w:hAnsi="Google Sans" w:cs="Google Sans"/>
            <w:color w:val="0000EE"/>
            <w:sz w:val="24"/>
            <w:szCs w:val="24"/>
            <w:u w:val="single"/>
          </w:rPr>
          <w:t>https://www.bbvaresearch.com/wp-content/uploads/2016/03/WP16-05.pdf</w:t>
        </w:r>
      </w:hyperlink>
    </w:p>
    <w:p w14:paraId="592D4F28"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efecto de la Reforma Laboral de 2012 sobre la dualidad y el ..., fecha de acceso: noviembre 5, 2025, </w:t>
      </w:r>
      <w:hyperlink r:id="rId23">
        <w:r>
          <w:rPr>
            <w:rFonts w:ascii="Google Sans" w:eastAsia="Google Sans" w:hAnsi="Google Sans" w:cs="Google Sans"/>
            <w:color w:val="0000EE"/>
            <w:sz w:val="24"/>
            <w:szCs w:val="24"/>
            <w:u w:val="single"/>
          </w:rPr>
          <w:t>https://fedea.net/el-efecto-de-la-reforma-laboral-de-2012-sobre-la-dualidad-y-el-empleo/</w:t>
        </w:r>
      </w:hyperlink>
    </w:p>
    <w:p w14:paraId="3A428D3F"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Labor market duality: The unresolved issue of the 2012 ... - Funcas, fecha de acceso: noviembre 5, 2025, </w:t>
      </w:r>
      <w:hyperlink r:id="rId24">
        <w:r w:rsidRPr="00AF6BBE">
          <w:rPr>
            <w:rFonts w:ascii="Google Sans" w:eastAsia="Google Sans" w:hAnsi="Google Sans" w:cs="Google Sans"/>
            <w:color w:val="0000EE"/>
            <w:sz w:val="24"/>
            <w:szCs w:val="24"/>
            <w:u w:val="single"/>
            <w:lang w:val="en-US"/>
          </w:rPr>
          <w:t>https://www.funcas.es/wp-content/uploads/Migracion/Articulos/FUNCAS_SEFO/005art07.pdf</w:t>
        </w:r>
      </w:hyperlink>
    </w:p>
    <w:p w14:paraId="263169F4"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Employment stability improves in Spain - CaixaBank Research, fecha de acceso: noviembre 5, 2025, </w:t>
      </w:r>
      <w:hyperlink r:id="rId25">
        <w:r w:rsidRPr="00AF6BBE">
          <w:rPr>
            <w:rFonts w:ascii="Google Sans" w:eastAsia="Google Sans" w:hAnsi="Google Sans" w:cs="Google Sans"/>
            <w:color w:val="0000EE"/>
            <w:sz w:val="24"/>
            <w:szCs w:val="24"/>
            <w:u w:val="single"/>
            <w:lang w:val="en-US"/>
          </w:rPr>
          <w:t>https://www.caixabankresearch.com/en/economics-markets/labour-market-demographics/employment-stability-improves-spain</w:t>
        </w:r>
      </w:hyperlink>
    </w:p>
    <w:p w14:paraId="50BA74BB"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aumento de los contratos indefinidos y su posible impacto en el gasto. BOLETÍN ECONÓMICO 2023/T1. Artículo 19, fecha de acceso: noviembre 5, 2025, </w:t>
      </w:r>
      <w:hyperlink r:id="rId26">
        <w:r>
          <w:rPr>
            <w:rFonts w:ascii="Google Sans" w:eastAsia="Google Sans" w:hAnsi="Google Sans" w:cs="Google Sans"/>
            <w:color w:val="0000EE"/>
            <w:sz w:val="24"/>
            <w:szCs w:val="24"/>
            <w:u w:val="single"/>
          </w:rPr>
          <w:t>https://www.bde.es/f/webbde/SES/Secciones/Publicaciones/InformesBoletinesRevistas/BoletinEconomico/23/T1/Fich/be2301-art19.pdf</w:t>
        </w:r>
      </w:hyperlink>
    </w:p>
    <w:p w14:paraId="1C1D0187"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Assessment of the Effects of Spain's 2021 Labor Market Reform in ..., fecha de acceso: noviembre 5, 2025, </w:t>
      </w:r>
      <w:hyperlink r:id="rId27">
        <w:r w:rsidRPr="00AF6BBE">
          <w:rPr>
            <w:rFonts w:ascii="Google Sans" w:eastAsia="Google Sans" w:hAnsi="Google Sans" w:cs="Google Sans"/>
            <w:color w:val="0000EE"/>
            <w:sz w:val="24"/>
            <w:szCs w:val="24"/>
            <w:u w:val="single"/>
            <w:lang w:val="en-US"/>
          </w:rPr>
          <w:t>https://www.elibrary.imf.org/view/journals/002/2024/153/article-A003-en.xml</w:t>
        </w:r>
      </w:hyperlink>
    </w:p>
    <w:p w14:paraId="1FD0587C" w14:textId="77777777" w:rsidR="003F6AFA" w:rsidRPr="00AF6BBE" w:rsidRDefault="00000000">
      <w:pPr>
        <w:numPr>
          <w:ilvl w:val="0"/>
          <w:numId w:val="7"/>
        </w:numPr>
        <w:pBdr>
          <w:top w:val="nil"/>
          <w:left w:val="nil"/>
          <w:bottom w:val="nil"/>
          <w:right w:val="nil"/>
          <w:between w:val="nil"/>
        </w:pBdr>
        <w:rPr>
          <w:lang w:val="en-US"/>
        </w:rPr>
      </w:pPr>
      <w:r w:rsidRPr="00AF6BBE">
        <w:rPr>
          <w:rFonts w:ascii="Google Sans" w:eastAsia="Google Sans" w:hAnsi="Google Sans" w:cs="Google Sans"/>
          <w:sz w:val="24"/>
          <w:szCs w:val="24"/>
          <w:lang w:val="en-US"/>
        </w:rPr>
        <w:t xml:space="preserve">DISPATCH NO. 41 – SPAIN THE SPANISH LABOR REFORM OF ..., fecha de acceso: noviembre 5, 2025, </w:t>
      </w:r>
      <w:hyperlink r:id="rId28">
        <w:r w:rsidRPr="00AF6BBE">
          <w:rPr>
            <w:rFonts w:ascii="Google Sans" w:eastAsia="Google Sans" w:hAnsi="Google Sans" w:cs="Google Sans"/>
            <w:color w:val="0000EE"/>
            <w:sz w:val="24"/>
            <w:szCs w:val="24"/>
            <w:u w:val="single"/>
            <w:lang w:val="en-US"/>
          </w:rPr>
          <w:t>https://cllpj.law.illinois.edu/content/dispatches/2022/Dispatch-No.-41.pdf</w:t>
        </w:r>
      </w:hyperlink>
    </w:p>
    <w:p w14:paraId="16DF489E"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España | Más contratos fijos discontinuos en enero: ¿efecto de la ..., fecha de acceso: noviembre 5, 2025, </w:t>
      </w:r>
      <w:hyperlink r:id="rId29">
        <w:r>
          <w:rPr>
            <w:rFonts w:ascii="Google Sans" w:eastAsia="Google Sans" w:hAnsi="Google Sans" w:cs="Google Sans"/>
            <w:color w:val="0000EE"/>
            <w:sz w:val="24"/>
            <w:szCs w:val="24"/>
            <w:u w:val="single"/>
          </w:rPr>
          <w:t>https://www.bbvaresearch.com/publicaciones/espana-mas-contratos-fijos-discontinuos-en-enero-efecto-de-la-reforma-laboral/</w:t>
        </w:r>
      </w:hyperlink>
    </w:p>
    <w:p w14:paraId="0EF19863"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¿Cuántos son los trabajadores fijos discontinuos? – Fundación de ..., fecha de acceso: noviembre 5, 2025, </w:t>
      </w:r>
      <w:hyperlink r:id="rId30">
        <w:r>
          <w:rPr>
            <w:rFonts w:ascii="Google Sans" w:eastAsia="Google Sans" w:hAnsi="Google Sans" w:cs="Google Sans"/>
            <w:color w:val="0000EE"/>
            <w:sz w:val="24"/>
            <w:szCs w:val="24"/>
            <w:u w:val="single"/>
          </w:rPr>
          <w:t>https://fedea.net/cuantos-son-los-trabajadores-fijos-discontinuos/</w:t>
        </w:r>
      </w:hyperlink>
    </w:p>
    <w:p w14:paraId="656FD046" w14:textId="77777777" w:rsidR="003F6AFA"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Los efectos de la reforma laboral: temporalidad “contractual” vs ..., fecha de acceso: noviembre 5, 2025, </w:t>
      </w:r>
      <w:hyperlink r:id="rId31">
        <w:r>
          <w:rPr>
            <w:rFonts w:ascii="Google Sans" w:eastAsia="Google Sans" w:hAnsi="Google Sans" w:cs="Google Sans"/>
            <w:color w:val="0000EE"/>
            <w:sz w:val="24"/>
            <w:szCs w:val="24"/>
            <w:u w:val="single"/>
          </w:rPr>
          <w:t>https://fedea.net/los-efectos-de-la-reforma-laboral-temporalidad-contractual-vs-empirica/</w:t>
        </w:r>
      </w:hyperlink>
    </w:p>
    <w:sectPr w:rsidR="003F6AF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F395F640-D63C-4B08-A0DC-ACB572056FFD}"/>
    <w:embedItalic r:id="rId2" w:fontKey="{58E9E8DB-3903-4628-8F3D-D7A1FCF7F7AA}"/>
  </w:font>
  <w:font w:name="Google Sans">
    <w:charset w:val="00"/>
    <w:family w:val="auto"/>
    <w:pitch w:val="default"/>
    <w:embedRegular r:id="rId3" w:fontKey="{58A1A7EA-2C61-4910-A216-A05CF01AD083}"/>
    <w:embedBold r:id="rId4" w:fontKey="{E42BF143-C1E8-4D05-8EBB-538D07B0F811}"/>
  </w:font>
  <w:font w:name="Google Sans Text">
    <w:charset w:val="00"/>
    <w:family w:val="auto"/>
    <w:pitch w:val="default"/>
    <w:embedRegular r:id="rId5" w:fontKey="{A037A5E8-9FDC-421C-BA74-B5FC14E0C280}"/>
    <w:embedBold r:id="rId6" w:fontKey="{7D016386-43A3-4CEF-8922-66D01121E558}"/>
    <w:embedItalic r:id="rId7" w:fontKey="{A56F9452-4D23-4DA1-8A3E-FB46BED0E508}"/>
  </w:font>
  <w:font w:name="Calibri">
    <w:panose1 w:val="020F0502020204030204"/>
    <w:charset w:val="00"/>
    <w:family w:val="swiss"/>
    <w:pitch w:val="variable"/>
    <w:sig w:usb0="E4002EFF" w:usb1="C200247B" w:usb2="00000009" w:usb3="00000000" w:csb0="000001FF" w:csb1="00000000"/>
    <w:embedRegular r:id="rId8" w:fontKey="{D47AEEBE-76BC-425C-9E9F-2C813C55889D}"/>
  </w:font>
  <w:font w:name="Cambria">
    <w:panose1 w:val="02040503050406030204"/>
    <w:charset w:val="00"/>
    <w:family w:val="roman"/>
    <w:pitch w:val="variable"/>
    <w:sig w:usb0="E00006FF" w:usb1="420024FF" w:usb2="02000000" w:usb3="00000000" w:csb0="0000019F" w:csb1="00000000"/>
    <w:embedRegular r:id="rId9" w:fontKey="{C458FEE5-74F6-4A9E-A070-2558C6DBC7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376DC"/>
    <w:multiLevelType w:val="multilevel"/>
    <w:tmpl w:val="52947CD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C7906BC"/>
    <w:multiLevelType w:val="multilevel"/>
    <w:tmpl w:val="37D421C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9BB143C"/>
    <w:multiLevelType w:val="multilevel"/>
    <w:tmpl w:val="FDCABC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1F95185"/>
    <w:multiLevelType w:val="multilevel"/>
    <w:tmpl w:val="66CC0B7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52FF4BAD"/>
    <w:multiLevelType w:val="multilevel"/>
    <w:tmpl w:val="C778BC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58C074E5"/>
    <w:multiLevelType w:val="multilevel"/>
    <w:tmpl w:val="8DFA2C3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738347CA"/>
    <w:multiLevelType w:val="multilevel"/>
    <w:tmpl w:val="8F845A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082722528">
    <w:abstractNumId w:val="3"/>
  </w:num>
  <w:num w:numId="2" w16cid:durableId="1345590131">
    <w:abstractNumId w:val="0"/>
  </w:num>
  <w:num w:numId="3" w16cid:durableId="447967894">
    <w:abstractNumId w:val="6"/>
  </w:num>
  <w:num w:numId="4" w16cid:durableId="1924030312">
    <w:abstractNumId w:val="4"/>
  </w:num>
  <w:num w:numId="5" w16cid:durableId="931937408">
    <w:abstractNumId w:val="2"/>
  </w:num>
  <w:num w:numId="6" w16cid:durableId="850607942">
    <w:abstractNumId w:val="5"/>
  </w:num>
  <w:num w:numId="7" w16cid:durableId="482550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FA"/>
    <w:rsid w:val="003F6AFA"/>
    <w:rsid w:val="00AF6BBE"/>
    <w:rsid w:val="00CF5D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C4604"/>
  <w15:docId w15:val="{0056F5D7-31BC-4444-8E8F-730DD344F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nber.org/system/files/working_papers/w17693/w17693.pdf" TargetMode="External"/><Relationship Id="rId18" Type="http://schemas.openxmlformats.org/officeDocument/2006/relationships/hyperlink" Target="https://documentos.fedea.net/pubs/fpp/2015/04/FPP2015-04.pdf" TargetMode="External"/><Relationship Id="rId26" Type="http://schemas.openxmlformats.org/officeDocument/2006/relationships/hyperlink" Target="https://www.bde.es/f/webbde/SES/Secciones/Publicaciones/InformesBoletinesRevistas/BoletinEconomico/23/T1/Fich/be2301-art19.pdf" TargetMode="External"/><Relationship Id="rId3" Type="http://schemas.openxmlformats.org/officeDocument/2006/relationships/settings" Target="settings.xml"/><Relationship Id="rId21" Type="http://schemas.openxmlformats.org/officeDocument/2006/relationships/hyperlink" Target="https://www.imf.org/-/media/Files/Publications/WP/2020/English/wpiea2020029-print-pdf.ashx" TargetMode="External"/><Relationship Id="rId7" Type="http://schemas.openxmlformats.org/officeDocument/2006/relationships/hyperlink" Target="https://www.hbs.edu/ris/download.aspx?name=The+consequences+of+labor+market+flexibility.pdf" TargetMode="External"/><Relationship Id="rId12" Type="http://schemas.openxmlformats.org/officeDocument/2006/relationships/hyperlink" Target="https://www.iza.org/publications/dp/3555/job-protection-legislation-and-productivity-growth-in-oecd-countries" TargetMode="External"/><Relationship Id="rId17" Type="http://schemas.openxmlformats.org/officeDocument/2006/relationships/hyperlink" Target="https://www.bde.es/webbde/SES/Secciones/Publicaciones/InformesBoletinesRevistas/BoletinEconomico/12/Feb/Fich/art4.pdf" TargetMode="External"/><Relationship Id="rId25" Type="http://schemas.openxmlformats.org/officeDocument/2006/relationships/hyperlink" Target="https://www.caixabankresearch.com/en/economics-markets/labour-market-demographics/employment-stability-improves-spain"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uncas.es/wp-content/uploads/Migracion/Articulos/FUNCAS_CIE/246art04.pdf" TargetMode="External"/><Relationship Id="rId20" Type="http://schemas.openxmlformats.org/officeDocument/2006/relationships/hyperlink" Target="https://pmc.ncbi.nlm.nih.gov/articles/PMC8494317/" TargetMode="External"/><Relationship Id="rId29" Type="http://schemas.openxmlformats.org/officeDocument/2006/relationships/hyperlink" Target="https://www.bbvaresearch.com/publicaciones/espana-mas-contratos-fijos-discontinuos-en-enero-efecto-de-la-reforma-laboral/" TargetMode="External"/><Relationship Id="rId1" Type="http://schemas.openxmlformats.org/officeDocument/2006/relationships/numbering" Target="numbering.xml"/><Relationship Id="rId6" Type="http://schemas.openxmlformats.org/officeDocument/2006/relationships/hyperlink" Target="https://www.imf.org/external/pubs/ft/wp/2012/wp1264.pdf" TargetMode="External"/><Relationship Id="rId11" Type="http://schemas.openxmlformats.org/officeDocument/2006/relationships/hyperlink" Target="https://wol.iza.org/articles/employment-protection/long" TargetMode="External"/><Relationship Id="rId24" Type="http://schemas.openxmlformats.org/officeDocument/2006/relationships/hyperlink" Target="https://www.funcas.es/wp-content/uploads/Migracion/Articulos/FUNCAS_SEFO/005art07.pdf" TargetMode="External"/><Relationship Id="rId32" Type="http://schemas.openxmlformats.org/officeDocument/2006/relationships/fontTable" Target="fontTable.xml"/><Relationship Id="rId5" Type="http://schemas.openxmlformats.org/officeDocument/2006/relationships/hyperlink" Target="https://www.imf.org/en/Publications/WP/Issues/2016/12/31/Labor-Market-Flexibility-and-Unemployment-New-Empirical-Evidence-of-Static-and-Dynamic-25753" TargetMode="External"/><Relationship Id="rId15" Type="http://schemas.openxmlformats.org/officeDocument/2006/relationships/hyperlink" Target="http://aguirregabiria.net/wpapers/lmr_economic_inquiry.pdf" TargetMode="External"/><Relationship Id="rId23" Type="http://schemas.openxmlformats.org/officeDocument/2006/relationships/hyperlink" Target="https://fedea.net/el-efecto-de-la-reforma-laboral-de-2012-sobre-la-dualidad-y-el-empleo/" TargetMode="External"/><Relationship Id="rId28" Type="http://schemas.openxmlformats.org/officeDocument/2006/relationships/hyperlink" Target="https://cllpj.law.illinois.edu/content/dispatches/2022/Dispatch-No.-41.pdf" TargetMode="External"/><Relationship Id="rId10" Type="http://schemas.openxmlformats.org/officeDocument/2006/relationships/hyperlink" Target="https://www.researchgate.net/publication/332957441_The_Consequences_of_Labor_Market_Flexibility_Panel_Evidence_Based_on_Survey_Data" TargetMode="External"/><Relationship Id="rId19" Type="http://schemas.openxmlformats.org/officeDocument/2006/relationships/hyperlink" Target="https://dialnet.unirioja.es/descarga/articulo/4507673.pdf" TargetMode="External"/><Relationship Id="rId31" Type="http://schemas.openxmlformats.org/officeDocument/2006/relationships/hyperlink" Target="https://fedea.net/los-efectos-de-la-reforma-laboral-temporalidad-contractual-vs-empirica/" TargetMode="External"/><Relationship Id="rId4" Type="http://schemas.openxmlformats.org/officeDocument/2006/relationships/webSettings" Target="webSettings.xml"/><Relationship Id="rId9" Type="http://schemas.openxmlformats.org/officeDocument/2006/relationships/hyperlink" Target="https://turia.uv.es/index.php/IREP/article/download/24764/20993/81682" TargetMode="External"/><Relationship Id="rId14" Type="http://schemas.openxmlformats.org/officeDocument/2006/relationships/hyperlink" Target="https://www.researchgate.net/publication/24000357_Labor_Contracts_and_Flexibility_Evidence_from_a_Labor_Market_Reform_in_Spain" TargetMode="External"/><Relationship Id="rId22" Type="http://schemas.openxmlformats.org/officeDocument/2006/relationships/hyperlink" Target="https://www.bbvaresearch.com/wp-content/uploads/2016/03/WP16-05.pdf" TargetMode="External"/><Relationship Id="rId27" Type="http://schemas.openxmlformats.org/officeDocument/2006/relationships/hyperlink" Target="https://www.elibrary.imf.org/view/journals/002/2024/153/article-A003-en.xml" TargetMode="External"/><Relationship Id="rId30" Type="http://schemas.openxmlformats.org/officeDocument/2006/relationships/hyperlink" Target="https://fedea.net/cuantos-son-los-trabajadores-fijos-discontinuos/" TargetMode="External"/><Relationship Id="rId8" Type="http://schemas.openxmlformats.org/officeDocument/2006/relationships/hyperlink" Target="https://desapublications.un.org/file/233/download"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5022</Words>
  <Characters>27625</Characters>
  <Application>Microsoft Office Word</Application>
  <DocSecurity>0</DocSecurity>
  <Lines>230</Lines>
  <Paragraphs>65</Paragraphs>
  <ScaleCrop>false</ScaleCrop>
  <Company/>
  <LinksUpToDate>false</LinksUpToDate>
  <CharactersWithSpaces>32582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Manuel Alejandro Hidalgo Perez</cp:lastModifiedBy>
  <cp:revision>2</cp:revision>
  <dcterms:created xsi:type="dcterms:W3CDTF">2025-11-05T19:38:00Z</dcterms:created>
  <dcterms:modified xsi:type="dcterms:W3CDTF">2025-11-05T19:38:00Z</dcterms:modified>
</cp:coreProperties>
</file>