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 Integral sobre la Sostenibilidad, Suficiencia y Retos Estructurales del Sistema de Pensiones en España: Un Análisis Horizonte 2025-2070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Introducción: La Arquitectura del Bienestar ante su Mayor Desafío Histórico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sistema de pensiones público español, la piedra angular sobre la que se edifica el Estado de Bienestar nacional, se encuentra inmerso en un proceso de transformación de una magnitud y complejidad sin precedentes en su historia contemporánea. Concebido y desarrollado bajo un esquema de reparto (</w:t>
      </w:r>
      <w:r w:rsidDel="00000000" w:rsidR="00000000" w:rsidRPr="00000000">
        <w:rPr>
          <w:rFonts w:ascii="Google Sans Text" w:cs="Google Sans Text" w:eastAsia="Google Sans Text" w:hAnsi="Google Sans Text"/>
          <w:i w:val="1"/>
          <w:iCs w:val="1"/>
          <w:color w:val="1f1f1f"/>
          <w:rtl w:val="0"/>
        </w:rPr>
        <w:t xml:space="preserve">pay-as-you-go</w:t>
      </w:r>
      <w:r w:rsidDel="00000000" w:rsidR="00000000" w:rsidRPr="00000000">
        <w:rPr>
          <w:rFonts w:ascii="Google Sans Text" w:cs="Google Sans Text" w:eastAsia="Google Sans Text" w:hAnsi="Google Sans Text"/>
          <w:color w:val="1f1f1f"/>
          <w:rtl w:val="0"/>
        </w:rPr>
        <w:t xml:space="preserve">) y prestación definida, este mecanismo ha garantizado durante décadas la cohesión social mediante un pacto intergeneracional implícito pero férreo: las cotizaciones sociales de la población activa financian en tiempo real las prestaciones de la población pasiva. Este modelo, descrito en los documentos base como un sistema de solidaridad donde la generación trabajadora sostiene a la jubilada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ha demostrado ser un eficaz reductor de la pobreza en la tercera edad, pero su diseño financiero se enfrenta ahora a una "tormenta perfecta" demográfica y económica.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presente informe de investigación tiene como objetivo diseccionar la situación actual y las perspectivas futuras del sistema de pensiones en España, integrando un análisis exhaustivo de las reformas legislativas acometidas entre 2021 y 2023, y contrastando las proyecciones gubernamentales con los datos más recientes provenientes de organismos internacionales y nacionales de supervisión fiscal. En particular, se incorporan las alertas y proyecciones del </w:t>
      </w:r>
      <w:r w:rsidDel="00000000" w:rsidR="00000000" w:rsidRPr="00000000">
        <w:rPr>
          <w:rFonts w:ascii="Google Sans Text" w:cs="Google Sans Text" w:eastAsia="Google Sans Text" w:hAnsi="Google Sans Text"/>
          <w:i w:val="1"/>
          <w:iCs w:val="1"/>
          <w:color w:val="1f1f1f"/>
          <w:rtl w:val="0"/>
        </w:rPr>
        <w:t xml:space="preserve">Ageing Report 2024</w:t>
      </w:r>
      <w:r w:rsidDel="00000000" w:rsidR="00000000" w:rsidRPr="00000000">
        <w:rPr>
          <w:rFonts w:ascii="Google Sans Text" w:cs="Google Sans Text" w:eastAsia="Google Sans Text" w:hAnsi="Google Sans Text"/>
          <w:color w:val="1f1f1f"/>
          <w:rtl w:val="0"/>
        </w:rPr>
        <w:t xml:space="preserve"> de la Comisión Europea, el informe </w:t>
      </w:r>
      <w:r w:rsidDel="00000000" w:rsidR="00000000" w:rsidRPr="00000000">
        <w:rPr>
          <w:rFonts w:ascii="Google Sans Text" w:cs="Google Sans Text" w:eastAsia="Google Sans Text" w:hAnsi="Google Sans Text"/>
          <w:i w:val="1"/>
          <w:iCs w:val="1"/>
          <w:color w:val="1f1f1f"/>
          <w:rtl w:val="0"/>
        </w:rPr>
        <w:t xml:space="preserve">Pensions at a Glance 2025</w:t>
      </w:r>
      <w:r w:rsidDel="00000000" w:rsidR="00000000" w:rsidRPr="00000000">
        <w:rPr>
          <w:rFonts w:ascii="Google Sans Text" w:cs="Google Sans Text" w:eastAsia="Google Sans Text" w:hAnsi="Google Sans Text"/>
          <w:color w:val="1f1f1f"/>
          <w:rtl w:val="0"/>
        </w:rPr>
        <w:t xml:space="preserve"> de la OCDE y las evaluaciones técnicas de la Autoridad Independiente de Responsabilidad Fiscal (AIReF).</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coyuntura de 2025 marca un punto de inflexión. España se adentra en las décadas de mayor tensión financiera, coincidiendo con la jubilación masiva de la generación del </w:t>
      </w:r>
      <w:r w:rsidDel="00000000" w:rsidR="00000000" w:rsidRPr="00000000">
        <w:rPr>
          <w:rFonts w:ascii="Google Sans Text" w:cs="Google Sans Text" w:eastAsia="Google Sans Text" w:hAnsi="Google Sans Text"/>
          <w:i w:val="1"/>
          <w:iCs w:val="1"/>
          <w:color w:val="1f1f1f"/>
          <w:rtl w:val="0"/>
        </w:rPr>
        <w:t xml:space="preserve">baby boom</w:t>
      </w:r>
      <w:r w:rsidDel="00000000" w:rsidR="00000000" w:rsidRPr="00000000">
        <w:rPr>
          <w:rFonts w:ascii="Google Sans Text" w:cs="Google Sans Text" w:eastAsia="Google Sans Text" w:hAnsi="Google Sans Text"/>
          <w:color w:val="1f1f1f"/>
          <w:rtl w:val="0"/>
        </w:rPr>
        <w:t xml:space="preserve"> (nacidos entre finales de los años 50 y mediados de los 70). Este fenómeno no es meramente coyuntural, sino que redefine la estructura de la pirámide poblacional y, por ende, la base fiscal del país. Las proyecciones indican que el gasto en pensiones podría escalar hasta niveles que oscilan entre el 15% y el 17% del Producto Interior Bruto (PIB) hacia mediados de siglo, situando a España en la cúspide del gasto previsional dentro de la OCDE.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análisis que se presenta a continuación trasciende la mera contabilidad actuarial para abordar las implicaciones macroeconómicas de las medidas adoptadas. Se examinará si la estrategia de fiar la sostenibilidad al aumento de los ingresos —mediante instrumentos como el Mecanismo de Equidad Intergeneracional (MEI), la Cuota de Solidaridad y el destope de bases máximas— es suficiente para contrarrestar el incremento del gasto, o si, por el contrario, hipoteca la competitividad de la economía española a través de un incremento de los costes laborales y la cuña fiscal. Asimismo, se evaluará el desempeño, hasta la fecha decepcionante, de los planes de pensiones de empleo (segundo pilar) y se explorarán alternativas estructurales como las cuentas nocionales o la mochila austriaca, recurrentes en el debate académico pero ausentes en la agenda legislativa inmediata.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Fundamentos Teóricos y Evolución Normativa: Del Pacto de Toledo a la Reforma Escrivá</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La Vulnerabilidad Intrínseca del Sistema de Reparto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sistema español opera bajo una lógica de caja única y solidaridad intergeneracional. A diferencia de los sistemas de capitalización, donde el ahorro se acumula en cuentas individuales y se invierte en mercados financieros para financiar la jubilación del propio titular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el sistema de reparto español transfiere rentas de forma inmediata. La ventaja de este modelo reside en su capacidad para ofrecer una cobertura vitalicia y proteger a los beneficiarios de la volatilidad de los mercados financieros y del riesgo de longevidad individual. El Estado, en última instancia, actúa como asegurador universal.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Sin embargo, la vulnerabilidad de este diseño es su extrema sensibilidad a la demografía y al mercado laboral. La ecuación de equilibrio depende críticamente de la </w:t>
      </w:r>
      <w:r w:rsidDel="00000000" w:rsidR="00000000" w:rsidRPr="00000000">
        <w:rPr>
          <w:rFonts w:ascii="Google Sans Text" w:cs="Google Sans Text" w:eastAsia="Google Sans Text" w:hAnsi="Google Sans Text"/>
          <w:b w:val="1"/>
          <w:bCs w:val="1"/>
          <w:color w:val="1f1f1f"/>
          <w:rtl w:val="0"/>
        </w:rPr>
        <w:t xml:space="preserve">tasa de dependencia</w:t>
      </w:r>
      <w:r w:rsidDel="00000000" w:rsidR="00000000" w:rsidRPr="00000000">
        <w:rPr>
          <w:rFonts w:ascii="Google Sans Text" w:cs="Google Sans Text" w:eastAsia="Google Sans Text" w:hAnsi="Google Sans Text"/>
          <w:color w:val="1f1f1f"/>
          <w:rtl w:val="0"/>
        </w:rPr>
        <w:t xml:space="preserve">, es decir, la relación entre el número de pensionistas y el número de cotizantes. Cuando la esperanza de vida aumenta —prolongando el periodo de cobro de la prestación— y la tasa de natalidad disminuye —reduciendo la entrada de nuevos cotizantes—, el sistema tiende inexorablemente al desequilibrio financiero, salvo que se produzcan incrementos extraordinarios en la productividad o en la tasa de empleo.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En España, esta vulnerabilidad se ve exacerbada por una de las esperanzas de vida más altas del mundo y una de las tasas de fecundidad más bajas (1,12 hijos por mujer según estimaciones recientes del Ageing Report), lo que tensiona la base del sistema mucho más que en otros países de nuestro entorno.</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El Cambio de Paradigma: De la Contención del Gasto (2013) a la Maximización de Ingresos (2021-2023)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comprender la situación actual, es imperativo contrastar la filosofía de las reformas previas con la actual. Tras la crisis financiera de 2008, la reforma de 2013 intentó garantizar la sostenibilidad actuando sobre el denominador de la ecuación: el gasto. Se introdujeron el Índice de Revalorización de las Pensiones (IRP), que desvinculaba la subida anual del IPC si el sistema estaba en déficit (limitándola al 0,25%), y el Factor de Sostenibilidad, que ajustaría la pensión inicial a la esperanza de vida.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reforma culminada en 2023, liderada por el entonces ministro José Luis Escrivá, desmanteló este enfoque por considerarlo socialmente insostenible, argumentando que condenaba a los pensionistas a una pérdida progresiva de poder adquisitivo. El nuevo paradigma desplaza el ajuste desde el gasto hacia los ingresos. Los hitos legislativos clave (Ley 21/2021, Ley 12/2022 y RDL 2/2023) establecieron:</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Reindexación al IPC:</w:t>
      </w:r>
      <w:r w:rsidDel="00000000" w:rsidR="00000000" w:rsidRPr="00000000">
        <w:rPr>
          <w:rFonts w:ascii="Google Sans Text" w:cs="Google Sans Text" w:eastAsia="Google Sans Text" w:hAnsi="Google Sans Text"/>
          <w:color w:val="1f1f1f"/>
          <w:rtl w:val="0"/>
        </w:rPr>
        <w:t xml:space="preserve"> Se derogó el IRP y se blindó por ley la revalorización de las pensiones con el IPC medio interanual. Esto elimina la inflación como mecanismo de ajuste y transfiere el riesgo inflacionario íntegramente al Estado.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Eliminación del Factor de Sostenibilidad:</w:t>
      </w:r>
      <w:r w:rsidDel="00000000" w:rsidR="00000000" w:rsidRPr="00000000">
        <w:rPr>
          <w:rFonts w:ascii="Google Sans Text" w:cs="Google Sans Text" w:eastAsia="Google Sans Text" w:hAnsi="Google Sans Text"/>
          <w:color w:val="1f1f1f"/>
          <w:rtl w:val="0"/>
        </w:rPr>
        <w:t xml:space="preserve"> Fue derogado antes de entrar en vigor y sustituido por el Mecanismo de Equidad Intergeneracional (MEI). A diferencia del factor anterior, que recortaba la prestación inicial, el MEI es un impuesto (sobrecotización) que aumenta los ingresos.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Incentivos a la Edad Efectiva:</w:t>
      </w:r>
      <w:r w:rsidDel="00000000" w:rsidR="00000000" w:rsidRPr="00000000">
        <w:rPr>
          <w:rFonts w:ascii="Google Sans Text" w:cs="Google Sans Text" w:eastAsia="Google Sans Text" w:hAnsi="Google Sans Text"/>
          <w:color w:val="1f1f1f"/>
          <w:rtl w:val="0"/>
        </w:rPr>
        <w:t xml:space="preserve"> Se reformaron los coeficientes reductores de la jubilación anticipada (haciéndolos mensuales y más costosos para rentas altas) y se aumentaron las bonificaciones por jubilación demorada, con el objetivo de acercar la edad real de jubilación a la edad legal.</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Destope y Solidaridad:</w:t>
      </w:r>
      <w:r w:rsidDel="00000000" w:rsidR="00000000" w:rsidRPr="00000000">
        <w:rPr>
          <w:rFonts w:ascii="Google Sans Text" w:cs="Google Sans Text" w:eastAsia="Google Sans Text" w:hAnsi="Google Sans Text"/>
          <w:color w:val="1f1f1f"/>
          <w:rtl w:val="0"/>
        </w:rPr>
        <w:t xml:space="preserve"> Se aprobó un incremento progresivo de las bases máximas de cotización por encima del IPC y se creó una "cuota de solidaridad" para los salarios que excedan dicha base máxima, medidas diseñadas para extraer más recursos de las rentas salariales altas.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Este giro copernicano implica que la sostenibilidad ya no se busca reduciendo la generosidad del sistema, sino aumentando la presión fiscal sobre el trabajo y confiando en un comportamiento excepcionalmente positivo del mercado laboral.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Radiografía Financiera y Proyecciones: La Alerta Roja de 2050</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3.1. El Diagnóstico del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Ageing Report 2024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w:t>
      </w:r>
      <w:r w:rsidDel="00000000" w:rsidR="00000000" w:rsidRPr="00000000">
        <w:rPr>
          <w:rFonts w:ascii="Google Sans Text" w:cs="Google Sans Text" w:eastAsia="Google Sans Text" w:hAnsi="Google Sans Text"/>
          <w:i w:val="1"/>
          <w:iCs w:val="1"/>
          <w:color w:val="1f1f1f"/>
          <w:rtl w:val="0"/>
        </w:rPr>
        <w:t xml:space="preserve">Ageing Report 2024</w:t>
      </w:r>
      <w:r w:rsidDel="00000000" w:rsidR="00000000" w:rsidRPr="00000000">
        <w:rPr>
          <w:rFonts w:ascii="Google Sans Text" w:cs="Google Sans Text" w:eastAsia="Google Sans Text" w:hAnsi="Google Sans Text"/>
          <w:color w:val="1f1f1f"/>
          <w:rtl w:val="0"/>
        </w:rPr>
        <w:t xml:space="preserve"> (AR24) de la Comisión Europea es el documento de referencia para evaluar la salud a largo plazo de las cuentas públicas de los Estados miembros. Sus conclusiones para España son severas y contrastan con el optimismo gubernamental. El informe proyecta que el gasto público en pensiones en España aumentará significativamente, alcanzando un pico en torno a 2050.</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Según el escenario base del AR24, el gasto en pensiones en 2070 será </w:t>
      </w:r>
      <w:r w:rsidDel="00000000" w:rsidR="00000000" w:rsidRPr="00000000">
        <w:rPr>
          <w:rFonts w:ascii="Google Sans Text" w:cs="Google Sans Text" w:eastAsia="Google Sans Text" w:hAnsi="Google Sans Text"/>
          <w:b w:val="1"/>
          <w:bCs w:val="1"/>
          <w:color w:val="1f1f1f"/>
          <w:rtl w:val="0"/>
        </w:rPr>
        <w:t xml:space="preserve">3,6 puntos porcentuales del PIB superior</w:t>
      </w:r>
      <w:r w:rsidDel="00000000" w:rsidR="00000000" w:rsidRPr="00000000">
        <w:rPr>
          <w:rFonts w:ascii="Google Sans Text" w:cs="Google Sans Text" w:eastAsia="Google Sans Text" w:hAnsi="Google Sans Text"/>
          <w:color w:val="1f1f1f"/>
          <w:rtl w:val="0"/>
        </w:rPr>
        <w:t xml:space="preserve"> al nivel de 2022.</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Esto sitúa a España como el país de la UE donde más crecerá el gasto relativo a pensiones, impulsado casi exclusivamente por el factor demográfico. La Comisión estima que la demografía por sí sola (el aumento de la población mayor de 65 años) empujaría el gasto al alza en más de </w:t>
      </w:r>
      <w:r w:rsidDel="00000000" w:rsidR="00000000" w:rsidRPr="00000000">
        <w:rPr>
          <w:rFonts w:ascii="Google Sans Text" w:cs="Google Sans Text" w:eastAsia="Google Sans Text" w:hAnsi="Google Sans Text"/>
          <w:b w:val="1"/>
          <w:bCs w:val="1"/>
          <w:color w:val="1f1f1f"/>
          <w:rtl w:val="0"/>
        </w:rPr>
        <w:t xml:space="preserve">10,5 puntos porcentuales del PIB</w:t>
      </w:r>
      <w:r w:rsidDel="00000000" w:rsidR="00000000" w:rsidRPr="00000000">
        <w:rPr>
          <w:rFonts w:ascii="Google Sans Text" w:cs="Google Sans Text" w:eastAsia="Google Sans Text" w:hAnsi="Google Sans Text"/>
          <w:color w:val="1f1f1f"/>
          <w:rtl w:val="0"/>
        </w:rPr>
        <w:t xml:space="preserve"> entre 2022 y 2050 si no existieran factores compensatorios.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Los factores que amortiguan parcialmente esta explosión de gasto en el modelo de Bruselas son:</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 Tasa de Beneficio:</w:t>
      </w:r>
      <w:r w:rsidDel="00000000" w:rsidR="00000000" w:rsidRPr="00000000">
        <w:rPr>
          <w:rFonts w:ascii="Google Sans Text" w:cs="Google Sans Text" w:eastAsia="Google Sans Text" w:hAnsi="Google Sans Text"/>
          <w:color w:val="1f1f1f"/>
          <w:rtl w:val="0"/>
        </w:rPr>
        <w:t xml:space="preserve"> Se prevé que la relación entre la pensión media y el salario medio descienda del 64% actual al 56% en 2050, debido a que los salarios (impulsados por la productividad) crecerían más rápido que las pensiones (ligadas al IPC) y al efecto de las carreras laborales incompletas.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 Tasa de Empleo:</w:t>
      </w:r>
      <w:r w:rsidDel="00000000" w:rsidR="00000000" w:rsidRPr="00000000">
        <w:rPr>
          <w:rFonts w:ascii="Google Sans Text" w:cs="Google Sans Text" w:eastAsia="Google Sans Text" w:hAnsi="Google Sans Text"/>
          <w:color w:val="1f1f1f"/>
          <w:rtl w:val="0"/>
        </w:rPr>
        <w:t xml:space="preserve"> Se asume un aumento en la participación laboral, especialmente entre los trabajadores de mayor edad, gracias a los incentivos de la reforma.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Pese a estos amortiguadores, el gasto neto proyectado se sitúa en niveles que oscilan entre el 15,1% y el 17,3% del PIB en los momentos de máxima tensión (dependiendo de si se consideran datos brutos o netos y las revisiones del PIB), superando ampliamente la media de la Eurozona.</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La Discrepancia Institucional: Gobierno vs. AIReF y OCDE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Existe una notable divergencia entre las proyecciones del Gobierno español y las de organismos independientes como la AIReF y la OCDE, una brecha que introduce incertidumbre sobre la necesidad de futuros ajustes.</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 Posición del Gobierno:</w:t>
      </w:r>
      <w:r w:rsidDel="00000000" w:rsidR="00000000" w:rsidRPr="00000000">
        <w:rPr>
          <w:rFonts w:ascii="Google Sans Text" w:cs="Google Sans Text" w:eastAsia="Google Sans Text" w:hAnsi="Google Sans Text"/>
          <w:color w:val="1f1f1f"/>
          <w:rtl w:val="0"/>
        </w:rPr>
        <w:t xml:space="preserve"> El Ministerio de Inclusión, Seguridad Social y Migraciones sostiene que las proyecciones internacionales, como las de la OCDE (que en su informe </w:t>
      </w:r>
      <w:r w:rsidDel="00000000" w:rsidR="00000000" w:rsidRPr="00000000">
        <w:rPr>
          <w:rFonts w:ascii="Google Sans Text" w:cs="Google Sans Text" w:eastAsia="Google Sans Text" w:hAnsi="Google Sans Text"/>
          <w:i w:val="1"/>
          <w:iCs w:val="1"/>
          <w:color w:val="1f1f1f"/>
          <w:rtl w:val="0"/>
        </w:rPr>
        <w:t xml:space="preserve">Pensions at a Glance 2025</w:t>
      </w:r>
      <w:r w:rsidDel="00000000" w:rsidR="00000000" w:rsidRPr="00000000">
        <w:rPr>
          <w:rFonts w:ascii="Google Sans Text" w:cs="Google Sans Text" w:eastAsia="Google Sans Text" w:hAnsi="Google Sans Text"/>
          <w:color w:val="1f1f1f"/>
          <w:rtl w:val="0"/>
        </w:rPr>
        <w:t xml:space="preserve"> sitúa el gasto en el 16,9% del PIB en 2050), utilizan datos "desfasados" que no incorporan las últimas revisiones al alza del PIB español ni el impacto completo de las reformas de ingresos.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El Gobierno defiende que el gasto neto se mantendrá en el entorno del 15% y que los ingresos adicionales del MEI y la cuota de solidaridad cubrirán la brecha.</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 Visión de la AIReF:</w:t>
      </w:r>
      <w:r w:rsidDel="00000000" w:rsidR="00000000" w:rsidRPr="00000000">
        <w:rPr>
          <w:rFonts w:ascii="Google Sans Text" w:cs="Google Sans Text" w:eastAsia="Google Sans Text" w:hAnsi="Google Sans Text"/>
          <w:color w:val="1f1f1f"/>
          <w:rtl w:val="0"/>
        </w:rPr>
        <w:t xml:space="preserve"> La Autoridad Independiente de Responsabilidad Fiscal, en su "Segunda Opinión sobre la sostenibilidad de las Administraciones Públicas" (marzo 2025) y en su informe sobre la regla de gasto, es más cauta. La AIReF estima un crecimiento medio del gasto en pensiones de </w:t>
      </w:r>
      <w:r w:rsidDel="00000000" w:rsidR="00000000" w:rsidRPr="00000000">
        <w:rPr>
          <w:rFonts w:ascii="Google Sans Text" w:cs="Google Sans Text" w:eastAsia="Google Sans Text" w:hAnsi="Google Sans Text"/>
          <w:b w:val="1"/>
          <w:bCs w:val="1"/>
          <w:color w:val="1f1f1f"/>
          <w:rtl w:val="0"/>
        </w:rPr>
        <w:t xml:space="preserve">3,4 puntos de PIB</w:t>
      </w:r>
      <w:r w:rsidDel="00000000" w:rsidR="00000000" w:rsidRPr="00000000">
        <w:rPr>
          <w:rFonts w:ascii="Google Sans Text" w:cs="Google Sans Text" w:eastAsia="Google Sans Text" w:hAnsi="Google Sans Text"/>
          <w:color w:val="1f1f1f"/>
          <w:rtl w:val="0"/>
        </w:rPr>
        <w:t xml:space="preserve"> hasta 2050, empeorando sus previsiones anteriores.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La Autoridad alerta de que, aunque se cumpla formalmente la "regla de gasto" pactada con Bruselas (gracias a la contabilidad de los nuevos ingresos), la sostenibilidad de fondo no ha mejorado. Proyecta una deuda pública en una senda ascendente que podría llegar al </w:t>
      </w:r>
      <w:r w:rsidDel="00000000" w:rsidR="00000000" w:rsidRPr="00000000">
        <w:rPr>
          <w:rFonts w:ascii="Google Sans Text" w:cs="Google Sans Text" w:eastAsia="Google Sans Text" w:hAnsi="Google Sans Text"/>
          <w:b w:val="1"/>
          <w:bCs w:val="1"/>
          <w:color w:val="1f1f1f"/>
          <w:rtl w:val="0"/>
        </w:rPr>
        <w:t xml:space="preserve">129% del PIB en 2050</w:t>
      </w:r>
      <w:r w:rsidDel="00000000" w:rsidR="00000000" w:rsidRPr="00000000">
        <w:rPr>
          <w:rFonts w:ascii="Google Sans Text" w:cs="Google Sans Text" w:eastAsia="Google Sans Text" w:hAnsi="Google Sans Text"/>
          <w:color w:val="1f1f1f"/>
          <w:rtl w:val="0"/>
        </w:rPr>
        <w:t xml:space="preserve"> bajo políticas constantes.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 Advertencia de la OCDE:</w:t>
      </w:r>
      <w:r w:rsidDel="00000000" w:rsidR="00000000" w:rsidRPr="00000000">
        <w:rPr>
          <w:rFonts w:ascii="Google Sans Text" w:cs="Google Sans Text" w:eastAsia="Google Sans Text" w:hAnsi="Google Sans Text"/>
          <w:color w:val="1f1f1f"/>
          <w:rtl w:val="0"/>
        </w:rPr>
        <w:t xml:space="preserve"> La Organización para la Cooperación y el Desarrollo Económico destaca que España será el país con mayor gasto en pensiones de la organización en 2050. Subraya que la </w:t>
      </w:r>
      <w:r w:rsidDel="00000000" w:rsidR="00000000" w:rsidRPr="00000000">
        <w:rPr>
          <w:rFonts w:ascii="Google Sans Text" w:cs="Google Sans Text" w:eastAsia="Google Sans Text" w:hAnsi="Google Sans Text"/>
          <w:b w:val="1"/>
          <w:bCs w:val="1"/>
          <w:color w:val="1f1f1f"/>
          <w:rtl w:val="0"/>
        </w:rPr>
        <w:t xml:space="preserve">tasa de reemplazo neta</w:t>
      </w:r>
      <w:r w:rsidDel="00000000" w:rsidR="00000000" w:rsidRPr="00000000">
        <w:rPr>
          <w:rFonts w:ascii="Google Sans Text" w:cs="Google Sans Text" w:eastAsia="Google Sans Text" w:hAnsi="Google Sans Text"/>
          <w:color w:val="1f1f1f"/>
          <w:rtl w:val="0"/>
        </w:rPr>
        <w:t xml:space="preserve"> (el porcentaje del último salario que cubre la pensión) es del </w:t>
      </w:r>
      <w:r w:rsidDel="00000000" w:rsidR="00000000" w:rsidRPr="00000000">
        <w:rPr>
          <w:rFonts w:ascii="Google Sans Text" w:cs="Google Sans Text" w:eastAsia="Google Sans Text" w:hAnsi="Google Sans Text"/>
          <w:b w:val="1"/>
          <w:bCs w:val="1"/>
          <w:color w:val="1f1f1f"/>
          <w:rtl w:val="0"/>
        </w:rPr>
        <w:t xml:space="preserve">76-80%</w:t>
      </w:r>
      <w:r w:rsidDel="00000000" w:rsidR="00000000" w:rsidRPr="00000000">
        <w:rPr>
          <w:rFonts w:ascii="Google Sans Text" w:cs="Google Sans Text" w:eastAsia="Google Sans Text" w:hAnsi="Google Sans Text"/>
          <w:color w:val="1f1f1f"/>
          <w:rtl w:val="0"/>
        </w:rPr>
        <w:t xml:space="preserve"> en España, muy por encima de la media de la OCDE (63%) y de países como Francia o Alemania.</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Esta generosidad, argumenta la OCDE, es el principal motor de la presión fiscal futura.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Déficit Contributivo y "Gastos Impropios"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 elemento central del debate es la salud real de las cuentas de la Seguridad Social. Oficialmente, el déficit se ha reducido, pero analistas como Fedea señalan que esto es un "espejismo contable" provocado por las transferencias del Estado.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 Gobierno ha implementado la doctrina de la asunción de "gastos impropios" (gastos que la Seguridad Social asumía pero que correspondían a políticas de Estado, como reducciones de cuotas o gastos operativos). En virtud de esto, el Estado realiza transferencias masivas a la Seguridad Social. Para los </w:t>
      </w:r>
      <w:r w:rsidDel="00000000" w:rsidR="00000000" w:rsidRPr="00000000">
        <w:rPr>
          <w:rFonts w:ascii="Google Sans Text" w:cs="Google Sans Text" w:eastAsia="Google Sans Text" w:hAnsi="Google Sans Text"/>
          <w:b w:val="1"/>
          <w:bCs w:val="1"/>
          <w:color w:val="1f1f1f"/>
          <w:rtl w:val="0"/>
        </w:rPr>
        <w:t xml:space="preserve">Presupuestos de 2025</w:t>
      </w:r>
      <w:r w:rsidDel="00000000" w:rsidR="00000000" w:rsidRPr="00000000">
        <w:rPr>
          <w:rFonts w:ascii="Google Sans Text" w:cs="Google Sans Text" w:eastAsia="Google Sans Text" w:hAnsi="Google Sans Text"/>
          <w:color w:val="1f1f1f"/>
          <w:rtl w:val="0"/>
        </w:rPr>
        <w:t xml:space="preserve">, se estima que estas transferencias para cubrir gastos impropios y complementar el sistema rondarán los </w:t>
      </w:r>
      <w:r w:rsidDel="00000000" w:rsidR="00000000" w:rsidRPr="00000000">
        <w:rPr>
          <w:rFonts w:ascii="Google Sans Text" w:cs="Google Sans Text" w:eastAsia="Google Sans Text" w:hAnsi="Google Sans Text"/>
          <w:b w:val="1"/>
          <w:bCs w:val="1"/>
          <w:color w:val="1f1f1f"/>
          <w:rtl w:val="0"/>
        </w:rPr>
        <w:t xml:space="preserve">40.000 millones de euros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 se eliminan estas transferencias de la ecuación, el </w:t>
      </w:r>
      <w:r w:rsidDel="00000000" w:rsidR="00000000" w:rsidRPr="00000000">
        <w:rPr>
          <w:rFonts w:ascii="Google Sans Text" w:cs="Google Sans Text" w:eastAsia="Google Sans Text" w:hAnsi="Google Sans Text"/>
          <w:b w:val="1"/>
          <w:bCs w:val="1"/>
          <w:color w:val="1f1f1f"/>
          <w:rtl w:val="0"/>
        </w:rPr>
        <w:t xml:space="preserve">déficit contributivo estructural</w:t>
      </w:r>
      <w:r w:rsidDel="00000000" w:rsidR="00000000" w:rsidRPr="00000000">
        <w:rPr>
          <w:rFonts w:ascii="Google Sans Text" w:cs="Google Sans Text" w:eastAsia="Google Sans Text" w:hAnsi="Google Sans Text"/>
          <w:color w:val="1f1f1f"/>
          <w:rtl w:val="0"/>
        </w:rPr>
        <w:t xml:space="preserve"> (la diferencia entre lo que se recauda por cotizaciones y lo que se paga en pensiones contributivas) se sitúa en torno al </w:t>
      </w:r>
      <w:r w:rsidDel="00000000" w:rsidR="00000000" w:rsidRPr="00000000">
        <w:rPr>
          <w:rFonts w:ascii="Google Sans Text" w:cs="Google Sans Text" w:eastAsia="Google Sans Text" w:hAnsi="Google Sans Text"/>
          <w:b w:val="1"/>
          <w:bCs w:val="1"/>
          <w:color w:val="1f1f1f"/>
          <w:rtl w:val="0"/>
        </w:rPr>
        <w:t xml:space="preserve">3,5% del PIB</w:t>
      </w:r>
      <w:r w:rsidDel="00000000" w:rsidR="00000000" w:rsidRPr="00000000">
        <w:rPr>
          <w:rFonts w:ascii="Google Sans Text" w:cs="Google Sans Text" w:eastAsia="Google Sans Text" w:hAnsi="Google Sans Text"/>
          <w:color w:val="1f1f1f"/>
          <w:rtl w:val="0"/>
        </w:rPr>
        <w:t xml:space="preserve">, una cifra alarmante que evidencia que las cotizaciones sociales por sí solas ya no son capaces de sostener el sistema.</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El déficit de las pensiones se ha trasladado, de facto, al déficit del Estado central, dependiendo ahora de la capacidad de emisión de deuda del Tesoro y de la recaudación de impuestos generales (IVA, IRPF).</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Análisis Detallado de las Nuevas Figuras Impositivas: MEI y Cuota de Solidaridad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estrategia de sostenibilidad del Gobierno se basa en un aumento estructural de la presión fiscal sobre el trabajo. Dos figuras son clave en esta arquitectura: el Mecanismo de Equidad Intergeneracional (MEI) y la Cuota de Solidaridad.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El Mecanismo de Equidad Intergeneracional (MEI)</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MEI es una sobrecotización finalista que entró en vigor en 2023. Su recaudación no se destina a pagar pensiones actuales, sino a nutrir el Fondo de Reserva de la Seguridad Social (la "Hucha de las Pensiones") para afrontar el pico de gasto de las décadas de 2030 y 2040.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 diseño es progresivo:</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En 2023 comenzó con un 0,6%.</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Para </w:t>
      </w:r>
      <w:r w:rsidDel="00000000" w:rsidR="00000000" w:rsidRPr="00000000">
        <w:rPr>
          <w:rFonts w:ascii="Google Sans Text" w:cs="Google Sans Text" w:eastAsia="Google Sans Text" w:hAnsi="Google Sans Text"/>
          <w:b w:val="1"/>
          <w:bCs w:val="1"/>
          <w:color w:val="1f1f1f"/>
          <w:rtl w:val="0"/>
        </w:rPr>
        <w:t xml:space="preserve">2025</w:t>
      </w:r>
      <w:r w:rsidDel="00000000" w:rsidR="00000000" w:rsidRPr="00000000">
        <w:rPr>
          <w:rFonts w:ascii="Google Sans Text" w:cs="Google Sans Text" w:eastAsia="Google Sans Text" w:hAnsi="Google Sans Text"/>
          <w:color w:val="1f1f1f"/>
          <w:rtl w:val="0"/>
        </w:rPr>
        <w:t xml:space="preserve">, la cotización del MEI asciende al </w:t>
      </w:r>
      <w:r w:rsidDel="00000000" w:rsidR="00000000" w:rsidRPr="00000000">
        <w:rPr>
          <w:rFonts w:ascii="Google Sans Text" w:cs="Google Sans Text" w:eastAsia="Google Sans Text" w:hAnsi="Google Sans Text"/>
          <w:b w:val="1"/>
          <w:bCs w:val="1"/>
          <w:color w:val="1f1f1f"/>
          <w:rtl w:val="0"/>
        </w:rPr>
        <w:t xml:space="preserve">0,80%</w:t>
      </w:r>
      <w:r w:rsidDel="00000000" w:rsidR="00000000" w:rsidRPr="00000000">
        <w:rPr>
          <w:rFonts w:ascii="Google Sans Text" w:cs="Google Sans Text" w:eastAsia="Google Sans Text" w:hAnsi="Google Sans Text"/>
          <w:color w:val="1f1f1f"/>
          <w:rtl w:val="0"/>
        </w:rPr>
        <w:t xml:space="preserve"> de la base de cotización. De este porcentaje, el </w:t>
      </w:r>
      <w:r w:rsidDel="00000000" w:rsidR="00000000" w:rsidRPr="00000000">
        <w:rPr>
          <w:rFonts w:ascii="Google Sans Text" w:cs="Google Sans Text" w:eastAsia="Google Sans Text" w:hAnsi="Google Sans Text"/>
          <w:b w:val="1"/>
          <w:bCs w:val="1"/>
          <w:color w:val="1f1f1f"/>
          <w:rtl w:val="0"/>
        </w:rPr>
        <w:t xml:space="preserve">0,67%</w:t>
      </w:r>
      <w:r w:rsidDel="00000000" w:rsidR="00000000" w:rsidRPr="00000000">
        <w:rPr>
          <w:rFonts w:ascii="Google Sans Text" w:cs="Google Sans Text" w:eastAsia="Google Sans Text" w:hAnsi="Google Sans Text"/>
          <w:color w:val="1f1f1f"/>
          <w:rtl w:val="0"/>
        </w:rPr>
        <w:t xml:space="preserve"> corre a cargo de la empresa y el </w:t>
      </w:r>
      <w:r w:rsidDel="00000000" w:rsidR="00000000" w:rsidRPr="00000000">
        <w:rPr>
          <w:rFonts w:ascii="Google Sans Text" w:cs="Google Sans Text" w:eastAsia="Google Sans Text" w:hAnsi="Google Sans Text"/>
          <w:b w:val="1"/>
          <w:bCs w:val="1"/>
          <w:color w:val="1f1f1f"/>
          <w:rtl w:val="0"/>
        </w:rPr>
        <w:t xml:space="preserve">0,13%</w:t>
      </w:r>
      <w:r w:rsidDel="00000000" w:rsidR="00000000" w:rsidRPr="00000000">
        <w:rPr>
          <w:rFonts w:ascii="Google Sans Text" w:cs="Google Sans Text" w:eastAsia="Google Sans Text" w:hAnsi="Google Sans Text"/>
          <w:color w:val="1f1f1f"/>
          <w:rtl w:val="0"/>
        </w:rPr>
        <w:t xml:space="preserve"> a cargo del trabajador.</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La hoja de ruta establece subidas anuales hasta alcanzar el </w:t>
      </w:r>
      <w:r w:rsidDel="00000000" w:rsidR="00000000" w:rsidRPr="00000000">
        <w:rPr>
          <w:rFonts w:ascii="Google Sans Text" w:cs="Google Sans Text" w:eastAsia="Google Sans Text" w:hAnsi="Google Sans Text"/>
          <w:b w:val="1"/>
          <w:bCs w:val="1"/>
          <w:color w:val="1f1f1f"/>
          <w:rtl w:val="0"/>
        </w:rPr>
        <w:t xml:space="preserve">1,2% en 2029</w:t>
      </w:r>
      <w:r w:rsidDel="00000000" w:rsidR="00000000" w:rsidRPr="00000000">
        <w:rPr>
          <w:rFonts w:ascii="Google Sans Text" w:cs="Google Sans Text" w:eastAsia="Google Sans Text" w:hAnsi="Google Sans Text"/>
          <w:color w:val="1f1f1f"/>
          <w:rtl w:val="0"/>
        </w:rPr>
        <w:t xml:space="preserve">, tasa que se mantendrá fija hasta 2050.</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Gracias a este mecanismo, el Gobierno prevé que el Fondo de Reserva cierre 2025 con un acumulado superior a los </w:t>
      </w:r>
      <w:r w:rsidDel="00000000" w:rsidR="00000000" w:rsidRPr="00000000">
        <w:rPr>
          <w:rFonts w:ascii="Google Sans Text" w:cs="Google Sans Text" w:eastAsia="Google Sans Text" w:hAnsi="Google Sans Text"/>
          <w:b w:val="1"/>
          <w:bCs w:val="1"/>
          <w:color w:val="1f1f1f"/>
          <w:rtl w:val="0"/>
        </w:rPr>
        <w:t xml:space="preserve">14.000 millones de euros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Aunque es una mejora sustancial respecto a la situación de vaciamiento de años anteriores, esta cifra apenas cubriría la nómina de pensiones de un mes (que supera los 12.000 millones), lo que subraya que el Fondo es un colchón de liquidez limitado y no una solución de solvencia a largo plazo.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La Cuota de Solidaridad: Gravando el Talento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gran novedad fiscal que entra en vigor de manera efectiva el </w:t>
      </w:r>
      <w:r w:rsidDel="00000000" w:rsidR="00000000" w:rsidRPr="00000000">
        <w:rPr>
          <w:rFonts w:ascii="Google Sans Text" w:cs="Google Sans Text" w:eastAsia="Google Sans Text" w:hAnsi="Google Sans Text"/>
          <w:b w:val="1"/>
          <w:bCs w:val="1"/>
          <w:color w:val="1f1f1f"/>
          <w:rtl w:val="0"/>
        </w:rPr>
        <w:t xml:space="preserve">1 de enero de 2025</w:t>
      </w:r>
      <w:r w:rsidDel="00000000" w:rsidR="00000000" w:rsidRPr="00000000">
        <w:rPr>
          <w:rFonts w:ascii="Google Sans Text" w:cs="Google Sans Text" w:eastAsia="Google Sans Text" w:hAnsi="Google Sans Text"/>
          <w:color w:val="1f1f1f"/>
          <w:rtl w:val="0"/>
        </w:rPr>
        <w:t xml:space="preserve"> es la "Cuota de Solidaridad". Esta medida está diseñada para gravar los salarios que exceden la base máxima de cotización. Hasta ahora, los ingresos por encima de la base máxima (que en 2024 rondaba los 56.600 euros anuales) estaban exentos de cotizar. Con la nueva norma, estos tramos pagarán una cuota extra que </w:t>
      </w:r>
      <w:r w:rsidDel="00000000" w:rsidR="00000000" w:rsidRPr="00000000">
        <w:rPr>
          <w:rFonts w:ascii="Google Sans Text" w:cs="Google Sans Text" w:eastAsia="Google Sans Text" w:hAnsi="Google Sans Text"/>
          <w:b w:val="1"/>
          <w:bCs w:val="1"/>
          <w:color w:val="1f1f1f"/>
          <w:rtl w:val="0"/>
        </w:rPr>
        <w:t xml:space="preserve">no genera derechos de pensión adicionales</w:t>
      </w:r>
      <w:r w:rsidDel="00000000" w:rsidR="00000000" w:rsidRPr="00000000">
        <w:rPr>
          <w:rFonts w:ascii="Google Sans Text" w:cs="Google Sans Text" w:eastAsia="Google Sans Text" w:hAnsi="Google Sans Text"/>
          <w:color w:val="1f1f1f"/>
          <w:rtl w:val="0"/>
        </w:rPr>
        <w:t xml:space="preserve">, rompiendo el principio de contributividad y convirtiendo la aportación en un impuesto puro.</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implementación es gradual hasta 2045. Para el año </w:t>
      </w:r>
      <w:r w:rsidDel="00000000" w:rsidR="00000000" w:rsidRPr="00000000">
        <w:rPr>
          <w:rFonts w:ascii="Google Sans Text" w:cs="Google Sans Text" w:eastAsia="Google Sans Text" w:hAnsi="Google Sans Text"/>
          <w:b w:val="1"/>
          <w:bCs w:val="1"/>
          <w:color w:val="1f1f1f"/>
          <w:rtl w:val="0"/>
        </w:rPr>
        <w:t xml:space="preserve">2025</w:t>
      </w:r>
      <w:r w:rsidDel="00000000" w:rsidR="00000000" w:rsidRPr="00000000">
        <w:rPr>
          <w:rFonts w:ascii="Google Sans Text" w:cs="Google Sans Text" w:eastAsia="Google Sans Text" w:hAnsi="Google Sans Text"/>
          <w:color w:val="1f1f1f"/>
          <w:rtl w:val="0"/>
        </w:rPr>
        <w:t xml:space="preserve">, los tipos aplicables sobre el exceso de la base máxima se estructuran en tres tramos progresivos:</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Tramo 1 (Exceso entre base máxima y +10%):</w:t>
      </w:r>
      <w:r w:rsidDel="00000000" w:rsidR="00000000" w:rsidRPr="00000000">
        <w:rPr>
          <w:rFonts w:ascii="Google Sans Text" w:cs="Google Sans Text" w:eastAsia="Google Sans Text" w:hAnsi="Google Sans Text"/>
          <w:color w:val="1f1f1f"/>
          <w:rtl w:val="0"/>
        </w:rPr>
        <w:t xml:space="preserve"> Se aplica un tipo del </w:t>
      </w:r>
      <w:r w:rsidDel="00000000" w:rsidR="00000000" w:rsidRPr="00000000">
        <w:rPr>
          <w:rFonts w:ascii="Google Sans Text" w:cs="Google Sans Text" w:eastAsia="Google Sans Text" w:hAnsi="Google Sans Text"/>
          <w:b w:val="1"/>
          <w:bCs w:val="1"/>
          <w:color w:val="1f1f1f"/>
          <w:rtl w:val="0"/>
        </w:rPr>
        <w:t xml:space="preserve">0,92%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Tramo 2 (Exceso entre +10% y +50%):</w:t>
      </w:r>
      <w:r w:rsidDel="00000000" w:rsidR="00000000" w:rsidRPr="00000000">
        <w:rPr>
          <w:rFonts w:ascii="Google Sans Text" w:cs="Google Sans Text" w:eastAsia="Google Sans Text" w:hAnsi="Google Sans Text"/>
          <w:color w:val="1f1f1f"/>
          <w:rtl w:val="0"/>
        </w:rPr>
        <w:t xml:space="preserve"> Se aplica un tipo del </w:t>
      </w:r>
      <w:r w:rsidDel="00000000" w:rsidR="00000000" w:rsidRPr="00000000">
        <w:rPr>
          <w:rFonts w:ascii="Google Sans Text" w:cs="Google Sans Text" w:eastAsia="Google Sans Text" w:hAnsi="Google Sans Text"/>
          <w:b w:val="1"/>
          <w:bCs w:val="1"/>
          <w:color w:val="1f1f1f"/>
          <w:rtl w:val="0"/>
        </w:rPr>
        <w:t xml:space="preserve">1,00%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Tramo 3 (Exceso superior al +50%):</w:t>
      </w:r>
      <w:r w:rsidDel="00000000" w:rsidR="00000000" w:rsidRPr="00000000">
        <w:rPr>
          <w:rFonts w:ascii="Google Sans Text" w:cs="Google Sans Text" w:eastAsia="Google Sans Text" w:hAnsi="Google Sans Text"/>
          <w:color w:val="1f1f1f"/>
          <w:rtl w:val="0"/>
        </w:rPr>
        <w:t xml:space="preserve"> Se aplica un tipo del </w:t>
      </w:r>
      <w:r w:rsidDel="00000000" w:rsidR="00000000" w:rsidRPr="00000000">
        <w:rPr>
          <w:rFonts w:ascii="Google Sans Text" w:cs="Google Sans Text" w:eastAsia="Google Sans Text" w:hAnsi="Google Sans Text"/>
          <w:b w:val="1"/>
          <w:bCs w:val="1"/>
          <w:color w:val="1f1f1f"/>
          <w:rtl w:val="0"/>
        </w:rPr>
        <w:t xml:space="preserve">1,17%</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Estos tipos irán aumentando anualmente hasta alcanzar en 2045 unos valores finales del 5,5%, 6% y 7% respectivamente. La medida ha generado un fuerte rechazo en la patronal CEOE y CEPYME, que advierten que penaliza la contratación de perfiles altamente cualificados y reduce la competitividad de las empresas españolas para atraer talento internacional, dado que aumenta el coste laboral sin contraprestación para el trabajador.</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El impacto recaudatorio inicial se estima en unos </w:t>
      </w:r>
      <w:r w:rsidDel="00000000" w:rsidR="00000000" w:rsidRPr="00000000">
        <w:rPr>
          <w:rFonts w:ascii="Google Sans Text" w:cs="Google Sans Text" w:eastAsia="Google Sans Text" w:hAnsi="Google Sans Text"/>
          <w:b w:val="1"/>
          <w:bCs w:val="1"/>
          <w:color w:val="1f1f1f"/>
          <w:rtl w:val="0"/>
        </w:rPr>
        <w:t xml:space="preserve">200 millones de euros</w:t>
      </w:r>
      <w:r w:rsidDel="00000000" w:rsidR="00000000" w:rsidRPr="00000000">
        <w:rPr>
          <w:rFonts w:ascii="Google Sans Text" w:cs="Google Sans Text" w:eastAsia="Google Sans Text" w:hAnsi="Google Sans Text"/>
          <w:color w:val="1f1f1f"/>
          <w:rtl w:val="0"/>
        </w:rPr>
        <w:t xml:space="preserve"> en el primer semestre, una cifra modesta en el contexto del déficit global, pero con vocación de crecimiento estructural.</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El Destope de las Bases Máximas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Junto a la cuota de solidaridad, la reforma establece que las bases máximas de cotización subirán anualmente el IPC más un recargo fijo de </w:t>
      </w:r>
      <w:r w:rsidDel="00000000" w:rsidR="00000000" w:rsidRPr="00000000">
        <w:rPr>
          <w:rFonts w:ascii="Google Sans Text" w:cs="Google Sans Text" w:eastAsia="Google Sans Text" w:hAnsi="Google Sans Text"/>
          <w:b w:val="1"/>
          <w:bCs w:val="1"/>
          <w:color w:val="1f1f1f"/>
          <w:rtl w:val="0"/>
        </w:rPr>
        <w:t xml:space="preserve">1,2 puntos porcentuales</w:t>
      </w:r>
      <w:r w:rsidDel="00000000" w:rsidR="00000000" w:rsidRPr="00000000">
        <w:rPr>
          <w:rFonts w:ascii="Google Sans Text" w:cs="Google Sans Text" w:eastAsia="Google Sans Text" w:hAnsi="Google Sans Text"/>
          <w:color w:val="1f1f1f"/>
          <w:rtl w:val="0"/>
        </w:rPr>
        <w:t xml:space="preserve"> desde 2024 hasta 2050. Sin embargo, la pensión máxima no subirá en la misma proporción (subirá IPC + 0,115 puntos). Este "destope asimétrico" implica que los trabajadores de rentas altas pagarán cada vez más, pero recibirán proporcionalmente menos pensión en relación a lo aportado, transformando el sistema hacia un modelo más asistencial y redistributivo, alejándose del modelo asegurador bismarckiano tradicional.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El Fracaso del Segundo Pilar y la Excepción de la Construcción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Uno de los pilares de la reforma de Escrivá fue el impulso de la previsión social complementaria en el ámbito empresarial (el "segundo pilar"), buscando emular modelos exitosos como el del País Vasco (EPSV) o el británico. Para ello, se aprobó la Ley 12/2022, que creó los Fondos de Pensiones de Empleo de Promoción Pública (FPEPP) y los planes simplificados.</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Un Despegue Fallido de los Planes Simplificados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Los datos al cierre de 2024 y proyecciones de 2025 confirman que la estrategia no ha funcionado como se esperaba. Según la patronal Inverco, el patrimonio de los planes de empleo simplificados apenas alcanzó los </w:t>
      </w:r>
      <w:r w:rsidDel="00000000" w:rsidR="00000000" w:rsidRPr="00000000">
        <w:rPr>
          <w:rFonts w:ascii="Google Sans Text" w:cs="Google Sans Text" w:eastAsia="Google Sans Text" w:hAnsi="Google Sans Text"/>
          <w:b w:val="1"/>
          <w:bCs w:val="1"/>
          <w:color w:val="1f1f1f"/>
          <w:rtl w:val="0"/>
        </w:rPr>
        <w:t xml:space="preserve">388 millones de euros</w:t>
      </w:r>
      <w:r w:rsidDel="00000000" w:rsidR="00000000" w:rsidRPr="00000000">
        <w:rPr>
          <w:rFonts w:ascii="Google Sans Text" w:cs="Google Sans Text" w:eastAsia="Google Sans Text" w:hAnsi="Google Sans Text"/>
          <w:color w:val="1f1f1f"/>
          <w:rtl w:val="0"/>
        </w:rPr>
        <w:t xml:space="preserve"> a finales de 2024.</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Esta cifra es insignificante en comparación con el volumen total del ahorro previsional en España (más de 130.000 millones).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fracaso se atribuye a varios factores:</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Incentivos insuficientes:</w:t>
      </w:r>
      <w:r w:rsidDel="00000000" w:rsidR="00000000" w:rsidRPr="00000000">
        <w:rPr>
          <w:rFonts w:ascii="Google Sans Text" w:cs="Google Sans Text" w:eastAsia="Google Sans Text" w:hAnsi="Google Sans Text"/>
          <w:color w:val="1f1f1f"/>
          <w:rtl w:val="0"/>
        </w:rPr>
        <w:t xml:space="preserve"> Aunque se introdujeron deducciones en el Impuesto de Sociedades y reducciones en las cuotas a la Seguridad Social, las empresas (especialmente las PYMES) consideran que no compensan la carga administrativa y el coste laboral añadido.</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Destrucción del Tercer Pilar:</w:t>
      </w:r>
      <w:r w:rsidDel="00000000" w:rsidR="00000000" w:rsidRPr="00000000">
        <w:rPr>
          <w:rFonts w:ascii="Google Sans Text" w:cs="Google Sans Text" w:eastAsia="Google Sans Text" w:hAnsi="Google Sans Text"/>
          <w:color w:val="1f1f1f"/>
          <w:rtl w:val="0"/>
        </w:rPr>
        <w:t xml:space="preserve"> Para fomentar los planes de empresa, el Gobierno redujo drásticamente el límite de aportación deducible a los planes individuales (de 8.000€ a 1.500€ anuales). Esto provocó que muchos ahorradores dejaran de aportar a planes individuales, pero no trasladaron ese ahorro a planes de empresa porque sus empleadores no los ofrecían. El resultado neto ha sido una caída del ahorro para la jubilación.</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Complejidad Burocrática:</w:t>
      </w:r>
      <w:r w:rsidDel="00000000" w:rsidR="00000000" w:rsidRPr="00000000">
        <w:rPr>
          <w:rFonts w:ascii="Google Sans Text" w:cs="Google Sans Text" w:eastAsia="Google Sans Text" w:hAnsi="Google Sans Text"/>
          <w:color w:val="1f1f1f"/>
          <w:rtl w:val="0"/>
        </w:rPr>
        <w:t xml:space="preserve"> La puesta en marcha de los fondos de promoción pública ha sido lenta y farragosa.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La Excepción: El Plan del Sector de la Construcción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En medio de este panorama sombrío, destaca un caso de éxito rotundo: el Plan de Pensiones del Sector de la Construcción. Fruto de la negociación colectiva entre la patronal CNC y los sindicatos CCOO y UGT, este plan se ha convertido en el mayor de España. A finales de 2024 y principios de 2025, contaba con más de </w:t>
      </w:r>
      <w:r w:rsidDel="00000000" w:rsidR="00000000" w:rsidRPr="00000000">
        <w:rPr>
          <w:rFonts w:ascii="Google Sans Text" w:cs="Google Sans Text" w:eastAsia="Google Sans Text" w:hAnsi="Google Sans Text"/>
          <w:b w:val="1"/>
          <w:bCs w:val="1"/>
          <w:color w:val="1f1f1f"/>
          <w:rtl w:val="0"/>
        </w:rPr>
        <w:t xml:space="preserve">822.000 partícipes</w:t>
      </w:r>
      <w:r w:rsidDel="00000000" w:rsidR="00000000" w:rsidRPr="00000000">
        <w:rPr>
          <w:rFonts w:ascii="Google Sans Text" w:cs="Google Sans Text" w:eastAsia="Google Sans Text" w:hAnsi="Google Sans Text"/>
          <w:color w:val="1f1f1f"/>
          <w:rtl w:val="0"/>
        </w:rPr>
        <w:t xml:space="preserve"> y un patrimonio gestionado por VidaCaixa que superaba los </w:t>
      </w:r>
      <w:r w:rsidDel="00000000" w:rsidR="00000000" w:rsidRPr="00000000">
        <w:rPr>
          <w:rFonts w:ascii="Google Sans Text" w:cs="Google Sans Text" w:eastAsia="Google Sans Text" w:hAnsi="Google Sans Text"/>
          <w:b w:val="1"/>
          <w:bCs w:val="1"/>
          <w:color w:val="1f1f1f"/>
          <w:rtl w:val="0"/>
        </w:rPr>
        <w:t xml:space="preserve">221 millones de euros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 éxito de este plan radica en su carácter cuasi-obligatorio (establecido por convenio sectorial) y en que abarca a una masa laboral enorme y homogénea. Este caso demuestra que el segundo pilar solo funciona en España si se articula a través de grandes acuerdos sectoriales con adscripción por defecto, un modelo difícil de replicar en sectores más atomizados o con menor tradición sindical como la hostelería o el comercio.</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Adecuación, Equidad y Mercado Laboral: La Brecha Intergeneracional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La Generosidad del Sistema Español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España destaca en el contexto internacional por la generosidad de sus pensiones públicas. La </w:t>
      </w:r>
      <w:r w:rsidDel="00000000" w:rsidR="00000000" w:rsidRPr="00000000">
        <w:rPr>
          <w:rFonts w:ascii="Google Sans Text" w:cs="Google Sans Text" w:eastAsia="Google Sans Text" w:hAnsi="Google Sans Text"/>
          <w:b w:val="1"/>
          <w:bCs w:val="1"/>
          <w:color w:val="1f1f1f"/>
          <w:rtl w:val="0"/>
        </w:rPr>
        <w:t xml:space="preserve">tasa de reemplazo neta</w:t>
      </w:r>
      <w:r w:rsidDel="00000000" w:rsidR="00000000" w:rsidRPr="00000000">
        <w:rPr>
          <w:rFonts w:ascii="Google Sans Text" w:cs="Google Sans Text" w:eastAsia="Google Sans Text" w:hAnsi="Google Sans Text"/>
          <w:color w:val="1f1f1f"/>
          <w:rtl w:val="0"/>
        </w:rPr>
        <w:t xml:space="preserve"> para un trabajador medio es del </w:t>
      </w:r>
      <w:r w:rsidDel="00000000" w:rsidR="00000000" w:rsidRPr="00000000">
        <w:rPr>
          <w:rFonts w:ascii="Google Sans Text" w:cs="Google Sans Text" w:eastAsia="Google Sans Text" w:hAnsi="Google Sans Text"/>
          <w:b w:val="1"/>
          <w:bCs w:val="1"/>
          <w:color w:val="1f1f1f"/>
          <w:rtl w:val="0"/>
        </w:rPr>
        <w:t xml:space="preserve">76-80%</w:t>
      </w:r>
      <w:r w:rsidDel="00000000" w:rsidR="00000000" w:rsidRPr="00000000">
        <w:rPr>
          <w:rFonts w:ascii="Google Sans Text" w:cs="Google Sans Text" w:eastAsia="Google Sans Text" w:hAnsi="Google Sans Text"/>
          <w:color w:val="1f1f1f"/>
          <w:rtl w:val="0"/>
        </w:rPr>
        <w:t xml:space="preserve">, frente al 63% de media en la OCDE y cifras muy inferiores en Alemania o Francia (alrededor del 60% y 74% respectivamente).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Esto garantiza que los jubilados españoles mantengan un nivel de vida muy similar al que tenían cuando trabajaban, protegiéndolos eficazmente contra la pobreza. De hecho, la tasa de riesgo de pobreza en mayores de 65 años en España es significativamente menor que en otros grupos de edad, especialmente jóvenes y niños.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La Paradoja "Jubilado Rico, Trabajador Pobre"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Esta alta suficiencia contrasta con la precariedad del mercado laboral que la financia. Los datos muestran una brecha creciente: la pensión media de las nuevas altas de jubilación en 2025 supera ya al salario más frecuente de los trabajadores jóvenes y de gran parte de los asalariados.</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La Encuesta Financiera de las Familias del Banco de España revela que, mientras la riqueza neta de los hogares mayores de 65 años se ha mantenido robusta (sustentada en la propiedad inmobiliaria), la riqueza de los hogares menores de 35 años se ha desplomado en las últimas dos décadas.</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Esta dinámica plantea un problema de equidad intergeneracional: una generación activa con altas tasas de desempleo (liderando el paro juvenil en Europa con tasas superiores al 24% </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f1f1f"/>
          <w:rtl w:val="0"/>
        </w:rPr>
        <w:t xml:space="preserve">), salarios estancados y dificultades de acceso a la vivienda, está transfiriendo una parte creciente de su renta (vía cotizaciones MEI y cuota de solidaridad) a una generación pasiva con una posición patrimonial y de renta comparativamente más sólida.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Competitividad y Cuña Fiscal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aumento de las cotizaciones sociales tiene un impacto directo en la competitividad. La </w:t>
      </w:r>
      <w:r w:rsidDel="00000000" w:rsidR="00000000" w:rsidRPr="00000000">
        <w:rPr>
          <w:rFonts w:ascii="Google Sans Text" w:cs="Google Sans Text" w:eastAsia="Google Sans Text" w:hAnsi="Google Sans Text"/>
          <w:b w:val="1"/>
          <w:bCs w:val="1"/>
          <w:color w:val="1f1f1f"/>
          <w:rtl w:val="0"/>
        </w:rPr>
        <w:t xml:space="preserve">cuña fiscal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tax wedge</w:t>
      </w:r>
      <w:r w:rsidDel="00000000" w:rsidR="00000000" w:rsidRPr="00000000">
        <w:rPr>
          <w:rFonts w:ascii="Google Sans Text" w:cs="Google Sans Text" w:eastAsia="Google Sans Text" w:hAnsi="Google Sans Text"/>
          <w:color w:val="1f1f1f"/>
          <w:rtl w:val="0"/>
        </w:rPr>
        <w:t xml:space="preserve">) en España —la diferencia entre el coste laboral total para la empresa y el salario neto que recibe el trabajador— superó el </w:t>
      </w:r>
      <w:r w:rsidDel="00000000" w:rsidR="00000000" w:rsidRPr="00000000">
        <w:rPr>
          <w:rFonts w:ascii="Google Sans Text" w:cs="Google Sans Text" w:eastAsia="Google Sans Text" w:hAnsi="Google Sans Text"/>
          <w:b w:val="1"/>
          <w:bCs w:val="1"/>
          <w:color w:val="1f1f1f"/>
          <w:rtl w:val="0"/>
        </w:rPr>
        <w:t xml:space="preserve">40,2%</w:t>
      </w:r>
      <w:r w:rsidDel="00000000" w:rsidR="00000000" w:rsidRPr="00000000">
        <w:rPr>
          <w:rFonts w:ascii="Google Sans Text" w:cs="Google Sans Text" w:eastAsia="Google Sans Text" w:hAnsi="Google Sans Text"/>
          <w:color w:val="1f1f1f"/>
          <w:rtl w:val="0"/>
        </w:rPr>
        <w:t xml:space="preserve"> en 2024, situándose por encima de la media de la OCDE (34,8%).</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 Las nuevas medidas (MEI, cuota de solidaridad) empujan esta cuña al alza.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Un coste laboral excesivo puede desincentivar la creación de empleo y fomentar la economía sumergida, lo que a su vez erosionaría la base de ingresos del sistema de pensiones, creando un círculo vicioso. La OCDE ha recomendado a España reducir las cotizaciones sociales para los trabajadores de bajos ingresos y financiar esa reducción con imposición indirecta (IVA) o medioambiental, una recomendación que choca con la estrategia actual del Gobierno.</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Retos de Futuro y Alternativas Estructurales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La Productividad como Variable Clave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Más allá de la ingeniería paramétrica, la sostenibilidad real del sistema de reparto depende de la productividad. El Banco de España y la AIReF advierten recurrentemente sobre el estancamiento de la productividad en España, que crece a tasas anémicas del 1,1% anual.</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f1f1f"/>
          <w:rtl w:val="0"/>
        </w:rPr>
        <w:t xml:space="preserve"> Sin un aumento robusto de la productividad, los salarios reales no pueden crecer de forma sostenible, lo que limita la capacidad de recaudación. El </w:t>
      </w:r>
      <w:r w:rsidDel="00000000" w:rsidR="00000000" w:rsidRPr="00000000">
        <w:rPr>
          <w:rFonts w:ascii="Google Sans Text" w:cs="Google Sans Text" w:eastAsia="Google Sans Text" w:hAnsi="Google Sans Text"/>
          <w:i w:val="1"/>
          <w:iCs w:val="1"/>
          <w:color w:val="1f1f1f"/>
          <w:rtl w:val="0"/>
        </w:rPr>
        <w:t xml:space="preserve">Ageing Report</w:t>
      </w:r>
      <w:r w:rsidDel="00000000" w:rsidR="00000000" w:rsidRPr="00000000">
        <w:rPr>
          <w:rFonts w:ascii="Google Sans Text" w:cs="Google Sans Text" w:eastAsia="Google Sans Text" w:hAnsi="Google Sans Text"/>
          <w:color w:val="1f1f1f"/>
          <w:rtl w:val="0"/>
        </w:rPr>
        <w:t xml:space="preserve"> asume un crecimiento de la productividad moderado; cualquier desviación a la baja en esta variable haría insostenible el gasto proyectado.</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La Inmigración: ¿Solución o Parche?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Gobierno confía en la llegada de inmigrantes (entre 300.000 y 400.000 anuales) para rejuvenecer la fuerza laboral.</w:t>
      </w:r>
      <w:r w:rsidDel="00000000" w:rsidR="00000000" w:rsidRPr="00000000">
        <w:rPr>
          <w:rFonts w:ascii="Google Sans Text" w:cs="Google Sans Text" w:eastAsia="Google Sans Text" w:hAnsi="Google Sans Text"/>
          <w:color w:val="444746"/>
          <w:sz w:val="24"/>
          <w:szCs w:val="24"/>
          <w:vertAlign w:val="superscript"/>
          <w:rtl w:val="0"/>
        </w:rPr>
        <w:t xml:space="preserve">48</w:t>
      </w:r>
      <w:r w:rsidDel="00000000" w:rsidR="00000000" w:rsidRPr="00000000">
        <w:rPr>
          <w:rFonts w:ascii="Google Sans Text" w:cs="Google Sans Text" w:eastAsia="Google Sans Text" w:hAnsi="Google Sans Text"/>
          <w:color w:val="1f1f1f"/>
          <w:rtl w:val="0"/>
        </w:rPr>
        <w:t xml:space="preserve"> Sin embargo, la AIReF estima que sería necesario un flujo neto de casi </w:t>
      </w:r>
      <w:r w:rsidDel="00000000" w:rsidR="00000000" w:rsidRPr="00000000">
        <w:rPr>
          <w:rFonts w:ascii="Google Sans Text" w:cs="Google Sans Text" w:eastAsia="Google Sans Text" w:hAnsi="Google Sans Text"/>
          <w:b w:val="1"/>
          <w:bCs w:val="1"/>
          <w:color w:val="1f1f1f"/>
          <w:rtl w:val="0"/>
        </w:rPr>
        <w:t xml:space="preserve">un millón de inmigrantes adicionales</w:t>
      </w:r>
      <w:r w:rsidDel="00000000" w:rsidR="00000000" w:rsidRPr="00000000">
        <w:rPr>
          <w:rFonts w:ascii="Google Sans Text" w:cs="Google Sans Text" w:eastAsia="Google Sans Text" w:hAnsi="Google Sans Text"/>
          <w:color w:val="1f1f1f"/>
          <w:rtl w:val="0"/>
        </w:rPr>
        <w:t xml:space="preserve"> de aquí a 2050 para estabilizar la tasa de dependencia, una cifra que plantea enormes retos de gestión social y absorción laboral.</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f1f1f"/>
          <w:rtl w:val="0"/>
        </w:rPr>
        <w:t xml:space="preserve"> Además, los inmigrantes también generarán derechos de pensión futuros, por lo que su efecto positivo es temporal si no se transforman en trabajadores de alta productividad.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Alternativas Estructurales: Mochila Austriaca y Cuentas Nocionales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Ante las tensiones del sistema actual, el debate técnico (aunque no el político) mantiene vivas dos alternativas:</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Cuentas Nocionales (Modelo Sueco/Italiano):</w:t>
      </w:r>
      <w:r w:rsidDel="00000000" w:rsidR="00000000" w:rsidRPr="00000000">
        <w:rPr>
          <w:rFonts w:ascii="Google Sans Text" w:cs="Google Sans Text" w:eastAsia="Google Sans Text" w:hAnsi="Google Sans Text"/>
          <w:color w:val="1f1f1f"/>
          <w:rtl w:val="0"/>
        </w:rPr>
        <w:t xml:space="preserve"> Cada trabajador tiene una cuenta virtual donde se anotan sus cotizaciones. Al jubilarse, la pensión se calcula dividiendo el capital acumulado por la esperanza de vida de su cohorte. Este sistema es mucho más transparente y justo actuarialmente, y se adapta automáticamente a la longevidad. Sin embargo, su implementación en España requeriría una transición muy larga y probablemente implicaría una reducción de la tasa de reemplazo inicial.</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Mochila Austriaca:</w:t>
      </w:r>
      <w:r w:rsidDel="00000000" w:rsidR="00000000" w:rsidRPr="00000000">
        <w:rPr>
          <w:rFonts w:ascii="Google Sans Text" w:cs="Google Sans Text" w:eastAsia="Google Sans Text" w:hAnsi="Google Sans Text"/>
          <w:color w:val="1f1f1f"/>
          <w:rtl w:val="0"/>
        </w:rPr>
        <w:t xml:space="preserve"> Un fondo individual que el trabajador acumula a lo largo de su vida y que puede usar en caso de despido o guardar para la jubilación. El Banco de España ha analizado su potencial para reducir la dualidad del mercado laboral y fomentar la movilidad, pero su coste de transición (doble pago para las empresas durante un tiempo) dificulta su adopción.</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La Regla de Gasto y la Evaluación de 2025</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En marzo de 2025, la AIReF emitirá un informe crucial evaluando si el gasto medio en pensiones proyectado para 2022-2050 supera el límite del </w:t>
      </w:r>
      <w:r w:rsidDel="00000000" w:rsidR="00000000" w:rsidRPr="00000000">
        <w:rPr>
          <w:rFonts w:ascii="Google Sans Text" w:cs="Google Sans Text" w:eastAsia="Google Sans Text" w:hAnsi="Google Sans Text"/>
          <w:b w:val="1"/>
          <w:bCs w:val="1"/>
          <w:color w:val="1f1f1f"/>
          <w:rtl w:val="0"/>
        </w:rPr>
        <w:t xml:space="preserve">13,3% del PIB</w:t>
      </w:r>
      <w:r w:rsidDel="00000000" w:rsidR="00000000" w:rsidRPr="00000000">
        <w:rPr>
          <w:rFonts w:ascii="Google Sans Text" w:cs="Google Sans Text" w:eastAsia="Google Sans Text" w:hAnsi="Google Sans Text"/>
          <w:color w:val="1f1f1f"/>
          <w:rtl w:val="0"/>
        </w:rPr>
        <w:t xml:space="preserve"> (neto de medidas de ingresos). Las estimaciones preliminares sugieren que, aunque el gasto bruto superará el 15%, al descontar el impacto recaudatorio de las nuevas medidas (valorado en 1,4 puntos de PIB), es probable que se declare el cumplimiento técnico de la regla.</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f1f1f"/>
          <w:rtl w:val="0"/>
        </w:rPr>
        <w:t xml:space="preserve"> Esto evitaría ajustes automáticos inmediatos, pero la AIReF ya ha advertido que "cumplir la regla no implica que la sostenibilidad haya mejorado", señalando un deterioro estructural de las cuentas a largo plazo.</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análisis de la situación de las pensiones en España arroja un panorama de </w:t>
      </w:r>
      <w:r w:rsidDel="00000000" w:rsidR="00000000" w:rsidRPr="00000000">
        <w:rPr>
          <w:rFonts w:ascii="Google Sans Text" w:cs="Google Sans Text" w:eastAsia="Google Sans Text" w:hAnsi="Google Sans Text"/>
          <w:b w:val="1"/>
          <w:bCs w:val="1"/>
          <w:color w:val="1f1f1f"/>
          <w:rtl w:val="0"/>
        </w:rPr>
        <w:t xml:space="preserve">alta protección social presente a costa de una elevada incertidumbre futura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Sostenibilidad Comprometida:</w:t>
      </w:r>
      <w:r w:rsidDel="00000000" w:rsidR="00000000" w:rsidRPr="00000000">
        <w:rPr>
          <w:rFonts w:ascii="Google Sans Text" w:cs="Google Sans Text" w:eastAsia="Google Sans Text" w:hAnsi="Google Sans Text"/>
          <w:color w:val="1f1f1f"/>
          <w:rtl w:val="0"/>
        </w:rPr>
        <w:t xml:space="preserve"> El sistema se enfrenta a un déficit actuarial estructural que las reformas de ingresos (MEI, cuota de solidaridad) solo cubren parcialmente. La dependencia de transferencias del Estado (40.000 millones anuales) traslada el problema de la Seguridad Social al déficit público general.</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Riesgo de Competitividad:</w:t>
      </w:r>
      <w:r w:rsidDel="00000000" w:rsidR="00000000" w:rsidRPr="00000000">
        <w:rPr>
          <w:rFonts w:ascii="Google Sans Text" w:cs="Google Sans Text" w:eastAsia="Google Sans Text" w:hAnsi="Google Sans Text"/>
          <w:color w:val="1f1f1f"/>
          <w:rtl w:val="0"/>
        </w:rPr>
        <w:t xml:space="preserve"> La estrategia de aumentar las cotizaciones eleva la cuña fiscal por encima de la media de la OCDE, lo que puede lastrar la creación de empleo y la atracción de talento, elementos vitales para la sostenibilidad.</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Equidad Intergeneracional:</w:t>
      </w:r>
      <w:r w:rsidDel="00000000" w:rsidR="00000000" w:rsidRPr="00000000">
        <w:rPr>
          <w:rFonts w:ascii="Google Sans Text" w:cs="Google Sans Text" w:eastAsia="Google Sans Text" w:hAnsi="Google Sans Text"/>
          <w:color w:val="1f1f1f"/>
          <w:rtl w:val="0"/>
        </w:rPr>
        <w:t xml:space="preserve"> Se está produciendo una transferencia de renta masiva de los trabajadores jóvenes a los pensionistas, con un sistema que blinda el poder adquisitivo de los segundos mientras los salarios reales de los primeros se estancan.</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Fracaso del Segundo Pilar:</w:t>
      </w:r>
      <w:r w:rsidDel="00000000" w:rsidR="00000000" w:rsidRPr="00000000">
        <w:rPr>
          <w:rFonts w:ascii="Google Sans Text" w:cs="Google Sans Text" w:eastAsia="Google Sans Text" w:hAnsi="Google Sans Text"/>
          <w:color w:val="1f1f1f"/>
          <w:rtl w:val="0"/>
        </w:rPr>
        <w:t xml:space="preserve"> Salvo en la construcción, los planes de empresa no están despegando, dejando a España coja de una pata fundamental en la estructura de ahorro previsional europea.</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reto para España en el horizonte 2025-2070 no es solo pagar las pensiones, sino hacerlo sin asfixiar a la economía productiva ni romper el contrato social con las generaciones más jóvenes. La evidencia sugiere que, tras la jubilación del </w:t>
      </w:r>
      <w:r w:rsidDel="00000000" w:rsidR="00000000" w:rsidRPr="00000000">
        <w:rPr>
          <w:rFonts w:ascii="Google Sans Text" w:cs="Google Sans Text" w:eastAsia="Google Sans Text" w:hAnsi="Google Sans Text"/>
          <w:i w:val="1"/>
          <w:iCs w:val="1"/>
          <w:color w:val="1f1f1f"/>
          <w:rtl w:val="0"/>
        </w:rPr>
        <w:t xml:space="preserve">baby boom</w:t>
      </w:r>
      <w:r w:rsidDel="00000000" w:rsidR="00000000" w:rsidRPr="00000000">
        <w:rPr>
          <w:rFonts w:ascii="Google Sans Text" w:cs="Google Sans Text" w:eastAsia="Google Sans Text" w:hAnsi="Google Sans Text"/>
          <w:color w:val="1f1f1f"/>
          <w:rtl w:val="0"/>
        </w:rPr>
        <w:t xml:space="preserve">, será ineludible reabrir el debate sobre los parámetros de gasto, la edad de jubilación y, posiblemente, la introducción de elementos de cuentas nocionales que aporten transparencia y equilibrio actuarial al sistema.</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rtl w:val="0"/>
        </w:rPr>
        <w:t xml:space="preserve">Tabla 1: Proyección de Tipos de la Cuota de Solidaridad (2025)</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Fuente: Elaboración propia basada en RDL 2/2023 y legislación vigente 9</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Tramo de Exceso sobre Base Máxima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Tipo de Cotización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 Base Máxima a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 +10% a +50%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Superior a +50%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1,17%</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Tabla 2: Evolución Prevista del MEI (2023-2030)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Fuente: Normativa de Seguridad Social 20</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Año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Tipo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Cargo Empresa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Cargo Trabajador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2029 (Final)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0,20%</w:t>
            </w:r>
          </w:p>
        </w:tc>
      </w:tr>
    </w:tbl>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pensiones en España.pdf</w:t>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Seguridad Social dice que el informe de la OCDE sobre gasto en pensiones incluye información "desfasada", fecha de acceso: noviembre 29, 2025, </w:t>
      </w:r>
      <w:hyperlink r:id="rId6">
        <w:r w:rsidDel="00000000" w:rsidR="00000000" w:rsidRPr="00000000">
          <w:rPr>
            <w:rFonts w:ascii="Google Sans" w:cs="Google Sans" w:eastAsia="Google Sans" w:hAnsi="Google Sans"/>
            <w:color w:val="0000ee"/>
            <w:sz w:val="24"/>
            <w:szCs w:val="24"/>
            <w:u w:val="single"/>
            <w:rtl w:val="0"/>
          </w:rPr>
          <w:t xml:space="preserve">https://forbes.es/economia/835707/seguridad-social-dice-que-el-informe-de-la-ocde-sobre-gasto-en-pensiones-incluye-informacion-desfasada/</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Gobierno señala que el reporte de la OCDE sobre gasto en pensiones usa datos antiguos, fecha de acceso: noviembre 29, 2025, </w:t>
      </w:r>
      <w:hyperlink r:id="rId7">
        <w:r w:rsidDel="00000000" w:rsidR="00000000" w:rsidRPr="00000000">
          <w:rPr>
            <w:rFonts w:ascii="Google Sans" w:cs="Google Sans" w:eastAsia="Google Sans" w:hAnsi="Google Sans"/>
            <w:color w:val="0000ee"/>
            <w:sz w:val="24"/>
            <w:szCs w:val="24"/>
            <w:u w:val="single"/>
            <w:rtl w:val="0"/>
          </w:rPr>
          <w:t xml:space="preserve">https://www.democrata.es/economia/gobierno-senala-reporte-ocde-gasto-pensiones-usa-datos-antiguos/</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ageing on public finances: a major challenge for Spain and Europe - CaixaBank Research, fecha de acceso: noviembre 29, 2025, </w:t>
      </w:r>
      <w:hyperlink r:id="rId8">
        <w:r w:rsidDel="00000000" w:rsidR="00000000" w:rsidRPr="00000000">
          <w:rPr>
            <w:rFonts w:ascii="Google Sans" w:cs="Google Sans" w:eastAsia="Google Sans" w:hAnsi="Google Sans"/>
            <w:color w:val="0000ee"/>
            <w:sz w:val="24"/>
            <w:szCs w:val="24"/>
            <w:u w:val="single"/>
            <w:rtl w:val="0"/>
          </w:rPr>
          <w:t xml:space="preserve">https://www.caixabankresearch.com/sites/default/files/content/file/2025/09/18/34411/im09_25_09_dossier_3_en_0.pdf</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MACROECONOMIC IMPACT OF AGEING, EU IMMIGRATION POLICY AND PENSION EXPENDITURES - Bruegel, fecha de acceso: noviembre 29, 2025, </w:t>
      </w:r>
      <w:hyperlink r:id="rId9">
        <w:r w:rsidDel="00000000" w:rsidR="00000000" w:rsidRPr="00000000">
          <w:rPr>
            <w:rFonts w:ascii="Google Sans" w:cs="Google Sans" w:eastAsia="Google Sans" w:hAnsi="Google Sans"/>
            <w:color w:val="0000ee"/>
            <w:sz w:val="24"/>
            <w:szCs w:val="24"/>
            <w:u w:val="single"/>
            <w:rtl w:val="0"/>
          </w:rPr>
          <w:t xml:space="preserve">https://www.bruegel.org/sites/default/files/2025-10/WP%2024%202025_1.pdf</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pensiones subirán un 2,7% en 2026, fecha de acceso: noviembre 29, 2025, </w:t>
      </w:r>
      <w:hyperlink r:id="rId10">
        <w:r w:rsidDel="00000000" w:rsidR="00000000" w:rsidRPr="00000000">
          <w:rPr>
            <w:rFonts w:ascii="Google Sans" w:cs="Google Sans" w:eastAsia="Google Sans" w:hAnsi="Google Sans"/>
            <w:color w:val="0000ee"/>
            <w:sz w:val="24"/>
            <w:szCs w:val="24"/>
            <w:u w:val="single"/>
            <w:rtl w:val="0"/>
          </w:rPr>
          <w:t xml:space="preserve">https://www.bbvamijubilacion.es/blog/las-pensiones-subiran-un-27-en-2026/</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Nueva subida del MEI en 2025: sube la cotización a la Seguridad Social sin contraprestación en pensión - BBVA Mi Jubilación, fecha de acceso: noviembre 29, 2025, </w:t>
      </w:r>
      <w:hyperlink r:id="rId11">
        <w:r w:rsidDel="00000000" w:rsidR="00000000" w:rsidRPr="00000000">
          <w:rPr>
            <w:rFonts w:ascii="Google Sans" w:cs="Google Sans" w:eastAsia="Google Sans" w:hAnsi="Google Sans"/>
            <w:color w:val="0000ee"/>
            <w:sz w:val="24"/>
            <w:szCs w:val="24"/>
            <w:u w:val="single"/>
            <w:rtl w:val="0"/>
          </w:rPr>
          <w:t xml:space="preserve">https://lz8b4o2c.openweb.bbva/blog/subida-del-mecanismo-de-equidad-intergeneracional-en-2025/</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efectos presupuestarios de la reforma de pensiones - Fundación de Estudios de Economía Aplicada, fecha de acceso: noviembre 29, 2025, </w:t>
      </w:r>
      <w:hyperlink r:id="rId12">
        <w:r w:rsidDel="00000000" w:rsidR="00000000" w:rsidRPr="00000000">
          <w:rPr>
            <w:rFonts w:ascii="Google Sans" w:cs="Google Sans" w:eastAsia="Google Sans" w:hAnsi="Google Sans"/>
            <w:color w:val="0000ee"/>
            <w:sz w:val="24"/>
            <w:szCs w:val="24"/>
            <w:u w:val="single"/>
            <w:rtl w:val="0"/>
          </w:rPr>
          <w:t xml:space="preserve">https://fedea.net/los-efectos-presupuestarios-de-la-reforma-de-pensiones/</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cuota de solidaridad, ¿realmente es solidaria? - PayFit, fecha de acceso: noviembre 29, 2025, </w:t>
      </w:r>
      <w:hyperlink r:id="rId13">
        <w:r w:rsidDel="00000000" w:rsidR="00000000" w:rsidRPr="00000000">
          <w:rPr>
            <w:rFonts w:ascii="Google Sans" w:cs="Google Sans" w:eastAsia="Google Sans" w:hAnsi="Google Sans"/>
            <w:color w:val="0000ee"/>
            <w:sz w:val="24"/>
            <w:szCs w:val="24"/>
            <w:u w:val="single"/>
            <w:rtl w:val="0"/>
          </w:rPr>
          <w:t xml:space="preserve">https://payfit.com/es/contenido-practico/cuota-solidaridad/</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Ageing Report Spain's Country Fiche - Economy and Finance, fecha de acceso: noviembre 29, 2025, </w:t>
      </w:r>
      <w:hyperlink r:id="rId14">
        <w:r w:rsidDel="00000000" w:rsidR="00000000" w:rsidRPr="00000000">
          <w:rPr>
            <w:rFonts w:ascii="Google Sans" w:cs="Google Sans" w:eastAsia="Google Sans" w:hAnsi="Google Sans"/>
            <w:color w:val="0000ee"/>
            <w:sz w:val="24"/>
            <w:szCs w:val="24"/>
            <w:u w:val="single"/>
            <w:rtl w:val="0"/>
          </w:rPr>
          <w:t xml:space="preserve">https://economy-finance.ec.europa.eu/document/download/392994f2-c025-4066-bea8-f65cf4bcd411_en?filename=2024-ageing-report-country-fiche-Spain.pdf</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Informe sobre Envejecimiento 2024 y reforma de pensiones: todo lo que necesitas saber (y un poquito más) - CaixaBank Research, fecha de acceso: noviembre 29, 2025, </w:t>
      </w:r>
      <w:hyperlink r:id="rId15">
        <w:r w:rsidDel="00000000" w:rsidR="00000000" w:rsidRPr="00000000">
          <w:rPr>
            <w:rFonts w:ascii="Google Sans" w:cs="Google Sans" w:eastAsia="Google Sans" w:hAnsi="Google Sans"/>
            <w:color w:val="0000ee"/>
            <w:sz w:val="24"/>
            <w:szCs w:val="24"/>
            <w:u w:val="single"/>
            <w:rtl w:val="0"/>
          </w:rPr>
          <w:t xml:space="preserve">https://www.caixabankresearch.com/sites/default/files/content/file/2024/05/10/34455/im05_24-07-ee-focus-8-es.pdf</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Ageing Report' and pension reform: everything you need to know (and a little bit more), fecha de acceso: noviembre 29, 2025, </w:t>
      </w:r>
      <w:hyperlink r:id="rId16">
        <w:r w:rsidDel="00000000" w:rsidR="00000000" w:rsidRPr="00000000">
          <w:rPr>
            <w:rFonts w:ascii="Google Sans" w:cs="Google Sans" w:eastAsia="Google Sans" w:hAnsi="Google Sans"/>
            <w:color w:val="0000ee"/>
            <w:sz w:val="24"/>
            <w:szCs w:val="24"/>
            <w:u w:val="single"/>
            <w:rtl w:val="0"/>
          </w:rPr>
          <w:t xml:space="preserve">https://www.caixabankresearch.com/en/economics-markets/labour-market-demographics/2024-ageing-report-and-pension-reform-everything-you</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Informe sobre la regla de gasto de pensiones - AIReF, fecha de acceso: noviembre 29, 2025, </w:t>
      </w:r>
      <w:hyperlink r:id="rId17">
        <w:r w:rsidDel="00000000" w:rsidR="00000000" w:rsidRPr="00000000">
          <w:rPr>
            <w:rFonts w:ascii="Google Sans" w:cs="Google Sans" w:eastAsia="Google Sans" w:hAnsi="Google Sans"/>
            <w:color w:val="0000ee"/>
            <w:sz w:val="24"/>
            <w:szCs w:val="24"/>
            <w:u w:val="single"/>
            <w:rtl w:val="0"/>
          </w:rPr>
          <w:t xml:space="preserve">https://www.airef.es/es/centro-documental/informes/informe-sobre-la-regla-de-gasto-de-pensiones/</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Segunda Opinión sobre la sostenibilidad de las Administraciones públicas a largo plazo, fecha de acceso: noviembre 29, 2025, </w:t>
      </w:r>
      <w:hyperlink r:id="rId18">
        <w:r w:rsidDel="00000000" w:rsidR="00000000" w:rsidRPr="00000000">
          <w:rPr>
            <w:rFonts w:ascii="Google Sans" w:cs="Google Sans" w:eastAsia="Google Sans" w:hAnsi="Google Sans"/>
            <w:color w:val="0000ee"/>
            <w:sz w:val="24"/>
            <w:szCs w:val="24"/>
            <w:u w:val="single"/>
            <w:rtl w:val="0"/>
          </w:rPr>
          <w:t xml:space="preserve">https://www.airef.es/es/centro-documental/opiniones/segunda-opinion-sobre-la-sostenibilidad-de-las-administraciones-publicas-a-largo-plazo/</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OECD Pensions at a Glance 2025: Addressing Fiscal Pressures from Ageing Populations, fecha de acceso: noviembre 29, 2025, </w:t>
      </w:r>
      <w:hyperlink r:id="rId19">
        <w:r w:rsidDel="00000000" w:rsidR="00000000" w:rsidRPr="00000000">
          <w:rPr>
            <w:rFonts w:ascii="Google Sans" w:cs="Google Sans" w:eastAsia="Google Sans" w:hAnsi="Google Sans"/>
            <w:color w:val="0000ee"/>
            <w:sz w:val="24"/>
            <w:szCs w:val="24"/>
            <w:u w:val="single"/>
            <w:rtl w:val="0"/>
          </w:rPr>
          <w:t xml:space="preserve">https://www.indexbox.io/blog/oecd-pensions-at-a-glance-2025-addressing-fiscal-pressures-from-ageing-populations/</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Pensions at a Glance 2025 - OECD, fecha de acceso: noviembre 29, 2025, </w:t>
      </w:r>
      <w:hyperlink r:id="rId20">
        <w:r w:rsidDel="00000000" w:rsidR="00000000" w:rsidRPr="00000000">
          <w:rPr>
            <w:rFonts w:ascii="Google Sans" w:cs="Google Sans" w:eastAsia="Google Sans" w:hAnsi="Google Sans"/>
            <w:color w:val="0000ee"/>
            <w:sz w:val="24"/>
            <w:szCs w:val="24"/>
            <w:u w:val="single"/>
            <w:rtl w:val="0"/>
          </w:rPr>
          <w:t xml:space="preserve">https://www.oecd.org/en/publications/2025/11/pensions-at-a-glance-2025_76510fe4.html</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inyecciones del Estado para pagar las pensiones igualan todo el déficit público, fecha de acceso: noviembre 29, 2025, </w:t>
      </w:r>
      <w:hyperlink r:id="rId21">
        <w:r w:rsidDel="00000000" w:rsidR="00000000" w:rsidRPr="00000000">
          <w:rPr>
            <w:rFonts w:ascii="Google Sans" w:cs="Google Sans" w:eastAsia="Google Sans" w:hAnsi="Google Sans"/>
            <w:color w:val="0000ee"/>
            <w:sz w:val="24"/>
            <w:szCs w:val="24"/>
            <w:u w:val="single"/>
            <w:rtl w:val="0"/>
          </w:rPr>
          <w:t xml:space="preserve">https://www.eleconomista.es/economia/noticias/13654679/11/25/las-inyecciones-del-estado-para-pagar-las-pensiones-igualan-todo-el-deficit-publico.html</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Seguridad Social agota en solo 9 meses las transferencias del Estado para ayudar a pagar pensiones - elEconomista.es, fecha de acceso: noviembre 29, 2025, </w:t>
      </w:r>
      <w:hyperlink r:id="rId22">
        <w:r w:rsidDel="00000000" w:rsidR="00000000" w:rsidRPr="00000000">
          <w:rPr>
            <w:rFonts w:ascii="Google Sans" w:cs="Google Sans" w:eastAsia="Google Sans" w:hAnsi="Google Sans"/>
            <w:color w:val="0000ee"/>
            <w:sz w:val="24"/>
            <w:szCs w:val="24"/>
            <w:u w:val="single"/>
            <w:rtl w:val="0"/>
          </w:rPr>
          <w:t xml:space="preserve">https://www.eleconomista.es/economia/noticias/13627624/11/25/seguridad-social-agota-en-solo-9-meses-las-transferencias-del-estado-para-ayudar-a-pagar-pensiones.html</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3 de octubre es el Día de la Deuda de la Seguridad Social en 2025 - Instituto Juan de Mariana, fecha de acceso: noviembre 29, 2025, </w:t>
      </w:r>
      <w:hyperlink r:id="rId23">
        <w:r w:rsidDel="00000000" w:rsidR="00000000" w:rsidRPr="00000000">
          <w:rPr>
            <w:rFonts w:ascii="Google Sans" w:cs="Google Sans" w:eastAsia="Google Sans" w:hAnsi="Google Sans"/>
            <w:color w:val="0000ee"/>
            <w:sz w:val="24"/>
            <w:szCs w:val="24"/>
            <w:u w:val="single"/>
            <w:rtl w:val="0"/>
          </w:rPr>
          <w:t xml:space="preserve">https://juandemariana.org/wp-content/uploads/2025/09/El-3-de-octubre-es-el-Dia-de-la-Deuda-de-la-Seguridad-Social.pdf</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MEI incrementará de nuevo las cotizaciones y elevará la carga para autónomos y pymes en 2025 - El Blog Salmón, fecha de acceso: noviembre 29, 2025, </w:t>
      </w:r>
      <w:hyperlink r:id="rId24">
        <w:r w:rsidDel="00000000" w:rsidR="00000000" w:rsidRPr="00000000">
          <w:rPr>
            <w:rFonts w:ascii="Google Sans" w:cs="Google Sans" w:eastAsia="Google Sans" w:hAnsi="Google Sans"/>
            <w:color w:val="0000ee"/>
            <w:sz w:val="24"/>
            <w:szCs w:val="24"/>
            <w:u w:val="single"/>
            <w:rtl w:val="0"/>
          </w:rPr>
          <w:t xml:space="preserve">https://www.elblogsalmon.com/economia/mei-incrementara-nuevo-cotizaciones-elevara-carga-para-autonomos-pymes-2025</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MEI nómina 2026: qué es y cómo afecta a tu salario - Instituto Santalucía, fecha de acceso: noviembre 29, 2025, </w:t>
      </w:r>
      <w:hyperlink r:id="rId25">
        <w:r w:rsidDel="00000000" w:rsidR="00000000" w:rsidRPr="00000000">
          <w:rPr>
            <w:rFonts w:ascii="Google Sans" w:cs="Google Sans" w:eastAsia="Google Sans" w:hAnsi="Google Sans"/>
            <w:color w:val="0000ee"/>
            <w:sz w:val="24"/>
            <w:szCs w:val="24"/>
            <w:u w:val="single"/>
            <w:rtl w:val="0"/>
          </w:rPr>
          <w:t xml:space="preserve">https://institutosantalucia.es/actualidad/seguridad-social/mei-que-es-y-como-afecta-a-tu-nomina/</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reforma de las pensiones en el RD Ley 2/2023, de 16 de marzo - Revistas UC3M, fecha de acceso: noviembre 29, 2025, </w:t>
      </w:r>
      <w:hyperlink r:id="rId26">
        <w:r w:rsidDel="00000000" w:rsidR="00000000" w:rsidRPr="00000000">
          <w:rPr>
            <w:rFonts w:ascii="Google Sans" w:cs="Google Sans" w:eastAsia="Google Sans" w:hAnsi="Google Sans"/>
            <w:color w:val="0000ee"/>
            <w:sz w:val="24"/>
            <w:szCs w:val="24"/>
            <w:u w:val="single"/>
            <w:rtl w:val="0"/>
          </w:rPr>
          <w:t xml:space="preserve">https://e-revistas.uc3m.es/index.php/LABOS/article/download/7941/6169/</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Fondo de Reserva de la Seguridad Social acabará 2025 con 14.000 millones de euros, fecha de acceso: noviembre 29, 2025, </w:t>
      </w:r>
      <w:hyperlink r:id="rId27">
        <w:r w:rsidDel="00000000" w:rsidR="00000000" w:rsidRPr="00000000">
          <w:rPr>
            <w:rFonts w:ascii="Google Sans" w:cs="Google Sans" w:eastAsia="Google Sans" w:hAnsi="Google Sans"/>
            <w:color w:val="0000ee"/>
            <w:sz w:val="24"/>
            <w:szCs w:val="24"/>
            <w:u w:val="single"/>
            <w:rtl w:val="0"/>
          </w:rPr>
          <w:t xml:space="preserve">https://revista.seg-social.es/-/fondo-de-reserva-de-seguridad-social-acabar%C3%A1-2025-con-14.000-millones-de-euros</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hucha de las pensiones cerrará 2025 con 14.000 millones por la cuota extra que no mejora la futura prestación - elEconomista.es, fecha de acceso: noviembre 29, 2025, </w:t>
      </w:r>
      <w:hyperlink r:id="rId28">
        <w:r w:rsidDel="00000000" w:rsidR="00000000" w:rsidRPr="00000000">
          <w:rPr>
            <w:rFonts w:ascii="Google Sans" w:cs="Google Sans" w:eastAsia="Google Sans" w:hAnsi="Google Sans"/>
            <w:color w:val="0000ee"/>
            <w:sz w:val="24"/>
            <w:szCs w:val="24"/>
            <w:u w:val="single"/>
            <w:rtl w:val="0"/>
          </w:rPr>
          <w:t xml:space="preserve">https://www.eleconomista.es/economia/noticias/13183249/01/25/la-hucha-de-las-pensiones-cerrara-2025-con-14000-millones-por-la-cuota-extra-que-no-mejora-el-cobro-de-prestacion.html</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es y cómo funciona la nueva cuota de solidaridad en 2025? - Grupo 2000, fecha de acceso: noviembre 29, 2025, </w:t>
      </w:r>
      <w:hyperlink r:id="rId29">
        <w:r w:rsidDel="00000000" w:rsidR="00000000" w:rsidRPr="00000000">
          <w:rPr>
            <w:rFonts w:ascii="Google Sans" w:cs="Google Sans" w:eastAsia="Google Sans" w:hAnsi="Google Sans"/>
            <w:color w:val="0000ee"/>
            <w:sz w:val="24"/>
            <w:szCs w:val="24"/>
            <w:u w:val="single"/>
            <w:rtl w:val="0"/>
          </w:rPr>
          <w:t xml:space="preserve">https://www.grupo2000.es/que-es-y-como-funcionara-la-nueva-cuota-de-solidaridad/</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Cotización Adicional de Solidaridad en 2025: Qué es y a quién afecta - AEBYS, fecha de acceso: noviembre 29, 2025, </w:t>
      </w:r>
      <w:hyperlink r:id="rId30">
        <w:r w:rsidDel="00000000" w:rsidR="00000000" w:rsidRPr="00000000">
          <w:rPr>
            <w:rFonts w:ascii="Google Sans" w:cs="Google Sans" w:eastAsia="Google Sans" w:hAnsi="Google Sans"/>
            <w:color w:val="0000ee"/>
            <w:sz w:val="24"/>
            <w:szCs w:val="24"/>
            <w:u w:val="single"/>
            <w:rtl w:val="0"/>
          </w:rPr>
          <w:t xml:space="preserve">https://www.aebys.com/noticias/cotizacion-adicional-de-solidaridad-en-2025-que-es-y-a-quien-afecta/</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exclusión social se duplica y atrapa a 2,5 millones de jóvenes, fecha de acceso: noviembre 29, 2025, </w:t>
      </w:r>
      <w:hyperlink r:id="rId31">
        <w:r w:rsidDel="00000000" w:rsidR="00000000" w:rsidRPr="00000000">
          <w:rPr>
            <w:rFonts w:ascii="Google Sans" w:cs="Google Sans" w:eastAsia="Google Sans" w:hAnsi="Google Sans"/>
            <w:color w:val="0000ee"/>
            <w:sz w:val="24"/>
            <w:szCs w:val="24"/>
            <w:u w:val="single"/>
            <w:rtl w:val="0"/>
          </w:rPr>
          <w:t xml:space="preserve">https://www.ces.es/documents/10180/5231360/Portadas_periodicos_20251106.pdf</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cotizar por lo que se gana no es 'voracidad recaudatoria', es justicia | net21, fecha de acceso: noviembre 29, 2025, </w:t>
      </w:r>
      <w:hyperlink r:id="rId32">
        <w:r w:rsidDel="00000000" w:rsidR="00000000" w:rsidRPr="00000000">
          <w:rPr>
            <w:rFonts w:ascii="Google Sans" w:cs="Google Sans" w:eastAsia="Google Sans" w:hAnsi="Google Sans"/>
            <w:color w:val="0000ee"/>
            <w:sz w:val="24"/>
            <w:szCs w:val="24"/>
            <w:u w:val="single"/>
            <w:rtl w:val="0"/>
          </w:rPr>
          <w:t xml:space="preserve">https://www.net21.org/wp-content/uploads/2023/03/COTIZAR-POR-LO-QUE-SE-GANA-NO-ES-VORACIDAD-RECAUDATORIA-ES-JUSTICIA.pdf</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sueldos más altos ya pagan casi 200 millones extra por la cuota de solidaridad, fecha de acceso: noviembre 29, 2025, </w:t>
      </w:r>
      <w:hyperlink r:id="rId33">
        <w:r w:rsidDel="00000000" w:rsidR="00000000" w:rsidRPr="00000000">
          <w:rPr>
            <w:rFonts w:ascii="Google Sans" w:cs="Google Sans" w:eastAsia="Google Sans" w:hAnsi="Google Sans"/>
            <w:color w:val="0000ee"/>
            <w:sz w:val="24"/>
            <w:szCs w:val="24"/>
            <w:u w:val="single"/>
            <w:rtl w:val="0"/>
          </w:rPr>
          <w:t xml:space="preserve">https://www.eleconomista.es/economia/noticias/13541535/09/25/los-sueldos-mas-altos-ya-pagan-casi-200-millones-extra-por-la-cuota-de-solidaridad.html</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Planes de pensiones de empleo: novedades - Wolters Kluwer, fecha de acceso: noviembre 29, 2025, </w:t>
      </w:r>
      <w:hyperlink r:id="rId34">
        <w:r w:rsidDel="00000000" w:rsidR="00000000" w:rsidRPr="00000000">
          <w:rPr>
            <w:rFonts w:ascii="Google Sans" w:cs="Google Sans" w:eastAsia="Google Sans" w:hAnsi="Google Sans"/>
            <w:color w:val="0000ee"/>
            <w:sz w:val="24"/>
            <w:szCs w:val="24"/>
            <w:u w:val="single"/>
            <w:rtl w:val="0"/>
          </w:rPr>
          <w:t xml:space="preserve">https://www.wolterskluwer.com/es-es/expert-insights/planes-pensiones-empleo-novedades</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planes de pensiones simplificados alcanzaron 388 millones en 2024 para autónomos y construcción - Revista Capital, fecha de acceso: noviembre 29, 2025, </w:t>
      </w:r>
      <w:hyperlink r:id="rId35">
        <w:r w:rsidDel="00000000" w:rsidR="00000000" w:rsidRPr="00000000">
          <w:rPr>
            <w:rFonts w:ascii="Google Sans" w:cs="Google Sans" w:eastAsia="Google Sans" w:hAnsi="Google Sans"/>
            <w:color w:val="0000ee"/>
            <w:sz w:val="24"/>
            <w:szCs w:val="24"/>
            <w:u w:val="single"/>
            <w:rtl w:val="0"/>
          </w:rPr>
          <w:t xml:space="preserve">https://capital.es/economia/mercados-e-inversion/los-planes-de-pensiones-simplificados-alcanzaron-388-millones-en-2024-para-autonomos-y-construccion/113425/</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planes de pensiones de empleo simplificados cerraron 2024 con 388 millones por autónomos y construcción - elEconomista.es, fecha de acceso: noviembre 29, 2025, </w:t>
      </w:r>
      <w:hyperlink r:id="rId36">
        <w:r w:rsidDel="00000000" w:rsidR="00000000" w:rsidRPr="00000000">
          <w:rPr>
            <w:rFonts w:ascii="Google Sans" w:cs="Google Sans" w:eastAsia="Google Sans" w:hAnsi="Google Sans"/>
            <w:color w:val="0000ee"/>
            <w:sz w:val="24"/>
            <w:szCs w:val="24"/>
            <w:u w:val="single"/>
            <w:rtl w:val="0"/>
          </w:rPr>
          <w:t xml:space="preserve">https://www.eleconomista.es/economia/noticias/13246279/03/25/los-planes-de-pensiones-de-empleo-simplificados-cerraron-2024-con-388-millones-por-autonomos-y-construccion.html</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Fracaso en planes de pensiones de empleo: las aportaciones suben solo 36 millones en un año - 65YMÁS, fecha de acceso: noviembre 29, 2025, </w:t>
      </w:r>
      <w:hyperlink r:id="rId37">
        <w:r w:rsidDel="00000000" w:rsidR="00000000" w:rsidRPr="00000000">
          <w:rPr>
            <w:rFonts w:ascii="Google Sans" w:cs="Google Sans" w:eastAsia="Google Sans" w:hAnsi="Google Sans"/>
            <w:color w:val="0000ee"/>
            <w:sz w:val="24"/>
            <w:szCs w:val="24"/>
            <w:u w:val="single"/>
            <w:rtl w:val="0"/>
          </w:rPr>
          <w:t xml:space="preserve">https://www.65ymas.com/economia/planes-de-pensiones/fracaso-planes-pensiones-empleo-aportaciones-suben-36-millones-ano_76340_102.html</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plan de pensiones de la construcción ya es líder en España con 570.000 partícipes en nueve meses - elEconomista.es, fecha de acceso: noviembre 29, 2025, </w:t>
      </w:r>
      <w:hyperlink r:id="rId38">
        <w:r w:rsidDel="00000000" w:rsidR="00000000" w:rsidRPr="00000000">
          <w:rPr>
            <w:rFonts w:ascii="Google Sans" w:cs="Google Sans" w:eastAsia="Google Sans" w:hAnsi="Google Sans"/>
            <w:color w:val="0000ee"/>
            <w:sz w:val="24"/>
            <w:szCs w:val="24"/>
            <w:u w:val="single"/>
            <w:rtl w:val="0"/>
          </w:rPr>
          <w:t xml:space="preserve">https://www.eleconomista.es/economia/noticias/13075351/11/24/el-plan-de-pensiones-de-la-construccion-ya-es-lider-en-espana-con-570000-participes-en-nueve-meses.html</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plan de pensiones de la construcción suma un 32% más de partícipes hasta septiembre y supera los 822.000 empleados - Pymecon, fecha de acceso: noviembre 29, 2025, </w:t>
      </w:r>
      <w:hyperlink r:id="rId39">
        <w:r w:rsidDel="00000000" w:rsidR="00000000" w:rsidRPr="00000000">
          <w:rPr>
            <w:rFonts w:ascii="Google Sans" w:cs="Google Sans" w:eastAsia="Google Sans" w:hAnsi="Google Sans"/>
            <w:color w:val="0000ee"/>
            <w:sz w:val="24"/>
            <w:szCs w:val="24"/>
            <w:u w:val="single"/>
            <w:rtl w:val="0"/>
          </w:rPr>
          <w:t xml:space="preserve">https://pymecon.com/el-plan-de-pensiones-de-la-construccin-suma-un-32-ms-de-partcipes-hasta-septiembre-y-supera-los-822-000-empleados/</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ESTADO DE LA POBREZA 2024 - EAPN España, fecha de acceso: noviembre 29, 2025, </w:t>
      </w:r>
      <w:hyperlink r:id="rId40">
        <w:r w:rsidDel="00000000" w:rsidR="00000000" w:rsidRPr="00000000">
          <w:rPr>
            <w:rFonts w:ascii="Google Sans" w:cs="Google Sans" w:eastAsia="Google Sans" w:hAnsi="Google Sans"/>
            <w:color w:val="0000ee"/>
            <w:sz w:val="24"/>
            <w:szCs w:val="24"/>
            <w:u w:val="single"/>
            <w:rtl w:val="0"/>
          </w:rPr>
          <w:t xml:space="preserve">https://www.eapn.es/ARCHIVO/documentos/noticias/1709121955_el-estado-de-la-pobreza.-primer-avance-resultados-febrero-2024.pdf</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Encuesta de Condiciones de Vida (ECV). Año 2024. Resultados definitivos. - INE, fecha de acceso: noviembre 29, 2025, </w:t>
      </w:r>
      <w:hyperlink r:id="rId41">
        <w:r w:rsidDel="00000000" w:rsidR="00000000" w:rsidRPr="00000000">
          <w:rPr>
            <w:rFonts w:ascii="Google Sans" w:cs="Google Sans" w:eastAsia="Google Sans" w:hAnsi="Google Sans"/>
            <w:color w:val="0000ee"/>
            <w:sz w:val="24"/>
            <w:szCs w:val="24"/>
            <w:u w:val="single"/>
            <w:rtl w:val="0"/>
          </w:rPr>
          <w:t xml:space="preserve">https://www.ine.es/dyngs/Prensa/ECV2024.htm</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Pensiones en España 2025: nuevas jubilaciones ya superan al salario más común, fecha de acceso: noviembre 29, 2025, </w:t>
      </w:r>
      <w:hyperlink r:id="rId42">
        <w:r w:rsidDel="00000000" w:rsidR="00000000" w:rsidRPr="00000000">
          <w:rPr>
            <w:rFonts w:ascii="Google Sans" w:cs="Google Sans" w:eastAsia="Google Sans" w:hAnsi="Google Sans"/>
            <w:color w:val="0000ee"/>
            <w:sz w:val="24"/>
            <w:szCs w:val="24"/>
            <w:u w:val="single"/>
            <w:rtl w:val="0"/>
          </w:rPr>
          <w:t xml:space="preserve">https://dependenciapad.org/blog/pensiones-en-espana-2025-nuevas-jubilaciones-ya-superan-al-salario-mas-comun</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pensión media de jubilación supera ya el sueldo de los asalariados de menos de 35 años - The Objective, fecha de acceso: noviembre 29, 2025, </w:t>
      </w:r>
      <w:hyperlink r:id="rId43">
        <w:r w:rsidDel="00000000" w:rsidR="00000000" w:rsidRPr="00000000">
          <w:rPr>
            <w:rFonts w:ascii="Google Sans" w:cs="Google Sans" w:eastAsia="Google Sans" w:hAnsi="Google Sans"/>
            <w:color w:val="0000ee"/>
            <w:sz w:val="24"/>
            <w:szCs w:val="24"/>
            <w:u w:val="single"/>
            <w:rtl w:val="0"/>
          </w:rPr>
          <w:t xml:space="preserve">https://theobjective.com/economia/2025-01-30/pension-media-jubilacion-superior-jovenes-35-anos/</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RENTA, RIQUEZA Y COMPETENCIAS FINANCIERAS DE LA POBLACIÓN ESPAÑOLA EN TORNO A SU JUBILACIÓN, fecha de acceso: noviembre 29, 2025, </w:t>
      </w:r>
      <w:hyperlink r:id="rId44">
        <w:r w:rsidDel="00000000" w:rsidR="00000000" w:rsidRPr="00000000">
          <w:rPr>
            <w:rFonts w:ascii="Google Sans" w:cs="Google Sans" w:eastAsia="Google Sans" w:hAnsi="Google Sans"/>
            <w:color w:val="0000ee"/>
            <w:sz w:val="24"/>
            <w:szCs w:val="24"/>
            <w:u w:val="single"/>
            <w:rtl w:val="0"/>
          </w:rPr>
          <w:t xml:space="preserve">https://www.edad-vida.org/wp-content/uploads/2024/06/EDADyVIDA_BE_Renta_riqueza_competencias_financieras_senior_5Junio2024.pdf</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principales resultados de la encuesta financiera de las familias (eff) 2022 - Banco de España, fecha de acceso: noviembre 29, 2025, </w:t>
      </w:r>
      <w:hyperlink r:id="rId45">
        <w:r w:rsidDel="00000000" w:rsidR="00000000" w:rsidRPr="00000000">
          <w:rPr>
            <w:rFonts w:ascii="Google Sans" w:cs="Google Sans" w:eastAsia="Google Sans" w:hAnsi="Google Sans"/>
            <w:color w:val="0000ee"/>
            <w:sz w:val="24"/>
            <w:szCs w:val="24"/>
            <w:u w:val="single"/>
            <w:rtl w:val="0"/>
          </w:rPr>
          <w:t xml:space="preserve">https://www.bde.es/f/webbe/GAP/Secciones/SalaPrensa/IntervencionesPublicas/DirectoresGenerales/economia/Arc/Fic/IIPP-2024-05-14-gavilan-es-or.pdf</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Paro juvenil en España: 24%, entre los más altos de la Unión Europea | Blog Bankinter, fecha de acceso: noviembre 29, 2025, </w:t>
      </w:r>
      <w:hyperlink r:id="rId46">
        <w:r w:rsidDel="00000000" w:rsidR="00000000" w:rsidRPr="00000000">
          <w:rPr>
            <w:rFonts w:ascii="Google Sans" w:cs="Google Sans" w:eastAsia="Google Sans" w:hAnsi="Google Sans"/>
            <w:color w:val="0000ee"/>
            <w:sz w:val="24"/>
            <w:szCs w:val="24"/>
            <w:u w:val="single"/>
            <w:rtl w:val="0"/>
          </w:rPr>
          <w:t xml:space="preserve">https://www.bankinter.com/blog/economia/paro-juvenil-paises-infografia</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Comparison of the Tax Burden on Labor in the OECD, 2024 - Tax Foundation, fecha de acceso: noviembre 29, 2025, </w:t>
      </w:r>
      <w:hyperlink r:id="rId47">
        <w:r w:rsidDel="00000000" w:rsidR="00000000" w:rsidRPr="00000000">
          <w:rPr>
            <w:rFonts w:ascii="Google Sans" w:cs="Google Sans" w:eastAsia="Google Sans" w:hAnsi="Google Sans"/>
            <w:color w:val="0000ee"/>
            <w:sz w:val="24"/>
            <w:szCs w:val="24"/>
            <w:u w:val="single"/>
            <w:rtl w:val="0"/>
          </w:rPr>
          <w:t xml:space="preserve">https://taxfoundation.org/data/all/global/tax-burden-on-labor-oecd-2024/</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insoportable cuña fiscal española, fecha de acceso: noviembre 29, 2025, </w:t>
      </w:r>
      <w:hyperlink r:id="rId48">
        <w:r w:rsidDel="00000000" w:rsidR="00000000" w:rsidRPr="00000000">
          <w:rPr>
            <w:rFonts w:ascii="Google Sans" w:cs="Google Sans" w:eastAsia="Google Sans" w:hAnsi="Google Sans"/>
            <w:color w:val="0000ee"/>
            <w:sz w:val="24"/>
            <w:szCs w:val="24"/>
            <w:u w:val="single"/>
            <w:rtl w:val="0"/>
          </w:rPr>
          <w:t xml:space="preserve">https://www.eleconomista.es/opinion/noticias/13650148/11/25/la-insoportable-cuna-fiscal-espanola.html</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OCDE propone a España un ajuste extra de casi 7.000 millones, incluyendo reformar pensiones y prestaciones, fecha de acceso: noviembre 29, 2025, </w:t>
      </w:r>
      <w:hyperlink r:id="rId49">
        <w:r w:rsidDel="00000000" w:rsidR="00000000" w:rsidRPr="00000000">
          <w:rPr>
            <w:rFonts w:ascii="Google Sans" w:cs="Google Sans" w:eastAsia="Google Sans" w:hAnsi="Google Sans"/>
            <w:color w:val="0000ee"/>
            <w:sz w:val="24"/>
            <w:szCs w:val="24"/>
            <w:u w:val="single"/>
            <w:rtl w:val="0"/>
          </w:rPr>
          <w:t xml:space="preserve">https://www.infobae.com/america/agencias/2025/11/26/la-ocde-propone-a-espana-un-ajuste-extra-de-casi-7000-millones-incluyendo-reformar-pensiones-y-prestaciones/</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sistema de pensiones en España: una actualización tras el impacto de la pandemia. Contribución del Banco de España a los, fecha de acceso: noviembre 29, 2025, </w:t>
      </w:r>
      <w:hyperlink r:id="rId50">
        <w:r w:rsidDel="00000000" w:rsidR="00000000" w:rsidRPr="00000000">
          <w:rPr>
            <w:rFonts w:ascii="Google Sans" w:cs="Google Sans" w:eastAsia="Google Sans" w:hAnsi="Google Sans"/>
            <w:color w:val="0000ee"/>
            <w:sz w:val="24"/>
            <w:szCs w:val="24"/>
            <w:u w:val="single"/>
            <w:rtl w:val="0"/>
          </w:rPr>
          <w:t xml:space="preserve">https://www.bde.es/f/webbde/SES/Secciones/Publicaciones/PublicacionesSeriadas/DocumentosOcasionales/21/Fich/do2106.pdf</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Spain: 2024 Article IV Consultation-Press Release; and Staff Report in - IMF eLibrary, fecha de acceso: noviembre 29, 2025, </w:t>
      </w:r>
      <w:hyperlink r:id="rId51">
        <w:r w:rsidDel="00000000" w:rsidR="00000000" w:rsidRPr="00000000">
          <w:rPr>
            <w:rFonts w:ascii="Google Sans" w:cs="Google Sans" w:eastAsia="Google Sans" w:hAnsi="Google Sans"/>
            <w:color w:val="0000ee"/>
            <w:sz w:val="24"/>
            <w:szCs w:val="24"/>
            <w:u w:val="single"/>
            <w:rtl w:val="0"/>
          </w:rPr>
          <w:t xml:space="preserve">https://www.elibrary.imf.org/view/journals/002/2024/152/article-A001-en.xml</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José Luis Escrivá afirma que la inmigración es una oportunidad para nuestro crecimiento y para la sostenibilidad del sistema de pensiones - Revista Seguridad Social, fecha de acceso: noviembre 29, 2025, </w:t>
      </w:r>
      <w:hyperlink r:id="rId52">
        <w:r w:rsidDel="00000000" w:rsidR="00000000" w:rsidRPr="00000000">
          <w:rPr>
            <w:rFonts w:ascii="Google Sans" w:cs="Google Sans" w:eastAsia="Google Sans" w:hAnsi="Google Sans"/>
            <w:color w:val="0000ee"/>
            <w:sz w:val="24"/>
            <w:szCs w:val="24"/>
            <w:u w:val="single"/>
            <w:rtl w:val="0"/>
          </w:rPr>
          <w:t xml:space="preserve">https://revista.seg-social.es/-/jos%C3%A9-luis-escriv%C3%A1-afirma-que-la-inmigraci%C3%B3n-es-una-oportunidad-para-nuestro-crecimiento-y-para-la-sostenibilidad-del-sistema-de-pensiones</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España necesita un millón de inmigrantes al año para sostener empleo y pensiones, fecha de acceso: noviembre 29, 2025, </w:t>
      </w:r>
      <w:hyperlink r:id="rId53">
        <w:r w:rsidDel="00000000" w:rsidR="00000000" w:rsidRPr="00000000">
          <w:rPr>
            <w:rFonts w:ascii="Google Sans" w:cs="Google Sans" w:eastAsia="Google Sans" w:hAnsi="Google Sans"/>
            <w:color w:val="0000ee"/>
            <w:sz w:val="24"/>
            <w:szCs w:val="24"/>
            <w:u w:val="single"/>
            <w:rtl w:val="0"/>
          </w:rPr>
          <w:t xml:space="preserve">https://cemical.diba.cat/publicacions/actualitat/espana-necesita-un-millon-de-inmigrantes-al-ano-para-sostener-empleo-y</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PRESENTE Y FUTURO DE LA SEGURIDAD SOCIAL - Servicio de Información sobre Discapacidad, fecha de acceso: noviembre 29, 2025, </w:t>
      </w:r>
      <w:hyperlink r:id="rId54">
        <w:r w:rsidDel="00000000" w:rsidR="00000000" w:rsidRPr="00000000">
          <w:rPr>
            <w:rFonts w:ascii="Google Sans" w:cs="Google Sans" w:eastAsia="Google Sans" w:hAnsi="Google Sans"/>
            <w:color w:val="0000ee"/>
            <w:sz w:val="24"/>
            <w:szCs w:val="24"/>
            <w:u w:val="single"/>
            <w:rtl w:val="0"/>
          </w:rPr>
          <w:t xml:space="preserve">https://sid-inico.usal.es/idocs/F8/FDO27548/PresenteyfuturodelaSeguridadSocial.pdf.pdf</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Mochila Austriaca: ¿Qué es y cómo afecta a las pensiones? - Ruta 67, fecha de acceso: noviembre 29, 2025, </w:t>
      </w:r>
      <w:hyperlink r:id="rId55">
        <w:r w:rsidDel="00000000" w:rsidR="00000000" w:rsidRPr="00000000">
          <w:rPr>
            <w:rFonts w:ascii="Google Sans" w:cs="Google Sans" w:eastAsia="Google Sans" w:hAnsi="Google Sans"/>
            <w:color w:val="0000ee"/>
            <w:sz w:val="24"/>
            <w:szCs w:val="24"/>
            <w:u w:val="single"/>
            <w:rtl w:val="0"/>
          </w:rPr>
          <w:t xml:space="preserve">https://www.ruta67.com/mochila-austriaca/</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SOSTENIBILIDAD FINANCIERA DEL SISTEMA DE PENSIONES EN ESPAÑA - Repositorio.comillas.edu., fecha de acceso: noviembre 29, 2025, </w:t>
      </w:r>
      <w:hyperlink r:id="rId56">
        <w:r w:rsidDel="00000000" w:rsidR="00000000" w:rsidRPr="00000000">
          <w:rPr>
            <w:rFonts w:ascii="Google Sans" w:cs="Google Sans" w:eastAsia="Google Sans" w:hAnsi="Google Sans"/>
            <w:color w:val="0000ee"/>
            <w:sz w:val="24"/>
            <w:szCs w:val="24"/>
            <w:u w:val="single"/>
            <w:rtl w:val="0"/>
          </w:rPr>
          <w:t xml:space="preserve">https://repositorio.comillas.edu/jspui/retrieve/623872/TFG-Carrillo%20Pohl%2C%20Andres.pdf</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Evaluación de la AIReF a la reforma de las pensiones: primer match ball salvado, pero grandes retos en el horizonte - CaixaBank Research, fecha de acceso: noviembre 29, 2025, </w:t>
      </w:r>
      <w:hyperlink r:id="rId57">
        <w:r w:rsidDel="00000000" w:rsidR="00000000" w:rsidRPr="00000000">
          <w:rPr>
            <w:rFonts w:ascii="Google Sans" w:cs="Google Sans" w:eastAsia="Google Sans" w:hAnsi="Google Sans"/>
            <w:color w:val="0000ee"/>
            <w:sz w:val="24"/>
            <w:szCs w:val="24"/>
            <w:u w:val="single"/>
            <w:rtl w:val="0"/>
          </w:rPr>
          <w:t xml:space="preserve">https://www.caixabankresearch.com/sites/default/files/content/file/2025/04/10/34454/im04_25_09_ee_focus_9_es_only_web.pdf</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Informe sobre la Regla de Gasto en Pensiones 2025 - AIReF, fecha de acceso: noviembre 29, 2025, </w:t>
      </w:r>
      <w:hyperlink r:id="rId58">
        <w:r w:rsidDel="00000000" w:rsidR="00000000" w:rsidRPr="00000000">
          <w:rPr>
            <w:rFonts w:ascii="Google Sans" w:cs="Google Sans" w:eastAsia="Google Sans" w:hAnsi="Google Sans"/>
            <w:color w:val="0000ee"/>
            <w:sz w:val="24"/>
            <w:szCs w:val="24"/>
            <w:u w:val="single"/>
            <w:rtl w:val="0"/>
          </w:rPr>
          <w:t xml:space="preserve">https://www.airef.es/wp-content/uploads/2025/03/Informe_regla_de_gasto_de_pensiones/Informe.pdf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apn.es/ARCHIVO/documentos/noticias/1709121955_el-estado-de-la-pobreza.-primer-avance-resultados-febrero-2024.pdf" TargetMode="External"/><Relationship Id="rId42" Type="http://schemas.openxmlformats.org/officeDocument/2006/relationships/hyperlink" Target="https://dependenciapad.org/blog/pensiones-en-espana-2025-nuevas-jubilaciones-ya-superan-al-salario-mas-comun" TargetMode="External"/><Relationship Id="rId41" Type="http://schemas.openxmlformats.org/officeDocument/2006/relationships/hyperlink" Target="https://www.ine.es/dyngs/Prensa/ECV2024.htm" TargetMode="External"/><Relationship Id="rId44" Type="http://schemas.openxmlformats.org/officeDocument/2006/relationships/hyperlink" Target="https://www.edad-vida.org/wp-content/uploads/2024/06/EDADyVIDA_BE_Renta_riqueza_competencias_financieras_senior_5Junio2024.pdf" TargetMode="External"/><Relationship Id="rId43" Type="http://schemas.openxmlformats.org/officeDocument/2006/relationships/hyperlink" Target="https://theobjective.com/economia/2025-01-30/pension-media-jubilacion-superior-jovenes-35-anos/" TargetMode="External"/><Relationship Id="rId46" Type="http://schemas.openxmlformats.org/officeDocument/2006/relationships/hyperlink" Target="https://www.bankinter.com/blog/economia/paro-juvenil-paises-infografia" TargetMode="External"/><Relationship Id="rId45" Type="http://schemas.openxmlformats.org/officeDocument/2006/relationships/hyperlink" Target="https://www.bde.es/f/webbe/GAP/Secciones/SalaPrensa/IntervencionesPublicas/DirectoresGenerales/economia/Arc/Fic/IIPP-2024-05-14-gavilan-es-or.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ruegel.org/sites/default/files/2025-10/WP%2024%202025_1.pdf" TargetMode="External"/><Relationship Id="rId48" Type="http://schemas.openxmlformats.org/officeDocument/2006/relationships/hyperlink" Target="https://www.eleconomista.es/opinion/noticias/13650148/11/25/la-insoportable-cuna-fiscal-espanola.html" TargetMode="External"/><Relationship Id="rId47" Type="http://schemas.openxmlformats.org/officeDocument/2006/relationships/hyperlink" Target="https://taxfoundation.org/data/all/global/tax-burden-on-labor-oecd-2024/" TargetMode="External"/><Relationship Id="rId49" Type="http://schemas.openxmlformats.org/officeDocument/2006/relationships/hyperlink" Target="https://www.infobae.com/america/agencias/2025/11/26/la-ocde-propone-a-espana-un-ajuste-extra-de-casi-7000-millones-incluyendo-reformar-pensiones-y-prestaciones/" TargetMode="External"/><Relationship Id="rId5" Type="http://schemas.openxmlformats.org/officeDocument/2006/relationships/styles" Target="styles.xml"/><Relationship Id="rId6" Type="http://schemas.openxmlformats.org/officeDocument/2006/relationships/hyperlink" Target="https://forbes.es/economia/835707/seguridad-social-dice-que-el-informe-de-la-ocde-sobre-gasto-en-pensiones-incluye-informacion-desfasada/" TargetMode="External"/><Relationship Id="rId7" Type="http://schemas.openxmlformats.org/officeDocument/2006/relationships/hyperlink" Target="https://www.democrata.es/economia/gobierno-senala-reporte-ocde-gasto-pensiones-usa-datos-antiguos/" TargetMode="External"/><Relationship Id="rId8" Type="http://schemas.openxmlformats.org/officeDocument/2006/relationships/hyperlink" Target="https://www.caixabankresearch.com/sites/default/files/content/file/2025/09/18/34411/im09_25_09_dossier_3_en_0.pdf" TargetMode="External"/><Relationship Id="rId31" Type="http://schemas.openxmlformats.org/officeDocument/2006/relationships/hyperlink" Target="https://www.ces.es/documents/10180/5231360/Portadas_periodicos_20251106.pdf" TargetMode="External"/><Relationship Id="rId30" Type="http://schemas.openxmlformats.org/officeDocument/2006/relationships/hyperlink" Target="https://www.aebys.com/noticias/cotizacion-adicional-de-solidaridad-en-2025-que-es-y-a-quien-afecta/" TargetMode="External"/><Relationship Id="rId33" Type="http://schemas.openxmlformats.org/officeDocument/2006/relationships/hyperlink" Target="https://www.eleconomista.es/economia/noticias/13541535/09/25/los-sueldos-mas-altos-ya-pagan-casi-200-millones-extra-por-la-cuota-de-solidaridad.html" TargetMode="External"/><Relationship Id="rId32" Type="http://schemas.openxmlformats.org/officeDocument/2006/relationships/hyperlink" Target="https://www.net21.org/wp-content/uploads/2023/03/COTIZAR-POR-LO-QUE-SE-GANA-NO-ES-VORACIDAD-RECAUDATORIA-ES-JUSTICIA.pdf" TargetMode="External"/><Relationship Id="rId35" Type="http://schemas.openxmlformats.org/officeDocument/2006/relationships/hyperlink" Target="https://capital.es/economia/mercados-e-inversion/los-planes-de-pensiones-simplificados-alcanzaron-388-millones-en-2024-para-autonomos-y-construccion/113425/" TargetMode="External"/><Relationship Id="rId34" Type="http://schemas.openxmlformats.org/officeDocument/2006/relationships/hyperlink" Target="https://www.wolterskluwer.com/es-es/expert-insights/planes-pensiones-empleo-novedades" TargetMode="External"/><Relationship Id="rId37" Type="http://schemas.openxmlformats.org/officeDocument/2006/relationships/hyperlink" Target="https://www.65ymas.com/economia/planes-de-pensiones/fracaso-planes-pensiones-empleo-aportaciones-suben-36-millones-ano_76340_102.html" TargetMode="External"/><Relationship Id="rId36" Type="http://schemas.openxmlformats.org/officeDocument/2006/relationships/hyperlink" Target="https://www.eleconomista.es/economia/noticias/13246279/03/25/los-planes-de-pensiones-de-empleo-simplificados-cerraron-2024-con-388-millones-por-autonomos-y-construccion.html" TargetMode="External"/><Relationship Id="rId39" Type="http://schemas.openxmlformats.org/officeDocument/2006/relationships/hyperlink" Target="https://pymecon.com/el-plan-de-pensiones-de-la-construccin-suma-un-32-ms-de-partcipes-hasta-septiembre-y-supera-los-822-000-empleados/" TargetMode="External"/><Relationship Id="rId38" Type="http://schemas.openxmlformats.org/officeDocument/2006/relationships/hyperlink" Target="https://www.eleconomista.es/economia/noticias/13075351/11/24/el-plan-de-pensiones-de-la-construccion-ya-es-lider-en-espana-con-570000-participes-en-nueve-meses.html" TargetMode="External"/><Relationship Id="rId20" Type="http://schemas.openxmlformats.org/officeDocument/2006/relationships/hyperlink" Target="https://www.oecd.org/en/publications/2025/11/pensions-at-a-glance-2025_76510fe4.html" TargetMode="External"/><Relationship Id="rId22" Type="http://schemas.openxmlformats.org/officeDocument/2006/relationships/hyperlink" Target="https://www.eleconomista.es/economia/noticias/13627624/11/25/seguridad-social-agota-en-solo-9-meses-las-transferencias-del-estado-para-ayudar-a-pagar-pensiones.html" TargetMode="External"/><Relationship Id="rId21" Type="http://schemas.openxmlformats.org/officeDocument/2006/relationships/hyperlink" Target="https://www.eleconomista.es/economia/noticias/13654679/11/25/las-inyecciones-del-estado-para-pagar-las-pensiones-igualan-todo-el-deficit-publico.html" TargetMode="External"/><Relationship Id="rId24" Type="http://schemas.openxmlformats.org/officeDocument/2006/relationships/hyperlink" Target="https://www.elblogsalmon.com/economia/mei-incrementara-nuevo-cotizaciones-elevara-carga-para-autonomos-pymes-2025" TargetMode="External"/><Relationship Id="rId23" Type="http://schemas.openxmlformats.org/officeDocument/2006/relationships/hyperlink" Target="https://juandemariana.org/wp-content/uploads/2025/09/El-3-de-octubre-es-el-Dia-de-la-Deuda-de-la-Seguridad-Social.pdf" TargetMode="External"/><Relationship Id="rId26" Type="http://schemas.openxmlformats.org/officeDocument/2006/relationships/hyperlink" Target="https://e-revistas.uc3m.es/index.php/LABOS/article/download/7941/6169/" TargetMode="External"/><Relationship Id="rId25" Type="http://schemas.openxmlformats.org/officeDocument/2006/relationships/hyperlink" Target="https://institutosantalucia.es/actualidad/seguridad-social/mei-que-es-y-como-afecta-a-tu-nomina/" TargetMode="External"/><Relationship Id="rId28" Type="http://schemas.openxmlformats.org/officeDocument/2006/relationships/hyperlink" Target="https://www.eleconomista.es/economia/noticias/13183249/01/25/la-hucha-de-las-pensiones-cerrara-2025-con-14000-millones-por-la-cuota-extra-que-no-mejora-el-cobro-de-prestacion.html" TargetMode="External"/><Relationship Id="rId27" Type="http://schemas.openxmlformats.org/officeDocument/2006/relationships/hyperlink" Target="https://revista.seg-social.es/-/fondo-de-reserva-de-seguridad-social-acabar%C3%A1-2025-con-14.000-millones-de-euros" TargetMode="External"/><Relationship Id="rId29" Type="http://schemas.openxmlformats.org/officeDocument/2006/relationships/hyperlink" Target="https://www.grupo2000.es/que-es-y-como-funcionara-la-nueva-cuota-de-solidaridad/" TargetMode="External"/><Relationship Id="rId51" Type="http://schemas.openxmlformats.org/officeDocument/2006/relationships/hyperlink" Target="https://www.elibrary.imf.org/view/journals/002/2024/152/article-A001-en.xml" TargetMode="External"/><Relationship Id="rId50" Type="http://schemas.openxmlformats.org/officeDocument/2006/relationships/hyperlink" Target="https://www.bde.es/f/webbde/SES/Secciones/Publicaciones/PublicacionesSeriadas/DocumentosOcasionales/21/Fich/do2106.pdf" TargetMode="External"/><Relationship Id="rId53" Type="http://schemas.openxmlformats.org/officeDocument/2006/relationships/hyperlink" Target="https://cemical.diba.cat/publicacions/actualitat/espana-necesita-un-millon-de-inmigrantes-al-ano-para-sostener-empleo-y" TargetMode="External"/><Relationship Id="rId52" Type="http://schemas.openxmlformats.org/officeDocument/2006/relationships/hyperlink" Target="https://revista.seg-social.es/-/jos%C3%A9-luis-escriv%C3%A1-afirma-que-la-inmigraci%C3%B3n-es-una-oportunidad-para-nuestro-crecimiento-y-para-la-sostenibilidad-del-sistema-de-pensiones" TargetMode="External"/><Relationship Id="rId11" Type="http://schemas.openxmlformats.org/officeDocument/2006/relationships/hyperlink" Target="https://lz8b4o2c.openweb.bbva/blog/subida-del-mecanismo-de-equidad-intergeneracional-en-2025/" TargetMode="External"/><Relationship Id="rId55" Type="http://schemas.openxmlformats.org/officeDocument/2006/relationships/hyperlink" Target="https://www.ruta67.com/mochila-austriaca/" TargetMode="External"/><Relationship Id="rId10" Type="http://schemas.openxmlformats.org/officeDocument/2006/relationships/hyperlink" Target="https://www.bbvamijubilacion.es/blog/las-pensiones-subiran-un-27-en-2026/" TargetMode="External"/><Relationship Id="rId54" Type="http://schemas.openxmlformats.org/officeDocument/2006/relationships/hyperlink" Target="https://sid-inico.usal.es/idocs/F8/FDO27548/PresenteyfuturodelaSeguridadSocial.pdf.pdf" TargetMode="External"/><Relationship Id="rId13" Type="http://schemas.openxmlformats.org/officeDocument/2006/relationships/hyperlink" Target="https://payfit.com/es/contenido-practico/cuota-solidaridad/" TargetMode="External"/><Relationship Id="rId57" Type="http://schemas.openxmlformats.org/officeDocument/2006/relationships/hyperlink" Target="https://www.caixabankresearch.com/sites/default/files/content/file/2025/04/10/34454/im04_25_09_ee_focus_9_es_only_web.pdf" TargetMode="External"/><Relationship Id="rId12" Type="http://schemas.openxmlformats.org/officeDocument/2006/relationships/hyperlink" Target="https://fedea.net/los-efectos-presupuestarios-de-la-reforma-de-pensiones/" TargetMode="External"/><Relationship Id="rId56" Type="http://schemas.openxmlformats.org/officeDocument/2006/relationships/hyperlink" Target="https://repositorio.comillas.edu/jspui/retrieve/623872/TFG-Carrillo%20Pohl%2C%20Andres.pdf" TargetMode="External"/><Relationship Id="rId15" Type="http://schemas.openxmlformats.org/officeDocument/2006/relationships/hyperlink" Target="https://www.caixabankresearch.com/sites/default/files/content/file/2024/05/10/34455/im05_24-07-ee-focus-8-es.pdf" TargetMode="External"/><Relationship Id="rId14" Type="http://schemas.openxmlformats.org/officeDocument/2006/relationships/hyperlink" Target="https://economy-finance.ec.europa.eu/document/download/392994f2-c025-4066-bea8-f65cf4bcd411_en?filename=2024-ageing-report-country-fiche-Spain.pdf" TargetMode="External"/><Relationship Id="rId58" Type="http://schemas.openxmlformats.org/officeDocument/2006/relationships/hyperlink" Target="https://www.airef.es/wp-content/uploads/2025/03/Informe_regla_de_gasto_de_pensiones/Informe.pdf" TargetMode="External"/><Relationship Id="rId17" Type="http://schemas.openxmlformats.org/officeDocument/2006/relationships/hyperlink" Target="https://www.airef.es/es/centro-documental/informes/informe-sobre-la-regla-de-gasto-de-pensiones/" TargetMode="External"/><Relationship Id="rId16" Type="http://schemas.openxmlformats.org/officeDocument/2006/relationships/hyperlink" Target="https://www.caixabankresearch.com/en/economics-markets/labour-market-demographics/2024-ageing-report-and-pension-reform-everything-you" TargetMode="External"/><Relationship Id="rId19" Type="http://schemas.openxmlformats.org/officeDocument/2006/relationships/hyperlink" Target="https://www.indexbox.io/blog/oecd-pensions-at-a-glance-2025-addressing-fiscal-pressures-from-ageing-populations/" TargetMode="External"/><Relationship Id="rId18" Type="http://schemas.openxmlformats.org/officeDocument/2006/relationships/hyperlink" Target="https://www.airef.es/es/centro-documental/opiniones/segunda-opinion-sobre-la-sostenibilidad-de-las-administraciones-publicas-a-largo-plaz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