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Flexibilidad y Seguridad en los Mercados Laborales Europeos: Un Análisis Comparativo de España, Francia, Portugal, Italia y Alemania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diseño de la regulación del mercado de trabajo constituye uno de los debates políticos más persistentes y complejos en Europa. Los responsables políticos se enfrentan a un dilema fundamental: cómo equilibrar la flexibilidad laboral, necesaria para que las empresas se adapten a un entorno económico cambiante, compitan a nivel global y creen empleo, con la seguridad del empleo, que proporciona a los trabajadores estabilidad, fomenta la inversión en capital humano y sostiene la demanda agregada.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Este equilibrio, a menudo conceptualizado bajo el término "flexiseguridad", sigue siendo un objetivo central pero elusivo, cuya implementación varía significativamente entre los Estados miembros, reflejando distintas tradiciones institucionales, prioridades políticas y desafíos económicos.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Este informe presenta un análisis comparativo riguroso de los marcos de protección del empleo en cinco economías clave de la Unión Europea: España, Francia, Portugal, Italia y Alemania. Estos países han sido seleccionados por representar diferentes facetas de los modelos laborales de Europa continental y meridional. Alemania sirve como punto de referencia de una economía de mercado coordinada, caracterizada por un diálogo social estructurado y un mercado laboral relativamente estable. Por otro lado, las naciones del sur de Europa —España, Francia, Italia y Portugal— han lidiado históricamente con mayores tasas de desempleo, una segmentación más profunda del mercado laboral y han sido el epicentro de intensos debates y reformas en las últimas décadas.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objetivo de este análisis es triple. En primer lugar, se llevará a cabo una comparación sistemática de la rigurosidad de la regulación laboral en estos cinco países utilizando los Indicadores de Protección del Empleo (EPL, por sus siglas en inglés) de la Organización para la Cooperación y el Desarrollo Económicos (OCDE), la métrica estandarizada más reconocida en este campo.</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En segundo lugar, se examinará en profundidad la trayectoria de España, que en la última década ha funcionado como un "laboratorio" de políticas laborales, implementando dos reformas de gran calado y de signo opuesto. Se analizará cómo estas reformas han modificado su posición relativa en el panorama europeo. Finalmente, el informe investigará la relación crítica entre la rigidez de la protección del empleo y la prevalencia de la contratación temporal, un fenómeno que subyace a la dualidad del mercado laboral que afecta a varias de estas economías.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1: El Panorama de la Protección del Empleo: Comparativa de Cinco Países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establecer una base empírica sólida, esta sección analiza la arquitectura regulatoria de los mercados laborales de los cinco países seleccionados. Se utiliza el marco metodológico de los indicadores EPL de la OCDE para cuantificar y comparar la rigurosidad de sus respectivas legislaciones, proporcionando el contexto necesario para comprender las dinámicas y los resultados observados.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Deconstrucción del Marco EPL de la OCDE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Los indicadores EPL de la OCDE miden la rigurosidad de la normativa que regula la contratación y el despido de trabajadores, abarcando tanto los contratos indefinidos como los temporales, y tanto los despidos individuales como los colectivos.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La metodología se basa en una lectura detallada de la legislación nacional, los convenios colectivos y la jurisprudencia, convirtiendo la información cualitativa en puntuaciones cuantitativas estandarizadas.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Esto permite una comparación transnacional robusta. Los indicadores se componen de tres subíndices principales, que se califican en una escala de 0 a 6, donde valores más altos indican una regulación más estricta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Protección de los trabajadores con contrato indefinido (EPR):</w:t>
      </w:r>
      <w:r w:rsidDel="00000000" w:rsidR="00000000" w:rsidRPr="00000000">
        <w:rPr>
          <w:rFonts w:ascii="Google Sans Text" w:cs="Google Sans Text" w:eastAsia="Google Sans Text" w:hAnsi="Google Sans Text"/>
          <w:color w:val="1b1c1d"/>
          <w:rtl w:val="0"/>
        </w:rPr>
        <w:t xml:space="preserve"> Este subíndice evalúa la regulación de los despidos individuales de trabajadores fijos. Se compone de tres elementos: los requisitos de procedimiento (por ejemplo, notificaciones y plazos), los preavisos e indemnizaciones por despido, y la dificultad del despido (que incluye la definición de despido improcedente y la posibilidad de readmisión).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Protección adicional para despidos colectivos (EPC):</w:t>
      </w:r>
      <w:r w:rsidDel="00000000" w:rsidR="00000000" w:rsidRPr="00000000">
        <w:rPr>
          <w:rFonts w:ascii="Google Sans Text" w:cs="Google Sans Text" w:eastAsia="Google Sans Text" w:hAnsi="Google Sans Text"/>
          <w:color w:val="1b1c1d"/>
          <w:rtl w:val="0"/>
        </w:rPr>
        <w:t xml:space="preserve"> Mide los costes y procedimientos adicionales que se aplican a los despidos colectivos por encima de los que rigen para los despidos individuales. Para analizar la protección total de los trabajadores fijos ("insiders"), se suele utilizar el indicador combinado EPRC, que suma los componentes de despidos individuales y colectivos.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Regulación del empleo temporal (EPT):</w:t>
      </w:r>
      <w:r w:rsidDel="00000000" w:rsidR="00000000" w:rsidRPr="00000000">
        <w:rPr>
          <w:rFonts w:ascii="Google Sans Text" w:cs="Google Sans Text" w:eastAsia="Google Sans Text" w:hAnsi="Google Sans Text"/>
          <w:color w:val="1b1c1d"/>
          <w:rtl w:val="0"/>
        </w:rPr>
        <w:t xml:space="preserve"> Este subíndice evalúa la normativa que rige los contratos de duración determinada (CDD) y los contratos a través de empresas de trabajo temporal (ETT). Considera aspectos como las causas válidas para su uso, la duración máxima acumulada y el número máximo de renovaciones permitidas.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interacción entre estos componentes, especialmente la diferencia entre la protección de los contratos indefinidos (EPRC) y la de los temporales (EPT), es fundamental para entender la estructura de los mercados laborales y la prevalencia de la dualidad.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Análisis Comparativo de los Indicadores EPL (Línea de Base 2019)</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comprender la posición de partida antes de las reformas más recientes, especialmente la de España en 2021, se utiliza el año 2019 como línea de base comparativa. Los datos de la OCDE para ese año revelan un panorama de divergencia regulatoria significativa entre los países analizados.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Tabla 1: Indicadores Comparativos de Rigurosidad de la Protección del Empleo (EPL), 2019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País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Protección Despidos Individuales (EPR)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Protección Despidos Colectivos (EPC)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Regulación Empleo Temporal (EPT)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Italia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Francia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Portugal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España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Alemania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Nota: Los valores se escalan de 0 a 6 (más estricto). Los datos de EPR y EPC se presentan por separado para mayor detalle. Fuente: OCDE, Indicadores de Protección del Empleo.</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análisis de estos datos revela varias agrupaciones claras. En 2019, </w:t>
      </w:r>
      <w:r w:rsidDel="00000000" w:rsidR="00000000" w:rsidRPr="00000000">
        <w:rPr>
          <w:rFonts w:ascii="Google Sans Text" w:cs="Google Sans Text" w:eastAsia="Google Sans Text" w:hAnsi="Google Sans Text"/>
          <w:b w:val="1"/>
          <w:color w:val="1b1c1d"/>
          <w:rtl w:val="0"/>
        </w:rPr>
        <w:t xml:space="preserve">Francia, Italia y Portugal</w:t>
      </w:r>
      <w:r w:rsidDel="00000000" w:rsidR="00000000" w:rsidRPr="00000000">
        <w:rPr>
          <w:rFonts w:ascii="Google Sans Text" w:cs="Google Sans Text" w:eastAsia="Google Sans Text" w:hAnsi="Google Sans Text"/>
          <w:color w:val="1b1c1d"/>
          <w:rtl w:val="0"/>
        </w:rPr>
        <w:t xml:space="preserve"> presentaban los niveles más altos de protección para los trabajadores con contrato indefinido. Portugal destacaba con el índice más elevado tanto en despidos individuales (3.0) como colectivos (4.3), lo que lo situaba como uno de los mercados más rígidos de la OCDE en este aspecto.</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Francia e Italia también mostraban una protección muy robusta, con puntuaciones de 2.6 en despidos individuales.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En un segundo grupo, </w:t>
      </w:r>
      <w:r w:rsidDel="00000000" w:rsidR="00000000" w:rsidRPr="00000000">
        <w:rPr>
          <w:rFonts w:ascii="Google Sans Text" w:cs="Google Sans Text" w:eastAsia="Google Sans Text" w:hAnsi="Google Sans Text"/>
          <w:b w:val="1"/>
          <w:color w:val="1b1c1d"/>
          <w:rtl w:val="0"/>
        </w:rPr>
        <w:t xml:space="preserve">Alemania y España</w:t>
      </w:r>
      <w:r w:rsidDel="00000000" w:rsidR="00000000" w:rsidRPr="00000000">
        <w:rPr>
          <w:rFonts w:ascii="Google Sans Text" w:cs="Google Sans Text" w:eastAsia="Google Sans Text" w:hAnsi="Google Sans Text"/>
          <w:color w:val="1b1c1d"/>
          <w:rtl w:val="0"/>
        </w:rPr>
        <w:t xml:space="preserve"> se posicionaban con niveles de protección más moderados, aunque con perfiles diferentes. Alemania mostraba una protección relativamente alta para los despidos individuales (2.5) pero más laxa para los colectivos (2.4).</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España, tras la reforma de 2012, presentaba uno de los niveles más bajos de protección para despidos individuales del grupo (2.0), pero mantenía una regulación estricta para los despidos colectivos (3.3).</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cuanto a la regulación del empleo temporal (EPT), el panorama era más homogéneo, aunque con matices importantes. Francia (2.4) e Italia (2.3) tenían las regulaciones más estrictas sobre el uso de contratos temporales. En el otro extremo, Portugal (1.8) y España (1.9) presentaban una regulación comparativamente más laxa, lo que, combinado con su alta protección para los contratos indefinidos, creaba un fuerte incentivo para recurrir a la contratación temporal, sentando las bases de una marcada dualidad laboral.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Contexto Institucional y Especificidades Nacionales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Las puntuaciones EPL, aunque informativas, son el resultado de complejos contextos históricos e institucionales que merecen ser analizados para una comprensión completa.</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Alemania:</w:t>
      </w:r>
      <w:r w:rsidDel="00000000" w:rsidR="00000000" w:rsidRPr="00000000">
        <w:rPr>
          <w:rFonts w:ascii="Google Sans Text" w:cs="Google Sans Text" w:eastAsia="Google Sans Text" w:hAnsi="Google Sans Text"/>
          <w:color w:val="1b1c1d"/>
          <w:rtl w:val="0"/>
        </w:rPr>
        <w:t xml:space="preserve"> Su modelo se caracteriza por un sistema de "codeterminación", donde los consejos de empresa (</w:t>
      </w:r>
      <w:r w:rsidDel="00000000" w:rsidR="00000000" w:rsidRPr="00000000">
        <w:rPr>
          <w:rFonts w:ascii="Google Sans Text" w:cs="Google Sans Text" w:eastAsia="Google Sans Text" w:hAnsi="Google Sans Text"/>
          <w:i w:val="1"/>
          <w:color w:val="1b1c1d"/>
          <w:rtl w:val="0"/>
        </w:rPr>
        <w:t xml:space="preserve">Betriebsräte</w:t>
      </w:r>
      <w:r w:rsidDel="00000000" w:rsidR="00000000" w:rsidRPr="00000000">
        <w:rPr>
          <w:rFonts w:ascii="Google Sans Text" w:cs="Google Sans Text" w:eastAsia="Google Sans Text" w:hAnsi="Google Sans Text"/>
          <w:color w:val="1b1c1d"/>
          <w:rtl w:val="0"/>
        </w:rPr>
        <w:t xml:space="preserve">) desempeñan un papel crucial en las decisiones de personal, incluidos los despidos. Esta forma de protección "procedimental", basada en el diálogo social a nivel de empresa, contribuye a la estabilidad del empleo y a la flexibilidad interna (ajustes de jornada, por ejemplo), lo que explica cómo un mercado con una protección legal moderadamente alta puede funcionar con una baja tasa de temporalidad.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Francia e Italia:</w:t>
      </w:r>
      <w:r w:rsidDel="00000000" w:rsidR="00000000" w:rsidRPr="00000000">
        <w:rPr>
          <w:rFonts w:ascii="Google Sans Text" w:cs="Google Sans Text" w:eastAsia="Google Sans Text" w:hAnsi="Google Sans Text"/>
          <w:color w:val="1b1c1d"/>
          <w:rtl w:val="0"/>
        </w:rPr>
        <w:t xml:space="preserve"> Ambos países comparten una tradición jurídica de fuerte protección de los "insiders" con contrato indefinido, un legado de las políticas laborales de la posguerra. Esta rigidez ha sido el objetivo de sucesivas reformas que han buscado introducir flexibilidad "en el margen", como la "Loi Travail" en Francia o el "Jobs Act" en Italia, que intentó alinear la protección con la de otros socios europeos, aunque partiendo de un nivel de restricción muy elevado.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Portugal:</w:t>
      </w:r>
      <w:r w:rsidDel="00000000" w:rsidR="00000000" w:rsidRPr="00000000">
        <w:rPr>
          <w:rFonts w:ascii="Google Sans Text" w:cs="Google Sans Text" w:eastAsia="Google Sans Text" w:hAnsi="Google Sans Text"/>
          <w:color w:val="1b1c1d"/>
          <w:rtl w:val="0"/>
        </w:rPr>
        <w:t xml:space="preserve"> Similar a España, su mercado laboral ha estado históricamente definido por una protección muy elevada para los contratos indefinidos, lo que ha generado una de las tasas de dualidad más altas de Europa. Las reformas implementadas durante la crisis de la deuda soberana buscaron flexibilizar el mercado, pero la estructura dual ha demostrado ser muy persistente.</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España (pre-2021):</w:t>
      </w:r>
      <w:r w:rsidDel="00000000" w:rsidR="00000000" w:rsidRPr="00000000">
        <w:rPr>
          <w:rFonts w:ascii="Google Sans Text" w:cs="Google Sans Text" w:eastAsia="Google Sans Text" w:hAnsi="Google Sans Text"/>
          <w:color w:val="1b1c1d"/>
          <w:rtl w:val="0"/>
        </w:rPr>
        <w:t xml:space="preserve"> El caso español era paradigmático de un mercado laboral dual. Una protección relativamente fuerte para los trabajadores fijos, herencia de la legislación laboral del franquismo, coexistía con una de las regulaciones más liberalizadas de Europa para el uso de contratos temporales, situación iniciada con la reforma de 1984.</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Este desequilibrio convirtió al contrato temporal en la principal vía de ajuste del empleo durante décadas.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 análisis más profundo revela que la efectividad de la legislación laboral no depende únicamente de su contenido, sino también de su aplicación. La interpretación y la ejecución de las leyes por parte de los tribunales pueden crear un nivel de protección </w:t>
      </w:r>
      <w:r w:rsidDel="00000000" w:rsidR="00000000" w:rsidRPr="00000000">
        <w:rPr>
          <w:rFonts w:ascii="Google Sans Text" w:cs="Google Sans Text" w:eastAsia="Google Sans Text" w:hAnsi="Google Sans Text"/>
          <w:i w:val="1"/>
          <w:color w:val="1b1c1d"/>
          <w:rtl w:val="0"/>
        </w:rPr>
        <w:t xml:space="preserve">de facto</w:t>
      </w:r>
      <w:r w:rsidDel="00000000" w:rsidR="00000000" w:rsidRPr="00000000">
        <w:rPr>
          <w:rFonts w:ascii="Google Sans Text" w:cs="Google Sans Text" w:eastAsia="Google Sans Text" w:hAnsi="Google Sans Text"/>
          <w:color w:val="1b1c1d"/>
          <w:rtl w:val="0"/>
        </w:rPr>
        <w:t xml:space="preserve"> que difiere de la puntuación </w:t>
      </w:r>
      <w:r w:rsidDel="00000000" w:rsidR="00000000" w:rsidRPr="00000000">
        <w:rPr>
          <w:rFonts w:ascii="Google Sans Text" w:cs="Google Sans Text" w:eastAsia="Google Sans Text" w:hAnsi="Google Sans Text"/>
          <w:i w:val="1"/>
          <w:color w:val="1b1c1d"/>
          <w:rtl w:val="0"/>
        </w:rPr>
        <w:t xml:space="preserve">de jure</w:t>
      </w:r>
      <w:r w:rsidDel="00000000" w:rsidR="00000000" w:rsidRPr="00000000">
        <w:rPr>
          <w:rFonts w:ascii="Google Sans Text" w:cs="Google Sans Text" w:eastAsia="Google Sans Text" w:hAnsi="Google Sans Text"/>
          <w:color w:val="1b1c1d"/>
          <w:rtl w:val="0"/>
        </w:rPr>
        <w:t xml:space="preserve">. Por ejemplo, tras la reforma española de 2012, que amplió legalmente las causas de despido objetivo, los estudios mostraron que los tribunales laborales no aumentaron sustancialmente la proporción de despidos calificados como procedentes.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Esta "fricción judicial" o inercia institucional, donde la cultura jurídica y los precedentes pueden mitigar el impacto previsto de una reforma legislativa, es un factor crucial. Sugiere que un cambio en la ley puede no ser suficiente para alterar el comportamiento de las empresas si no va acompañado de medidas que influyan en el ecosistema judicial. Esta "brecha de implementación" ayuda a explicar por qué países con puntuaciones EPL similares pueden experimentar resultados de mercado laboral diferentes.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2: La Trayectoria Reformista de España: Un Péndulo de la Desregulación a la Rerregulación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la última década, España ha sido un caso de estudio excepcional en materia de política laboral, ejecutando dos reformas de gran envergadura con objetivos y filosofías casi opuestas. Este vaivén regulatorio ofrece lecciones valiosas sobre los efectos, tanto previstos como imprevistos, de las intervenciones políticas en un mercado laboral estructuralmente complejo.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La Reforma de 2012: Un Impulso a la Flexibilidad Impulsado por la Crisis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reforma laboral de 2012 se aprobó en el punto álgido de la crisis de la deuda soberana de la eurozona. Con una tasa de desempleo que se disparaba hacia el 26.3%, superada solo por Grecia en la OCDE, y una masiva destrucción de empleo, el objetivo principal del gobierno era detener la sangría laboral.</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La lógica subyacente era que la rigidez del mercado laboral español obligaba a las empresas a ajustarse exclusivamente a través de la cantidad (despidos) en lugar del precio (salarios y condiciones). La reforma buscó proporcionar a las empresas alternativas al despido, aumentando la flexibilidad tanto interna como externa.</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Las medidas clave que impactaron directamente en los indicadores EPL fueron:</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Reducción de la indemnización por despido improcedente:</w:t>
      </w:r>
      <w:r w:rsidDel="00000000" w:rsidR="00000000" w:rsidRPr="00000000">
        <w:rPr>
          <w:rFonts w:ascii="Google Sans Text" w:cs="Google Sans Text" w:eastAsia="Google Sans Text" w:hAnsi="Google Sans Text"/>
          <w:color w:val="1b1c1d"/>
          <w:rtl w:val="0"/>
        </w:rPr>
        <w:t xml:space="preserve"> Se redujo de 45 a 33 días de salario por año de servicio, con un máximo de 24 mensualidades, para los nuevos contratos indefinidos.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Ampliación de las causas de despido objetivo:</w:t>
      </w:r>
      <w:r w:rsidDel="00000000" w:rsidR="00000000" w:rsidRPr="00000000">
        <w:rPr>
          <w:rFonts w:ascii="Google Sans Text" w:cs="Google Sans Text" w:eastAsia="Google Sans Text" w:hAnsi="Google Sans Text"/>
          <w:color w:val="1b1c1d"/>
          <w:rtl w:val="0"/>
        </w:rPr>
        <w:t xml:space="preserve"> Se facilitó la justificación de despidos por causas económicas, técnicas, organizativas o de producción, que conllevan una indemnización menor (20 días por año).</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Eliminación de la autorización administrativa para despidos colectivos:</w:t>
      </w:r>
      <w:r w:rsidDel="00000000" w:rsidR="00000000" w:rsidRPr="00000000">
        <w:rPr>
          <w:rFonts w:ascii="Google Sans Text" w:cs="Google Sans Text" w:eastAsia="Google Sans Text" w:hAnsi="Google Sans Text"/>
          <w:color w:val="1b1c1d"/>
          <w:rtl w:val="0"/>
        </w:rPr>
        <w:t xml:space="preserve"> Se suprimió el requisito de que la autoridad laboral aprobara los expedientes de regulación de empleo (ERE), agilizando el proceso.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Prevalencia del convenio de empresa:</w:t>
      </w:r>
      <w:r w:rsidDel="00000000" w:rsidR="00000000" w:rsidRPr="00000000">
        <w:rPr>
          <w:rFonts w:ascii="Google Sans Text" w:cs="Google Sans Text" w:eastAsia="Google Sans Text" w:hAnsi="Google Sans Text"/>
          <w:color w:val="1b1c1d"/>
          <w:rtl w:val="0"/>
        </w:rPr>
        <w:t xml:space="preserve"> Se dio prioridad a los convenios a nivel de empresa sobre los sectoriales en materias clave como salarios y jornada, fomentando la flexibilidad interna como alternativa a la destrucción de empleo.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Estas modificaciones provocaron una reducción significativa y medible en la puntuación EPL de España para los contratos indefinidos (EPRC). El país pasó de tener una de las protecciones más altas de la OCDE a una posición más cercana a la media, aumentando su "flexibilidad" en el papel y alterando su posición en el ranking comparativo.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La Reforma de 2021: Un Cambio de Paradigma para Combatir la Dualidad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Casi una década después, el diagnóstico había cambiado. A pesar de la flexibilidad introducida en 2012, el problema estructural de la dualidad del mercado laboral español no solo persistía, sino que se había consolidado. España mantenía una de las tasas de temporalidad más altas de la UE, con cerca de un tercio de los asalariados con contratos de duración determinada antes de la pandemia.</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Esta precariedad crónica se asociaba con salarios más bajos, menor inversión en formación, mayor inestabilidad y una segmentación social profunda.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reforma de 2021, acordada con los interlocutores sociales, representó un cambio de paradigma. En lugar de seguir flexibilizando el contrato indefinido, se centró en el objetivo opuesto: restringir drásticamente el uso del contrato temporal para convertir el contrato indefinido en la norma.</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Las medidas clave que alteraron fundamentalmente la regulación del empleo temporal (EPT) fueron:</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Restricción de las causas de la contratación temporal:</w:t>
      </w:r>
      <w:r w:rsidDel="00000000" w:rsidR="00000000" w:rsidRPr="00000000">
        <w:rPr>
          <w:rFonts w:ascii="Google Sans Text" w:cs="Google Sans Text" w:eastAsia="Google Sans Text" w:hAnsi="Google Sans Text"/>
          <w:color w:val="1b1c1d"/>
          <w:rtl w:val="0"/>
        </w:rPr>
        <w:t xml:space="preserve"> Se limitó el uso de contratos temporales a dos causas principales: circunstancias de la producción (para picos de trabajo imprevisibles y de corta duración) y sustitución de trabajadores.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Eliminación del contrato por obra o servicio:</w:t>
      </w:r>
      <w:r w:rsidDel="00000000" w:rsidR="00000000" w:rsidRPr="00000000">
        <w:rPr>
          <w:rFonts w:ascii="Google Sans Text" w:cs="Google Sans Text" w:eastAsia="Google Sans Text" w:hAnsi="Google Sans Text"/>
          <w:color w:val="1b1c1d"/>
          <w:rtl w:val="0"/>
        </w:rPr>
        <w:t xml:space="preserve"> Se suprimió esta modalidad contractual, que era la más utilizada y la principal fuente de fraude y encadenamiento de contratos temporales.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Promoción del contrato fijo-discontinuo:</w:t>
      </w:r>
      <w:r w:rsidDel="00000000" w:rsidR="00000000" w:rsidRPr="00000000">
        <w:rPr>
          <w:rFonts w:ascii="Google Sans Text" w:cs="Google Sans Text" w:eastAsia="Google Sans Text" w:hAnsi="Google Sans Text"/>
          <w:color w:val="1b1c1d"/>
          <w:rtl w:val="0"/>
        </w:rPr>
        <w:t xml:space="preserve"> Se rediseñó y potenció esta modalidad para trabajos de naturaleza estacional o intermitente. A diferencia de un contrato temporal, el fijo-discontinuo otorga al trabajador la condición de indefinido, con derecho a ser llamado al inicio de cada campaña y a acumular antigüedad, aunque con periodos de inactividad.</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Endurecimiento de las sanciones:</w:t>
      </w:r>
      <w:r w:rsidDel="00000000" w:rsidR="00000000" w:rsidRPr="00000000">
        <w:rPr>
          <w:rFonts w:ascii="Google Sans Text" w:cs="Google Sans Text" w:eastAsia="Google Sans Text" w:hAnsi="Google Sans Text"/>
          <w:color w:val="1b1c1d"/>
          <w:rtl w:val="0"/>
        </w:rPr>
        <w:t xml:space="preserve"> Se aumentaron las multas por el uso fraudulento de la contratación temporal.</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impacto de esta reforma en los indicadores EPL fue inmediato y drástico. La puntuación de España en el subíndice EPT se disparó, situando al país, según la OCDE, como el tercero con las normas más estrictas de la organización para el uso de contratos de duración determinada.</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Esto supuso una inversión completa de su posición histórica como uno de los mercados más liberalizados en este ámbito.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El Legado en Desarrollo: Éxito Contractual vs. Cuestiones Empíricas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éxito más visible e inmediato de la reforma de 2021 fue la drástica reducción de la tasa de temporalidad </w:t>
      </w:r>
      <w:r w:rsidDel="00000000" w:rsidR="00000000" w:rsidRPr="00000000">
        <w:rPr>
          <w:rFonts w:ascii="Google Sans Text" w:cs="Google Sans Text" w:eastAsia="Google Sans Text" w:hAnsi="Google Sans Text"/>
          <w:i w:val="1"/>
          <w:color w:val="1b1c1d"/>
          <w:rtl w:val="0"/>
        </w:rPr>
        <w:t xml:space="preserve">contractual</w:t>
      </w:r>
      <w:r w:rsidDel="00000000" w:rsidR="00000000" w:rsidRPr="00000000">
        <w:rPr>
          <w:rFonts w:ascii="Google Sans Text" w:cs="Google Sans Text" w:eastAsia="Google Sans Text" w:hAnsi="Google Sans Text"/>
          <w:color w:val="1b1c1d"/>
          <w:rtl w:val="0"/>
        </w:rPr>
        <w:t xml:space="preserve">. El porcentaje de asalariados con contrato temporal en el sector privado se desplomó desde niveles superiores al 25% a aproximadamente un 13.7% a principios de 2023, convergiendo por primera vez con la media europea.</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Este cambio se debió a una conversión masiva de contratos temporales existentes y a la nueva contratación bajo modalidades indefinidas.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Sin embargo, este éxito nominal ha abierto un debate más profundo sobre si el cambio contractual se ha traducido en una mayor estabilidad </w:t>
      </w:r>
      <w:r w:rsidDel="00000000" w:rsidR="00000000" w:rsidRPr="00000000">
        <w:rPr>
          <w:rFonts w:ascii="Google Sans Text" w:cs="Google Sans Text" w:eastAsia="Google Sans Text" w:hAnsi="Google Sans Text"/>
          <w:i w:val="1"/>
          <w:color w:val="1b1c1d"/>
          <w:rtl w:val="0"/>
        </w:rPr>
        <w:t xml:space="preserve">real</w:t>
      </w:r>
      <w:r w:rsidDel="00000000" w:rsidR="00000000" w:rsidRPr="00000000">
        <w:rPr>
          <w:rFonts w:ascii="Google Sans Text" w:cs="Google Sans Text" w:eastAsia="Google Sans Text" w:hAnsi="Google Sans Text"/>
          <w:color w:val="1b1c1d"/>
          <w:rtl w:val="0"/>
        </w:rPr>
        <w:t xml:space="preserve"> del empleo. Análisis del Fondo Monetario Internacional (FMI) y de centros de investigación como Fedea señalan que gran parte del ajuste se ha canalizado a través del contrato fijo-discontinuo.</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Los datos de afiliación a la Seguridad Social muestran un aumento exponencial en el número de nuevos contratos fijos-discontinuos firmados. Sin embargo, el stock de trabajadores activos bajo esta modalidad se ha mantenido relativamente estable, lo que implica una altísima rotación: periodos de actividad muy cortos seguidos de periodos de inactividad.</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Esto plantea la cuestión fundamental de si la reforma ha sustituido la "temporalidad contractual" por una "temporalidad empírica". Es decir, los trabajadores pueden tener un contrato indefinido en papel, pero en la práctica experimentan una inestabilidad en el empleo y los ingresos muy similar a la de una sucesión de contratos temporales.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El péndulo político de España revela una tensión inherente entre los objetivos macroeconómicos de política laboral y los incentivos microeconómicos de las empresas. La reforma de 2021 logró cambiar con éxito las "etiquetas" legales de los contratos, pero es posible que no haya alterado los modelos de negocio subyacentes de las empresas en sectores como el turismo o la agricultura, que dependen estructuralmente de una alta flexibilidad. Ante las nuevas y estrictas restricciones a los contratos temporales, estas empresas adoptaron el siguiente instrumento más flexible disponible: el contrato fijo-discontinuo.</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Ahora utilizan este contrato "indefinido" de una manera que funcionalmente imita a los antiguos contratos temporales. Los ciclos de creación y destrucción de puestos de trabajo no parecen haber cambiado sustancialmente; solo ha cambiado el vehículo contractual utilizado.</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Esto demuestra los límites de una reforma legislativa vertical cuando choca con poderosos incentivos económicos, exponiendo el desafío estructural de fondo en lugar de resolverlo por completo.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3: El Dilema de la Dualidad: Rigidez de la EPL y Persistencia del Empleo Temporal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Ampliando el foco más allá de España, esta sección examina el fenómeno de la dualidad del mercado laboral en los cinco países. Se utiliza el caso español como lente para analizar la compleja relación entre la rigurosidad de la regulación (EPL) y la prevalencia del empleo temporal, explorando por qué algunos países con alta protección logran mantener bajos niveles de temporalidad mientras que otros quedan atrapados en un modelo de dos velocidades.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Tendencias Empíricas del Empleo Temporal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tasa de temporalidad (el porcentaje de asalariados con un contrato de duración determinada sobre el total) es el indicador más directo de la dualidad del mercado laboral. Un análisis de su evolución en el tiempo revela patrones estructurales persistentes y el impacto disruptivo de las reformas.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Tabla 2: Evolución de la Tasa de Empleo Temporal (%), 2010–2023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País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2010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2015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2019 (Pre-COVID)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2021 (Pre-Reforma)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2023 (Post-Reforma)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España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13.7 (Privado)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Portugal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Francia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Italia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Alemania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9.5</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Nota: La tasa de temporalidad se refiere al porcentaje de empleados con contrato temporal sobre el total de empleados. El dato de España para 2023 se refiere específicamente al sector privado para reflejar el impacto de la reforma, que no afectó al sector público. Fuente: Eurostat.</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Los datos de la Tabla 2 ilustran de manera contundente la división en Europa. </w:t>
      </w:r>
      <w:r w:rsidDel="00000000" w:rsidR="00000000" w:rsidRPr="00000000">
        <w:rPr>
          <w:rFonts w:ascii="Google Sans Text" w:cs="Google Sans Text" w:eastAsia="Google Sans Text" w:hAnsi="Google Sans Text"/>
          <w:b w:val="1"/>
          <w:color w:val="1b1c1d"/>
          <w:rtl w:val="0"/>
        </w:rPr>
        <w:t xml:space="preserve">España y Portugal</w:t>
      </w:r>
      <w:r w:rsidDel="00000000" w:rsidR="00000000" w:rsidRPr="00000000">
        <w:rPr>
          <w:rFonts w:ascii="Google Sans Text" w:cs="Google Sans Text" w:eastAsia="Google Sans Text" w:hAnsi="Google Sans Text"/>
          <w:color w:val="1b1c1d"/>
          <w:rtl w:val="0"/>
        </w:rPr>
        <w:t xml:space="preserve"> han mantenido históricamente tasas de temporalidad extraordinariamente altas, superando el 20% durante más de una década. Esto los consolida como los ejemplos más claros de mercados laborales duales en el grupo. </w:t>
      </w:r>
      <w:r w:rsidDel="00000000" w:rsidR="00000000" w:rsidRPr="00000000">
        <w:rPr>
          <w:rFonts w:ascii="Google Sans Text" w:cs="Google Sans Text" w:eastAsia="Google Sans Text" w:hAnsi="Google Sans Text"/>
          <w:b w:val="1"/>
          <w:color w:val="1b1c1d"/>
          <w:rtl w:val="0"/>
        </w:rPr>
        <w:t xml:space="preserve">Francia e Italia</w:t>
      </w:r>
      <w:r w:rsidDel="00000000" w:rsidR="00000000" w:rsidRPr="00000000">
        <w:rPr>
          <w:rFonts w:ascii="Google Sans Text" w:cs="Google Sans Text" w:eastAsia="Google Sans Text" w:hAnsi="Google Sans Text"/>
          <w:color w:val="1b1c1d"/>
          <w:rtl w:val="0"/>
        </w:rPr>
        <w:t xml:space="preserve">, aunque con niveles más bajos, también muestran una dependencia significativa de la contratación temporal, con tasas que rondaban el 15% antes de la pandemia.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marcado contraste, </w:t>
      </w:r>
      <w:r w:rsidDel="00000000" w:rsidR="00000000" w:rsidRPr="00000000">
        <w:rPr>
          <w:rFonts w:ascii="Google Sans Text" w:cs="Google Sans Text" w:eastAsia="Google Sans Text" w:hAnsi="Google Sans Text"/>
          <w:b w:val="1"/>
          <w:color w:val="1b1c1d"/>
          <w:rtl w:val="0"/>
        </w:rPr>
        <w:t xml:space="preserve">Alemania</w:t>
      </w:r>
      <w:r w:rsidDel="00000000" w:rsidR="00000000" w:rsidRPr="00000000">
        <w:rPr>
          <w:rFonts w:ascii="Google Sans Text" w:cs="Google Sans Text" w:eastAsia="Google Sans Text" w:hAnsi="Google Sans Text"/>
          <w:color w:val="1b1c1d"/>
          <w:rtl w:val="0"/>
        </w:rPr>
        <w:t xml:space="preserve"> ha mantenido una tasa de temporalidad consistentemente más baja, situándose por debajo del 10% en 2023. Este dato es particularmente relevante porque, como se vio en la Sección 1, Alemania no tiene una protección del empleo indefinido especialmente laxa.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dato más llamativo es la evolución de España. Tras décadas como el país con la mayor tasa de temporalidad de la UE, la reforma de 2021 provocó una caída sin precedentes, llevando la tasa del sector privado a niveles cercanos a los de Francia e Italia, y por debajo de Portugal.</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Análisis del Vínculo: La Hipótesis del Mercado Dual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teoría económica convencional postula que un mercado laboral dual o de "dos niveles" surge de una gran asimetría regulatoria: una protección muy alta y rígida para los trabajadores con contrato indefinido ("insiders") combinada con una regulación laxa y flexible para los contratos temporales ("outsiders").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Ante los elevados costes y la incertidumbre asociados a la contratación indefinida, las empresas optan por utilizar contratos temporales para todas las nuevas contrataciones y para absorber las fluctuaciones de la demanda. Esto crea una clase de trabajadores precarios que soportan la mayor parte del ajuste económico, mientras que un núcleo de trabajadores fijos goza de una alta seguridad.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modelo teórico se ajusta bien a la realidad histórica de los países del sur de Europa. En España, Portugal, y en menor medida Italia y Francia, la combinación de puntuaciones EPRC elevadas con puntuaciones EPT comparativamente más bajas (o una aplicación laxa de estas últimas) creó un fuerte incentivo estructural para la contratación temporal. El contrato temporal se convirtió en la principal puerta de entrada al mercado laboral, pero a menudo también en una trampa de precariedad.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Perspectivas Comparadas: Más Allá de la Hipótesis Simple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 bien la hipótesis del mercado dual es poderosa, no explica todo el panorama. La comparación con Alemania revela que otros factores institucionales son determinantes.</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El Contraejemplo Alemán:</w:t>
      </w:r>
      <w:r w:rsidDel="00000000" w:rsidR="00000000" w:rsidRPr="00000000">
        <w:rPr>
          <w:rFonts w:ascii="Google Sans Text" w:cs="Google Sans Text" w:eastAsia="Google Sans Text" w:hAnsi="Google Sans Text"/>
          <w:color w:val="1b1c1d"/>
          <w:rtl w:val="0"/>
        </w:rPr>
        <w:t xml:space="preserve"> Alemania desafía la idea de que una fuerte protección de los "insiders" conduce inevitablemente a una alta temporalidad. A pesar de tener una puntuación EPRC relativamente alta, su tasa de temporalidad es la más baja del grupo.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Esto se debe a la existencia de mecanismos alternativos de flexibilidad y a una estructura institucional diferente:</w:t>
      </w:r>
    </w:p>
    <w:p w:rsidR="00000000" w:rsidDel="00000000" w:rsidP="00000000" w:rsidRDefault="00000000" w:rsidRPr="00000000" w14:paraId="00000099">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Flexibilidad Interna Negociada:</w:t>
      </w:r>
      <w:r w:rsidDel="00000000" w:rsidR="00000000" w:rsidRPr="00000000">
        <w:rPr>
          <w:rFonts w:ascii="Google Sans Text" w:cs="Google Sans Text" w:eastAsia="Google Sans Text" w:hAnsi="Google Sans Text"/>
          <w:color w:val="1b1c1d"/>
          <w:rtl w:val="0"/>
        </w:rPr>
        <w:t xml:space="preserve"> El ya mencionado papel de los consejos de empresa permite a las empresas alemanas ajustar las horas de trabajo o implementar esquemas de jornada reducida (</w:t>
      </w:r>
      <w:r w:rsidDel="00000000" w:rsidR="00000000" w:rsidRPr="00000000">
        <w:rPr>
          <w:rFonts w:ascii="Google Sans Text" w:cs="Google Sans Text" w:eastAsia="Google Sans Text" w:hAnsi="Google Sans Text"/>
          <w:i w:val="1"/>
          <w:color w:val="1b1c1d"/>
          <w:rtl w:val="0"/>
        </w:rPr>
        <w:t xml:space="preserve">Kurzarbeit</w:t>
      </w:r>
      <w:r w:rsidDel="00000000" w:rsidR="00000000" w:rsidRPr="00000000">
        <w:rPr>
          <w:rFonts w:ascii="Google Sans Text" w:cs="Google Sans Text" w:eastAsia="Google Sans Text" w:hAnsi="Google Sans Text"/>
          <w:color w:val="1b1c1d"/>
          <w:rtl w:val="0"/>
        </w:rPr>
        <w:t xml:space="preserve">) como principal herramienta para afrontar caídas de la demanda, en lugar de recurrir a despidos o a la no renovación de contratos temporales.</w:t>
      </w:r>
    </w:p>
    <w:p w:rsidR="00000000" w:rsidDel="00000000" w:rsidP="00000000" w:rsidRDefault="00000000" w:rsidRPr="00000000" w14:paraId="0000009A">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Sistema de Formación Profesional Dual:</w:t>
      </w:r>
      <w:r w:rsidDel="00000000" w:rsidR="00000000" w:rsidRPr="00000000">
        <w:rPr>
          <w:rFonts w:ascii="Google Sans Text" w:cs="Google Sans Text" w:eastAsia="Google Sans Text" w:hAnsi="Google Sans Text"/>
          <w:color w:val="1b1c1d"/>
          <w:rtl w:val="0"/>
        </w:rPr>
        <w:t xml:space="preserve"> Este sistema facilita una transición fluida de la educación al trabajo, proporcionando a los jóvenes cualificaciones reconocidas y reduciendo la necesidad de que las empresas utilicen contratos temporales como un largo periodo de prueba.</w:t>
      </w:r>
    </w:p>
    <w:p w:rsidR="00000000" w:rsidDel="00000000" w:rsidP="00000000" w:rsidRDefault="00000000" w:rsidRPr="00000000" w14:paraId="0000009B">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Estructura Productiva:</w:t>
      </w:r>
      <w:r w:rsidDel="00000000" w:rsidR="00000000" w:rsidRPr="00000000">
        <w:rPr>
          <w:rFonts w:ascii="Google Sans Text" w:cs="Google Sans Text" w:eastAsia="Google Sans Text" w:hAnsi="Google Sans Text"/>
          <w:color w:val="1b1c1d"/>
          <w:rtl w:val="0"/>
        </w:rPr>
        <w:t xml:space="preserve"> Una menor dependencia de sectores altamente estacionales como el turismo, en comparación con España o Portugal, también reduce la demanda estructural de mano de obra temporal.</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El Experimento Radical de España:</w:t>
      </w:r>
      <w:r w:rsidDel="00000000" w:rsidR="00000000" w:rsidRPr="00000000">
        <w:rPr>
          <w:rFonts w:ascii="Google Sans Text" w:cs="Google Sans Text" w:eastAsia="Google Sans Text" w:hAnsi="Google Sans Text"/>
          <w:color w:val="1b1c1d"/>
          <w:rtl w:val="0"/>
        </w:rPr>
        <w:t xml:space="preserve"> El caso español es único porque ha intentado romper el nexo de la dualidad no mediante la desregulación de los contratos indefinidos (el enfoque de la reforma de 2012, que tuvo un éxito limitado en este aspecto), sino a través de una re-regulación severa de los contratos temporales. La reforma de 2021 atacó directamente el pilar "flexible" del mercado dual. Los resultados iniciales sugieren que esta estrategia puede reducir drásticamente la </w:t>
      </w:r>
      <w:r w:rsidDel="00000000" w:rsidR="00000000" w:rsidRPr="00000000">
        <w:rPr>
          <w:rFonts w:ascii="Google Sans Text" w:cs="Google Sans Text" w:eastAsia="Google Sans Text" w:hAnsi="Google Sans Text"/>
          <w:i w:val="1"/>
          <w:color w:val="1b1c1d"/>
          <w:rtl w:val="0"/>
        </w:rPr>
        <w:t xml:space="preserve">tasa</w:t>
      </w:r>
      <w:r w:rsidDel="00000000" w:rsidR="00000000" w:rsidRPr="00000000">
        <w:rPr>
          <w:rFonts w:ascii="Google Sans Text" w:cs="Google Sans Text" w:eastAsia="Google Sans Text" w:hAnsi="Google Sans Text"/>
          <w:color w:val="1b1c1d"/>
          <w:rtl w:val="0"/>
        </w:rPr>
        <w:t xml:space="preserve"> de temporalidad contractual. Sin embargo, la emergencia de una alta rotación en los contratos fijos-discontinuos plantea la pregunta de si este modelo es transferible o si simplemente desplaza la precariedad a una nueva forma contractual.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dualidad del mercado laboral no es, por tanto, una función exclusiva del </w:t>
      </w:r>
      <w:r w:rsidDel="00000000" w:rsidR="00000000" w:rsidRPr="00000000">
        <w:rPr>
          <w:rFonts w:ascii="Google Sans Text" w:cs="Google Sans Text" w:eastAsia="Google Sans Text" w:hAnsi="Google Sans Text"/>
          <w:i w:val="1"/>
          <w:color w:val="1b1c1d"/>
          <w:rtl w:val="0"/>
        </w:rPr>
        <w:t xml:space="preserve">nivel</w:t>
      </w:r>
      <w:r w:rsidDel="00000000" w:rsidR="00000000" w:rsidRPr="00000000">
        <w:rPr>
          <w:rFonts w:ascii="Google Sans Text" w:cs="Google Sans Text" w:eastAsia="Google Sans Text" w:hAnsi="Google Sans Text"/>
          <w:color w:val="1b1c1d"/>
          <w:rtl w:val="0"/>
        </w:rPr>
        <w:t xml:space="preserve"> de la EPL, sino de la </w:t>
      </w:r>
      <w:r w:rsidDel="00000000" w:rsidR="00000000" w:rsidRPr="00000000">
        <w:rPr>
          <w:rFonts w:ascii="Google Sans Text" w:cs="Google Sans Text" w:eastAsia="Google Sans Text" w:hAnsi="Google Sans Text"/>
          <w:i w:val="1"/>
          <w:color w:val="1b1c1d"/>
          <w:rtl w:val="0"/>
        </w:rPr>
        <w:t xml:space="preserve">arquitectura</w:t>
      </w:r>
      <w:r w:rsidDel="00000000" w:rsidR="00000000" w:rsidRPr="00000000">
        <w:rPr>
          <w:rFonts w:ascii="Google Sans Text" w:cs="Google Sans Text" w:eastAsia="Google Sans Text" w:hAnsi="Google Sans Text"/>
          <w:color w:val="1b1c1d"/>
          <w:rtl w:val="0"/>
        </w:rPr>
        <w:t xml:space="preserve"> del sistema regulatorio en su conjunto y de su interacción con otras instituciones nacionales. El problema no es simplemente la existencia de contratos temporales, sino la estructura de incentivos que enfrentan las empresas. Si el modelo de negocio predominante depende de una alta flexibilidad numérica, las empresas buscarán y explotarán la "vía de menor resistencia" que ofrezca el código legal. En la España anterior a 2021, esa vía era el contrato por obra y servicio. En la España posterior a 2021, parece ser el uso intensivo y de corta duración del contrato fijo-discontinuo. En Alemania, la vía de menor resistencia puede ser la negociación de una reducción de jornada con el consejo de empresa. Por lo tanto, una política eficaz contra la dualidad debe mirar más allá del índice EPL y considerar todo el conjunto de disposiciones institucionales que moldean el comportamiento empresarial.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Sección 4: Síntesis e Implicaciones de Política para un Mercado Laboral Europeo más Resiliente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análisis comparativo de estos cinco mercados laborales europeos, con especial atención a la intensa trayectoria reformista de España, ofrece una serie de conclusiones clave y delinea un conjunto de recomendaciones estratégicas para los responsables políticos que buscan fomentar mercados laborales más eficientes, inclusivos y resilientes.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Resumen de los Hallazgos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comparación basada en los indicadores EPL de la OCDE revela una Europa laboral con distintas velocidades regulatorias. Antes de las reformas recientes, Francia, Italia y Portugal mantenían regímenes de protección del empleo significativamente más estrictos para los trabajadores indefinidos que Alemania y España. Esta rigidez, combinada con una mayor flexibilidad en la contratación temporal, fomentó modelos de mercado laboral dual, especialmente pronunciados en España y Portugal, caracterizados por tasas de temporalidad crónicamente elevadas. Alemania, en cambio, ha logrado combinar una protección robusta para sus trabajadores fijos con una baja temporalidad, gracias a un sólido sistema de diálogo social a nivel de empresa y a mecanismos de flexibilidad interna.</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"laboratorio de políticas" español ofrece lecciones cruciales. La reforma de 2012, centrada en la desregulación del despido, demostró que flexibilizar marginalmente las condiciones de los "insiders" era insuficiente para resolver el problema estructural de la dualidad. Por el contrario, la reforma de 2021 adoptó un enfoque radicalmente diferente, restringiendo drásticamente el uso de contratos temporales. Si bien esta medida ha tenido un éxito rotundo en la reducción de la tasa de temporalidad </w:t>
      </w:r>
      <w:r w:rsidDel="00000000" w:rsidR="00000000" w:rsidRPr="00000000">
        <w:rPr>
          <w:rFonts w:ascii="Google Sans Text" w:cs="Google Sans Text" w:eastAsia="Google Sans Text" w:hAnsi="Google Sans Text"/>
          <w:i w:val="1"/>
          <w:color w:val="1b1c1d"/>
          <w:rtl w:val="0"/>
        </w:rPr>
        <w:t xml:space="preserve">contractual</w:t>
      </w:r>
      <w:r w:rsidDel="00000000" w:rsidR="00000000" w:rsidRPr="00000000">
        <w:rPr>
          <w:rFonts w:ascii="Google Sans Text" w:cs="Google Sans Text" w:eastAsia="Google Sans Text" w:hAnsi="Google Sans Text"/>
          <w:color w:val="1b1c1d"/>
          <w:rtl w:val="0"/>
        </w:rPr>
        <w:t xml:space="preserve">, ha generado un nuevo debate sobre la "temporalidad empírica" a través de la alta rotación de los contratos fijos-discontinuos. Esto sugiere que un cambio en las formas contractuales no resuelve por sí solo los problemas subyacentes de inestabilidad si los modelos productivos no se transforman en paralelo.</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Disyuntivas de Política y el Camino a Seguir</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Los hallazgos subrayan que no existe una solución única o un modelo universalmente aplicable. El éxito del modelo alemán está profundamente arraigado en su historia institucional y no puede ser simplemente replicado en España o Italia. Cada reforma implica disyuntivas complejas. La reforma española de 2021, al tiempo que ha reducido la precariedad contractual para muchos jóvenes y trabajadores poco cualificados, puede haber introducido nuevas incertidumbres para las empresas a la hora de gestionar la variabilidad de la demanda y ha creado una nueva categoría de trabajadores "indefinidos" con ingresos intermitentes.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Además, el contexto macroeconómico es determinante. Las reformas que buscan aumentar la flexibilidad pueden tener efectos muy diferentes si se implementan en una recesión, cuando pueden acelerar la destrucción de empleo, o en una fase de expansión, cuando pueden facilitar la creación de puestos de trabajo.</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La política laboral debe ser, por tanto, dinámica y sensible al ciclo económico.</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Recomendaciones Estratégicas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partir del análisis realizado, se proponen las siguientes líneas de actuación para los responsables políticos a nivel nacional y de la UE:</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Superar el Dualismo con un Enfoque Integrado:</w:t>
      </w:r>
      <w:r w:rsidDel="00000000" w:rsidR="00000000" w:rsidRPr="00000000">
        <w:rPr>
          <w:rFonts w:ascii="Google Sans Text" w:cs="Google Sans Text" w:eastAsia="Google Sans Text" w:hAnsi="Google Sans Text"/>
          <w:color w:val="1b1c1d"/>
          <w:rtl w:val="0"/>
        </w:rPr>
        <w:t xml:space="preserve"> En lugar de centrarse exclusivamente en la dicotomía temporal/indefinido, las políticas deberían aspirar a crear un espectro de relaciones contractuales que ofrezcan un suelo sólido de derechos para todos los trabajadores, al tiempo que permitan grados de flexibilidad regulada. Esto podría implicar la simplificación del complejo menú de contratos que existe en muchos países y el diseño de un "contrato único" con derechos progresivos que aumenten con la antigüedad.</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Reforzar las Políticas Activas de Mercado de Trabajo (PAMT):</w:t>
      </w:r>
      <w:r w:rsidDel="00000000" w:rsidR="00000000" w:rsidRPr="00000000">
        <w:rPr>
          <w:rFonts w:ascii="Google Sans Text" w:cs="Google Sans Text" w:eastAsia="Google Sans Text" w:hAnsi="Google Sans Text"/>
          <w:color w:val="1b1c1d"/>
          <w:rtl w:val="0"/>
        </w:rPr>
        <w:t xml:space="preserve"> Independientemente del marco EPL, la clave para un mercado laboral funcional es la capacidad de apoyar a los trabajadores en sus transiciones. La persistencia de un desempleo elevado en España, incluso en un contexto de fuerte crecimiento del empleo, apunta a desajustes estructurales profundos que la reforma de la EPL por sí sola no puede corregir.</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Es imperativo invertir en servicios públicos de empleo eficientes, en la elaboración de perfiles individualizados para los desempleados y en programas de formación de alta calidad que respondan a las necesidades del tejido productivo.</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Modernizar el Diálogo Social y la Negociación Colectiva:</w:t>
      </w:r>
      <w:r w:rsidDel="00000000" w:rsidR="00000000" w:rsidRPr="00000000">
        <w:rPr>
          <w:rFonts w:ascii="Google Sans Text" w:cs="Google Sans Text" w:eastAsia="Google Sans Text" w:hAnsi="Google Sans Text"/>
          <w:color w:val="1b1c1d"/>
          <w:rtl w:val="0"/>
        </w:rPr>
        <w:t xml:space="preserve"> Se deben fomentar sistemas de negociación que puedan adaptarse a las necesidades específicas de las empresas sin generar una competencia a la baja en las condiciones laborales. El modelo alemán, donde los convenios sectoriales establecen un marco sólido y la negociación a nivel de empresa permite una flexibilidad pactada, ofrece un ejemplo valioso. La capacidad de ajustar salarios y jornadas de forma negociada es una alternativa más eficiente a los ajustes basados en despidos.</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Adoptar un Enfoque Holístico para las Reformas:</w:t>
      </w:r>
      <w:r w:rsidDel="00000000" w:rsidR="00000000" w:rsidRPr="00000000">
        <w:rPr>
          <w:rFonts w:ascii="Google Sans Text" w:cs="Google Sans Text" w:eastAsia="Google Sans Text" w:hAnsi="Google Sans Text"/>
          <w:color w:val="1b1c1d"/>
          <w:rtl w:val="0"/>
        </w:rPr>
        <w:t xml:space="preserve"> La principal lección es que una reforma laboral sostenible requiere un paquete de políticas integrado. Manipular las reglas de la EPL de forma aislada es propenso a generar consecuencias no deseadas, como el desplazamiento de la precariedad de un tipo de contrato a otro. Una estrategia exitosa debe combinar los ajustes en la regulación del empleo con inversiones decididas en el capital humano, PAMT modernizadas y redes de seguridad social robustas que apoyen la movilidad laboral en lugar de penalizarla. Solo así se podrá avanzar hacia el objetivo compartido de una mayor flexibilidad y una seguridad reforzada en los mercados laborales europeos.</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Employment protection - IZA World of Labor, fecha de acceso: noviembre 2, 2025, </w:t>
      </w:r>
      <w:hyperlink r:id="rId6">
        <w:r w:rsidDel="00000000" w:rsidR="00000000" w:rsidRPr="00000000">
          <w:rPr>
            <w:rFonts w:ascii="Google Sans" w:cs="Google Sans" w:eastAsia="Google Sans" w:hAnsi="Google Sans"/>
            <w:color w:val="0000ee"/>
            <w:sz w:val="24"/>
            <w:szCs w:val="24"/>
            <w:u w:val="single"/>
            <w:rtl w:val="0"/>
          </w:rPr>
          <w:t xml:space="preserve">https://wol.iza.org/articles/employment-protection/long</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Reduction of Employment Protection in OECD Countries: Its driving forces - ifo Institut, fecha de acceso: noviembre 2, 2025, </w:t>
      </w:r>
      <w:hyperlink r:id="rId7">
        <w:r w:rsidDel="00000000" w:rsidR="00000000" w:rsidRPr="00000000">
          <w:rPr>
            <w:rFonts w:ascii="Google Sans" w:cs="Google Sans" w:eastAsia="Google Sans" w:hAnsi="Google Sans"/>
            <w:color w:val="0000ee"/>
            <w:sz w:val="24"/>
            <w:szCs w:val="24"/>
            <w:u w:val="single"/>
            <w:rtl w:val="0"/>
          </w:rPr>
          <w:t xml:space="preserve">https://www.ifo.de/DocDL/dicereport408-forum5.pdf</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OECD Indicators of Employment Protection, fecha de acceso: noviembre 2, 2025, </w:t>
      </w:r>
      <w:hyperlink r:id="rId8">
        <w:r w:rsidDel="00000000" w:rsidR="00000000" w:rsidRPr="00000000">
          <w:rPr>
            <w:rFonts w:ascii="Google Sans" w:cs="Google Sans" w:eastAsia="Google Sans" w:hAnsi="Google Sans"/>
            <w:color w:val="0000ee"/>
            <w:sz w:val="24"/>
            <w:szCs w:val="24"/>
            <w:u w:val="single"/>
            <w:rtl w:val="0"/>
          </w:rPr>
          <w:t xml:space="preserve">https://www.oecd.org/en/data/datasets/oecd-indicators-of-employment-protection.html</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CALCULATING SUMMARY INDICATORS OF EMPLOYMENT PROTECTION LEGISLATION (EPL) IN LATIN AMERICA AND THE CARIBBEAN The Employment Pr - OECD, fecha de acceso: noviembre 2, 2025, </w:t>
      </w:r>
      <w:hyperlink r:id="rId9">
        <w:r w:rsidDel="00000000" w:rsidR="00000000" w:rsidRPr="00000000">
          <w:rPr>
            <w:rFonts w:ascii="Google Sans" w:cs="Google Sans" w:eastAsia="Google Sans" w:hAnsi="Google Sans"/>
            <w:color w:val="0000ee"/>
            <w:sz w:val="24"/>
            <w:szCs w:val="24"/>
            <w:u w:val="single"/>
            <w:rtl w:val="0"/>
          </w:rPr>
          <w:t xml:space="preserve">https://www.oecd.org/els/emp/EPL-Document-LAC-Methodology-ENG.pdf</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OECD's Employment Protection Index: its strengths and weaknesses, uses and - American Economic Association, fecha de acceso: noviembre 2, 2025, </w:t>
      </w:r>
      <w:hyperlink r:id="rId10">
        <w:r w:rsidDel="00000000" w:rsidR="00000000" w:rsidRPr="00000000">
          <w:rPr>
            <w:rFonts w:ascii="Google Sans" w:cs="Google Sans" w:eastAsia="Google Sans" w:hAnsi="Google Sans"/>
            <w:color w:val="0000ee"/>
            <w:sz w:val="24"/>
            <w:szCs w:val="24"/>
            <w:u w:val="single"/>
            <w:rtl w:val="0"/>
          </w:rPr>
          <w:t xml:space="preserve">https://www.aeaweb.org/conference/2017/preliminary/paper/Q8hYn4Tn</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Employment Protection Legislation - Compare your country, fecha de acceso: noviembre 2, 2025, </w:t>
      </w:r>
      <w:hyperlink r:id="rId11">
        <w:r w:rsidDel="00000000" w:rsidR="00000000" w:rsidRPr="00000000">
          <w:rPr>
            <w:rFonts w:ascii="Google Sans" w:cs="Google Sans" w:eastAsia="Google Sans" w:hAnsi="Google Sans"/>
            <w:color w:val="0000ee"/>
            <w:sz w:val="24"/>
            <w:szCs w:val="24"/>
            <w:u w:val="single"/>
            <w:rtl w:val="0"/>
          </w:rPr>
          <w:t xml:space="preserve">https://www1.compareyourcountry.org/employment-protection-legislation/en/0/178/ranking/</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findings in our report Regulation and the labour market 2024 - CIPD, fecha de acceso: noviembre 2, 2025, </w:t>
      </w:r>
      <w:hyperlink r:id="rId12">
        <w:r w:rsidDel="00000000" w:rsidR="00000000" w:rsidRPr="00000000">
          <w:rPr>
            <w:rFonts w:ascii="Google Sans" w:cs="Google Sans" w:eastAsia="Google Sans" w:hAnsi="Google Sans"/>
            <w:color w:val="0000ee"/>
            <w:sz w:val="24"/>
            <w:szCs w:val="24"/>
            <w:u w:val="single"/>
            <w:rtl w:val="0"/>
          </w:rPr>
          <w:t xml:space="preserve">https://www.cipd.org/globalassets/media/knowledge/knowledge-hub/reports/2024-pdfs/regulation-and-the-labour-market-2024-new.pdf</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Employment protection and minimum wages - OECD, fecha de acceso: noviembre 2, 2025, </w:t>
      </w:r>
      <w:hyperlink r:id="rId13">
        <w:r w:rsidDel="00000000" w:rsidR="00000000" w:rsidRPr="00000000">
          <w:rPr>
            <w:rFonts w:ascii="Google Sans" w:cs="Google Sans" w:eastAsia="Google Sans" w:hAnsi="Google Sans"/>
            <w:color w:val="0000ee"/>
            <w:sz w:val="24"/>
            <w:szCs w:val="24"/>
            <w:u w:val="single"/>
            <w:rtl w:val="0"/>
          </w:rPr>
          <w:t xml:space="preserve">https://www.oecd.org/en/topics/employment-protection-and-minimum-wages.html</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Recent Reform of the Labour Market in Italy: A Review - Economy and Finance, fecha de acceso: noviembre 2, 2025, </w:t>
      </w:r>
      <w:hyperlink r:id="rId14">
        <w:r w:rsidDel="00000000" w:rsidR="00000000" w:rsidRPr="00000000">
          <w:rPr>
            <w:rFonts w:ascii="Google Sans" w:cs="Google Sans" w:eastAsia="Google Sans" w:hAnsi="Google Sans"/>
            <w:color w:val="0000ee"/>
            <w:sz w:val="24"/>
            <w:szCs w:val="24"/>
            <w:u w:val="single"/>
            <w:rtl w:val="0"/>
          </w:rPr>
          <w:t xml:space="preserve">https://economy-finance.ec.europa.eu/document/download/a0a93585-7294-4df0-9976-5f255dc032ca_en?filename=dp072_en.pdf&amp;prefLang=cs</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primer on the 2022 Spanish Labour Reform - ResearchGate, fecha de acceso: noviembre 2, 2025, </w:t>
      </w:r>
      <w:hyperlink r:id="rId15">
        <w:r w:rsidDel="00000000" w:rsidR="00000000" w:rsidRPr="00000000">
          <w:rPr>
            <w:rFonts w:ascii="Google Sans" w:cs="Google Sans" w:eastAsia="Google Sans" w:hAnsi="Google Sans"/>
            <w:color w:val="0000ee"/>
            <w:sz w:val="24"/>
            <w:szCs w:val="24"/>
            <w:u w:val="single"/>
            <w:rtl w:val="0"/>
          </w:rPr>
          <w:t xml:space="preserve">https://www.researchgate.net/publication/362079703_A_primer_on_the_2022_Spanish_Labour_Reform</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Employment Protection Legislation and Labor Court Activity in Spain - ResearchGate, fecha de acceso: noviembre 2, 2025,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https://www.researchgate.net/publication/274078457_Employment_Protection_Legislation_and_Labor_Court_Activity_in_Spain</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FPP2016-27.pdf - Documentos Fedea, fecha de acceso: noviembre 2, 2025, </w:t>
      </w:r>
      <w:hyperlink r:id="rId17">
        <w:r w:rsidDel="00000000" w:rsidR="00000000" w:rsidRPr="00000000">
          <w:rPr>
            <w:rFonts w:ascii="Google Sans" w:cs="Google Sans" w:eastAsia="Google Sans" w:hAnsi="Google Sans"/>
            <w:color w:val="0000ee"/>
            <w:sz w:val="24"/>
            <w:szCs w:val="24"/>
            <w:u w:val="single"/>
            <w:rtl w:val="0"/>
          </w:rPr>
          <w:t xml:space="preserve">https://documentos.fedea.net/pubs/fpp/2016/12/FPP2016-27.pdf</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Distributional Implications of Labor Market Reforms: Learning from Spain's Experience, WP/20/29, February 2020, fecha de acceso: noviembre 2, 2025, </w:t>
      </w:r>
      <w:hyperlink r:id="rId18">
        <w:r w:rsidDel="00000000" w:rsidR="00000000" w:rsidRPr="00000000">
          <w:rPr>
            <w:rFonts w:ascii="Google Sans" w:cs="Google Sans" w:eastAsia="Google Sans" w:hAnsi="Google Sans"/>
            <w:color w:val="0000ee"/>
            <w:sz w:val="24"/>
            <w:szCs w:val="24"/>
            <w:u w:val="single"/>
            <w:rtl w:val="0"/>
          </w:rPr>
          <w:t xml:space="preserve">https://www.imf.org/-/media/Files/Publications/WP/2020/English/wpiea2020029-print-pdf.ashx</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primer on the 2022 Spanish Labour Reform - Turia, fecha de acceso: noviembre 2, 2025, </w:t>
      </w:r>
      <w:hyperlink r:id="rId19">
        <w:r w:rsidDel="00000000" w:rsidR="00000000" w:rsidRPr="00000000">
          <w:rPr>
            <w:rFonts w:ascii="Google Sans" w:cs="Google Sans" w:eastAsia="Google Sans" w:hAnsi="Google Sans"/>
            <w:color w:val="0000ee"/>
            <w:sz w:val="24"/>
            <w:szCs w:val="24"/>
            <w:u w:val="single"/>
            <w:rtl w:val="0"/>
          </w:rPr>
          <w:t xml:space="preserve">https://turia.uv.es/index.php/IREP/article/download/24764/20993/81682</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Reviving Broadly Shared Productivity Growth in Spain - OECD, fecha de acceso: noviembre 2, 2025, </w:t>
      </w:r>
      <w:hyperlink r:id="rId20">
        <w:r w:rsidDel="00000000" w:rsidR="00000000" w:rsidRPr="00000000">
          <w:rPr>
            <w:rFonts w:ascii="Google Sans" w:cs="Google Sans" w:eastAsia="Google Sans" w:hAnsi="Google Sans"/>
            <w:color w:val="0000ee"/>
            <w:sz w:val="24"/>
            <w:szCs w:val="24"/>
            <w:u w:val="single"/>
            <w:rtl w:val="0"/>
          </w:rPr>
          <w:t xml:space="preserve">https://www.oecd.org/en/publications/reviving-broadly-shared-productivity-growth-in-spain_34061b21-en.html</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labour reform of 2021 in Spain, a change of trend in the regulation of temporary contracts [La reforma laboral de 2021 en España, cambio de tendencia en la regulación de la contratación temporal] - IDEAS/RePEc, fecha de acceso: noviembre 2, 2025, </w:t>
      </w:r>
      <w:hyperlink r:id="rId21">
        <w:r w:rsidDel="00000000" w:rsidR="00000000" w:rsidRPr="00000000">
          <w:rPr>
            <w:rFonts w:ascii="Google Sans" w:cs="Google Sans" w:eastAsia="Google Sans" w:hAnsi="Google Sans"/>
            <w:color w:val="0000ee"/>
            <w:sz w:val="24"/>
            <w:szCs w:val="24"/>
            <w:u w:val="single"/>
            <w:rtl w:val="0"/>
          </w:rPr>
          <w:t xml:space="preserve">https://ideas.repec.org/p/hal/journl/halshs-04590144.html</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Spain | The labor market reform in perspective - BBVA Research, fecha de acceso: noviembre 2, 2025, </w:t>
      </w:r>
      <w:hyperlink r:id="rId22">
        <w:r w:rsidDel="00000000" w:rsidR="00000000" w:rsidRPr="00000000">
          <w:rPr>
            <w:rFonts w:ascii="Google Sans" w:cs="Google Sans" w:eastAsia="Google Sans" w:hAnsi="Google Sans"/>
            <w:color w:val="0000ee"/>
            <w:sz w:val="24"/>
            <w:szCs w:val="24"/>
            <w:u w:val="single"/>
            <w:rtl w:val="0"/>
          </w:rPr>
          <w:t xml:space="preserve">https://www.bbvaresearch.com/en/publicaciones/spain-the-labor-market-reform-in-perspective/</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Reforming Dual Labor Markets: “Empirical” or “Contractual” Temporary Rates? - Documentos Fedea, fecha de acceso: noviembre 2, 2025, </w:t>
      </w:r>
      <w:hyperlink r:id="rId23">
        <w:r w:rsidDel="00000000" w:rsidR="00000000" w:rsidRPr="00000000">
          <w:rPr>
            <w:rFonts w:ascii="Google Sans" w:cs="Google Sans" w:eastAsia="Google Sans" w:hAnsi="Google Sans"/>
            <w:color w:val="0000ee"/>
            <w:sz w:val="24"/>
            <w:szCs w:val="24"/>
            <w:u w:val="single"/>
            <w:rtl w:val="0"/>
          </w:rPr>
          <w:t xml:space="preserve">https://documentos.fedea.net/pubs/eee/2023/eee2023-36.pdf?utm_source=wordpress&amp;utm_medium=portada&amp;utm_campaign=estudio</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the Effects of Spain's 2021 Labor Market Reform in - IMF eLibrary, fecha de acceso: noviembre 2, 2025, </w:t>
      </w:r>
      <w:hyperlink r:id="rId24">
        <w:r w:rsidDel="00000000" w:rsidR="00000000" w:rsidRPr="00000000">
          <w:rPr>
            <w:rFonts w:ascii="Google Sans" w:cs="Google Sans" w:eastAsia="Google Sans" w:hAnsi="Google Sans"/>
            <w:color w:val="0000ee"/>
            <w:sz w:val="24"/>
            <w:szCs w:val="24"/>
            <w:u w:val="single"/>
            <w:rtl w:val="0"/>
          </w:rPr>
          <w:t xml:space="preserve">https://www.elibrary.imf.org/view/journals/002/2024/153/article-A003-en.xml</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 Area - Temporary employees - 2025 Data 2026 Forecast 2009-2023 Historical, fecha de acceso: noviembre 2, 2025, </w:t>
      </w:r>
      <w:hyperlink r:id="rId25">
        <w:r w:rsidDel="00000000" w:rsidR="00000000" w:rsidRPr="00000000">
          <w:rPr>
            <w:rFonts w:ascii="Google Sans" w:cs="Google Sans" w:eastAsia="Google Sans" w:hAnsi="Google Sans"/>
            <w:color w:val="0000ee"/>
            <w:sz w:val="24"/>
            <w:szCs w:val="24"/>
            <w:u w:val="single"/>
            <w:rtl w:val="0"/>
          </w:rPr>
          <w:t xml:space="preserve">https://tradingeconomics.com/euro-area/temporary-employees-eurostat-data.html</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Temporary and permanent employment - statistics - Statistics Explained - Eurostat, fecha de acceso: noviembre 2, 2025, </w:t>
      </w:r>
      <w:hyperlink r:id="rId26">
        <w:r w:rsidDel="00000000" w:rsidR="00000000" w:rsidRPr="00000000">
          <w:rPr>
            <w:rFonts w:ascii="Google Sans" w:cs="Google Sans" w:eastAsia="Google Sans" w:hAnsi="Google Sans"/>
            <w:color w:val="0000ee"/>
            <w:sz w:val="24"/>
            <w:szCs w:val="24"/>
            <w:u w:val="single"/>
            <w:rtl w:val="0"/>
          </w:rPr>
          <w:t xml:space="preserve">https://ec.europa.eu/eurostat/statistics-explained/index.php?title=Temporary_and_permanent_employment_-_statistics</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Spain - Temporary employees - 2025 Data 2026 Forecast 2009-2023 Historical, fecha de acceso: noviembre 2, 2025, </w:t>
      </w:r>
      <w:hyperlink r:id="rId27">
        <w:r w:rsidDel="00000000" w:rsidR="00000000" w:rsidRPr="00000000">
          <w:rPr>
            <w:rFonts w:ascii="Google Sans" w:cs="Google Sans" w:eastAsia="Google Sans" w:hAnsi="Google Sans"/>
            <w:color w:val="0000ee"/>
            <w:sz w:val="24"/>
            <w:szCs w:val="24"/>
            <w:u w:val="single"/>
            <w:rtl w:val="0"/>
          </w:rPr>
          <w:t xml:space="preserve">https://tradingeconomics.com/spain/temporary-employees-eurostat-data.html</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Labour Market Counter-Reforms in OECD Countries: Conditional Impact on Output and Employment Growth - EconStor, fecha de acceso: noviembre 2, 2025, </w:t>
      </w:r>
      <w:hyperlink r:id="rId28">
        <w:r w:rsidDel="00000000" w:rsidR="00000000" w:rsidRPr="00000000">
          <w:rPr>
            <w:rFonts w:ascii="Google Sans" w:cs="Google Sans" w:eastAsia="Google Sans" w:hAnsi="Google Sans"/>
            <w:color w:val="0000ee"/>
            <w:sz w:val="24"/>
            <w:szCs w:val="24"/>
            <w:u w:val="single"/>
            <w:rtl w:val="0"/>
          </w:rPr>
          <w:t xml:space="preserve">https://www.econstor.eu/bitstream/10419/301325/1/cesifo1_wp11199.pdf</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OECD Employment Outlook 2024 - Country Notes: Spain, fecha de acceso: noviembre 2, 2025, </w:t>
      </w:r>
      <w:hyperlink r:id="rId29">
        <w:r w:rsidDel="00000000" w:rsidR="00000000" w:rsidRPr="00000000">
          <w:rPr>
            <w:rFonts w:ascii="Google Sans" w:cs="Google Sans" w:eastAsia="Google Sans" w:hAnsi="Google Sans"/>
            <w:color w:val="0000ee"/>
            <w:sz w:val="24"/>
            <w:szCs w:val="24"/>
            <w:u w:val="single"/>
            <w:rtl w:val="0"/>
          </w:rPr>
          <w:t xml:space="preserve">https://www.oecd.org/en/publications/oecd-employment-outlook-2024-country-notes_d6c84475-en/spain_b237abc0-en.html</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OECD Economic Surveys: Spain 2023, fecha de acceso: noviembre 2, 2025, </w:t>
      </w:r>
      <w:hyperlink r:id="rId30">
        <w:r w:rsidDel="00000000" w:rsidR="00000000" w:rsidRPr="00000000">
          <w:rPr>
            <w:rFonts w:ascii="Google Sans" w:cs="Google Sans" w:eastAsia="Google Sans" w:hAnsi="Google Sans"/>
            <w:color w:val="0000ee"/>
            <w:sz w:val="24"/>
            <w:szCs w:val="24"/>
            <w:u w:val="single"/>
            <w:rtl w:val="0"/>
          </w:rPr>
          <w:t xml:space="preserve">https://www.oecd.org/en/publications/oecd-economic-surveys-spain-2023_5b50cc51-en.html</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OECD Economic Surveys: Spain 2021, fecha de acceso: noviembre 2, 2025, </w:t>
      </w:r>
      <w:hyperlink r:id="rId31">
        <w:r w:rsidDel="00000000" w:rsidR="00000000" w:rsidRPr="00000000">
          <w:rPr>
            <w:rFonts w:ascii="Google Sans" w:cs="Google Sans" w:eastAsia="Google Sans" w:hAnsi="Google Sans"/>
            <w:color w:val="0000ee"/>
            <w:sz w:val="24"/>
            <w:szCs w:val="24"/>
            <w:u w:val="single"/>
            <w:rtl w:val="0"/>
          </w:rPr>
          <w:t xml:space="preserve">https://www.oecd.org/en/publications/oecd-economic-surveys-spain-2021_79e92d88-en.html</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Report: Improving Active Labour Market Policies in Spain | OECD, fecha de acceso: noviembre 2, 2025, </w:t>
      </w:r>
      <w:hyperlink r:id="rId32">
        <w:r w:rsidDel="00000000" w:rsidR="00000000" w:rsidRPr="00000000">
          <w:rPr>
            <w:rFonts w:ascii="Google Sans" w:cs="Google Sans" w:eastAsia="Google Sans" w:hAnsi="Google Sans"/>
            <w:color w:val="0000ee"/>
            <w:sz w:val="24"/>
            <w:szCs w:val="24"/>
            <w:u w:val="single"/>
            <w:rtl w:val="0"/>
          </w:rPr>
          <w:t xml:space="preserve">https://www.oecd.org/en/publications/improving-active-labour-market-policies-in-spain_745e0cdd-en/full-report.html</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Criteria specific to the objectives of the recovery and resilience plan: Improving Active Labour Market Policies in Spain | OECD, fecha de acceso: noviembre 2, 2025, </w:t>
      </w:r>
      <w:hyperlink r:id="rId33">
        <w:r w:rsidDel="00000000" w:rsidR="00000000" w:rsidRPr="00000000">
          <w:rPr>
            <w:rFonts w:ascii="Google Sans" w:cs="Google Sans" w:eastAsia="Google Sans" w:hAnsi="Google Sans"/>
            <w:color w:val="0000ee"/>
            <w:sz w:val="24"/>
            <w:szCs w:val="24"/>
            <w:u w:val="single"/>
            <w:rtl w:val="0"/>
          </w:rPr>
          <w:t xml:space="preserve">https://www.oecd.org/en/publications/improving-active-labour-market-policies-in-spain_745e0cdd-en/full-report/component-13.html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ecd.org/en/publications/reviving-broadly-shared-productivity-growth-in-spain_34061b21-en.html" TargetMode="External"/><Relationship Id="rId22" Type="http://schemas.openxmlformats.org/officeDocument/2006/relationships/hyperlink" Target="https://www.bbvaresearch.com/en/publicaciones/spain-the-labor-market-reform-in-perspective/" TargetMode="External"/><Relationship Id="rId21" Type="http://schemas.openxmlformats.org/officeDocument/2006/relationships/hyperlink" Target="https://ideas.repec.org/p/hal/journl/halshs-04590144.html" TargetMode="External"/><Relationship Id="rId24" Type="http://schemas.openxmlformats.org/officeDocument/2006/relationships/hyperlink" Target="https://www.elibrary.imf.org/view/journals/002/2024/153/article-A003-en.xml" TargetMode="External"/><Relationship Id="rId23" Type="http://schemas.openxmlformats.org/officeDocument/2006/relationships/hyperlink" Target="https://documentos.fedea.net/pubs/eee/2023/eee2023-36.pdf?utm_source=wordpress&amp;utm_medium=portada&amp;utm_campaign=estud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ecd.org/els/emp/EPL-Document-LAC-Methodology-ENG.pdf" TargetMode="External"/><Relationship Id="rId26" Type="http://schemas.openxmlformats.org/officeDocument/2006/relationships/hyperlink" Target="https://ec.europa.eu/eurostat/statistics-explained/index.php?title=Temporary_and_permanent_employment_-_statistics" TargetMode="External"/><Relationship Id="rId25" Type="http://schemas.openxmlformats.org/officeDocument/2006/relationships/hyperlink" Target="https://tradingeconomics.com/euro-area/temporary-employees-eurostat-data.html" TargetMode="External"/><Relationship Id="rId28" Type="http://schemas.openxmlformats.org/officeDocument/2006/relationships/hyperlink" Target="https://www.econstor.eu/bitstream/10419/301325/1/cesifo1_wp11199.pdf" TargetMode="External"/><Relationship Id="rId27" Type="http://schemas.openxmlformats.org/officeDocument/2006/relationships/hyperlink" Target="https://tradingeconomics.com/spain/temporary-employees-eurostat-data.html" TargetMode="External"/><Relationship Id="rId5" Type="http://schemas.openxmlformats.org/officeDocument/2006/relationships/styles" Target="styles.xml"/><Relationship Id="rId6" Type="http://schemas.openxmlformats.org/officeDocument/2006/relationships/hyperlink" Target="https://wol.iza.org/articles/employment-protection/long" TargetMode="External"/><Relationship Id="rId29" Type="http://schemas.openxmlformats.org/officeDocument/2006/relationships/hyperlink" Target="https://www.oecd.org/en/publications/oecd-employment-outlook-2024-country-notes_d6c84475-en/spain_b237abc0-en.html" TargetMode="External"/><Relationship Id="rId7" Type="http://schemas.openxmlformats.org/officeDocument/2006/relationships/hyperlink" Target="https://www.ifo.de/DocDL/dicereport408-forum5.pdf" TargetMode="External"/><Relationship Id="rId8" Type="http://schemas.openxmlformats.org/officeDocument/2006/relationships/hyperlink" Target="https://www.oecd.org/en/data/datasets/oecd-indicators-of-employment-protection.html" TargetMode="External"/><Relationship Id="rId31" Type="http://schemas.openxmlformats.org/officeDocument/2006/relationships/hyperlink" Target="https://www.oecd.org/en/publications/oecd-economic-surveys-spain-2021_79e92d88-en.html" TargetMode="External"/><Relationship Id="rId30" Type="http://schemas.openxmlformats.org/officeDocument/2006/relationships/hyperlink" Target="https://www.oecd.org/en/publications/oecd-economic-surveys-spain-2023_5b50cc51-en.html" TargetMode="External"/><Relationship Id="rId11" Type="http://schemas.openxmlformats.org/officeDocument/2006/relationships/hyperlink" Target="https://www1.compareyourcountry.org/employment-protection-legislation/en/0/178/ranking/" TargetMode="External"/><Relationship Id="rId33" Type="http://schemas.openxmlformats.org/officeDocument/2006/relationships/hyperlink" Target="https://www.oecd.org/en/publications/improving-active-labour-market-policies-in-spain_745e0cdd-en/full-report/component-13.html" TargetMode="External"/><Relationship Id="rId10" Type="http://schemas.openxmlformats.org/officeDocument/2006/relationships/hyperlink" Target="https://www.aeaweb.org/conference/2017/preliminary/paper/Q8hYn4Tn" TargetMode="External"/><Relationship Id="rId32" Type="http://schemas.openxmlformats.org/officeDocument/2006/relationships/hyperlink" Target="https://www.oecd.org/en/publications/improving-active-labour-market-policies-in-spain_745e0cdd-en/full-report.html" TargetMode="External"/><Relationship Id="rId13" Type="http://schemas.openxmlformats.org/officeDocument/2006/relationships/hyperlink" Target="https://www.oecd.org/en/topics/employment-protection-and-minimum-wages.html" TargetMode="External"/><Relationship Id="rId12" Type="http://schemas.openxmlformats.org/officeDocument/2006/relationships/hyperlink" Target="https://www.cipd.org/globalassets/media/knowledge/knowledge-hub/reports/2024-pdfs/regulation-and-the-labour-market-2024-new.pdf" TargetMode="External"/><Relationship Id="rId15" Type="http://schemas.openxmlformats.org/officeDocument/2006/relationships/hyperlink" Target="https://www.researchgate.net/publication/362079703_A_primer_on_the_2022_Spanish_Labour_Reform" TargetMode="External"/><Relationship Id="rId14" Type="http://schemas.openxmlformats.org/officeDocument/2006/relationships/hyperlink" Target="https://economy-finance.ec.europa.eu/document/download/a0a93585-7294-4df0-9976-5f255dc032ca_en?filename=dp072_en.pdf&amp;prefLang=cs" TargetMode="External"/><Relationship Id="rId17" Type="http://schemas.openxmlformats.org/officeDocument/2006/relationships/hyperlink" Target="https://documentos.fedea.net/pubs/fpp/2016/12/FPP2016-27.pdf" TargetMode="External"/><Relationship Id="rId16" Type="http://schemas.openxmlformats.org/officeDocument/2006/relationships/hyperlink" Target="https://www.researchgate.net/publication/274078457_Employment_Protection_Legislation_and_Labor_Court_Activity_in_Spain" TargetMode="External"/><Relationship Id="rId19" Type="http://schemas.openxmlformats.org/officeDocument/2006/relationships/hyperlink" Target="https://turia.uv.es/index.php/IREP/article/download/24764/20993/81682" TargetMode="External"/><Relationship Id="rId18" Type="http://schemas.openxmlformats.org/officeDocument/2006/relationships/hyperlink" Target="https://www.imf.org/-/media/Files/Publications/WP/2020/English/wpiea2020029-print-pdf.ash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