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Evidencia Empírica de los Efectos de la Negociación Colectiva en el Mercado Laboral Español: Un Análisis Académico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Resumen Ejecutivo (Nivel de la Sección)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Esta sección presenta una síntesis de la evidencia académica y econométrica sobre los impactos del modelo español de negociación colectiva (NC). El análisis se estructura en torno a una tesis central: la configuración institucional de la NC en España, caracterizada históricamente por el predominio del nivel sectorial-provincial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no es un factor exógeno, sino que ha sido un componente endógeno y coherente de un modelo de crecimiento macroeconómico ("Sur-Oeste"). Este modelo se ha definido por una notable compresión salarial, una débil vinculación de los salarios con la productividad a nivel de empresa y un patrón de ajuste cíclico que ha priorizado las cantidades (empleo) sobre los precios (salarios).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análisis de los salarios revela que las primas salariales observadas en los convenios de empresa son, en gran medida, un artefacto estadístico derivado de profundos efectos de selección y composición: las empresas que negocian sus propios convenios son </w:t>
      </w:r>
      <w:r w:rsidDel="00000000" w:rsidR="00000000" w:rsidRPr="00000000">
        <w:rPr>
          <w:rFonts w:ascii="Google Sans Text" w:cs="Google Sans Text" w:eastAsia="Google Sans Text" w:hAnsi="Google Sans Text"/>
          <w:i w:val="1"/>
          <w:iCs w:val="1"/>
          <w:color w:val="1b1c1d"/>
          <w:rtl w:val="0"/>
        </w:rPr>
        <w:t xml:space="preserve">a priori</w:t>
      </w:r>
      <w:r w:rsidDel="00000000" w:rsidR="00000000" w:rsidRPr="00000000">
        <w:rPr>
          <w:rFonts w:ascii="Google Sans Text" w:cs="Google Sans Text" w:eastAsia="Google Sans Text" w:hAnsi="Google Sans Text"/>
          <w:color w:val="1b1c1d"/>
          <w:rtl w:val="0"/>
        </w:rPr>
        <w:t xml:space="preserve"> más grandes, más productivas y más capitalizadas.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En términos de desigualdad, la evidencia confirma que la NC sectorial actúa como un potente compresor de la dispersión salarial </w:t>
      </w:r>
      <w:r w:rsidDel="00000000" w:rsidR="00000000" w:rsidRPr="00000000">
        <w:rPr>
          <w:rFonts w:ascii="Google Sans Text" w:cs="Google Sans Text" w:eastAsia="Google Sans Text" w:hAnsi="Google Sans Text"/>
          <w:i w:val="1"/>
          <w:iCs w:val="1"/>
          <w:color w:val="1b1c1d"/>
          <w:rtl w:val="0"/>
        </w:rPr>
        <w:t xml:space="preserve">inter-empresarial</w:t>
      </w:r>
      <w:r w:rsidDel="00000000" w:rsidR="00000000" w:rsidRPr="00000000">
        <w:rPr>
          <w:rFonts w:ascii="Google Sans Text" w:cs="Google Sans Text" w:eastAsia="Google Sans Text" w:hAnsi="Google Sans Text"/>
          <w:color w:val="1b1c1d"/>
          <w:rtl w:val="0"/>
        </w:rPr>
        <w:t xml:space="preserve">, como lo atestigua un coeficiente de Gini de 0.11 en los convenios sectoriales frente a 0.29 en los de empresa.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Sin embargo, la literatura académica reciente advierte contra conclusiones simplistas, señalando que el efecto de la descentralización sobre la desigualdad </w:t>
      </w:r>
      <w:r w:rsidDel="00000000" w:rsidR="00000000" w:rsidRPr="00000000">
        <w:rPr>
          <w:rFonts w:ascii="Google Sans Text" w:cs="Google Sans Text" w:eastAsia="Google Sans Text" w:hAnsi="Google Sans Text"/>
          <w:i w:val="1"/>
          <w:iCs w:val="1"/>
          <w:color w:val="1b1c1d"/>
          <w:rtl w:val="0"/>
        </w:rPr>
        <w:t xml:space="preserve">intra-empresarial</w:t>
      </w:r>
      <w:r w:rsidDel="00000000" w:rsidR="00000000" w:rsidRPr="00000000">
        <w:rPr>
          <w:rFonts w:ascii="Google Sans Text" w:cs="Google Sans Text" w:eastAsia="Google Sans Text" w:hAnsi="Google Sans Text"/>
          <w:color w:val="1b1c1d"/>
          <w:rtl w:val="0"/>
        </w:rPr>
        <w:t xml:space="preserve"> es empíricamente ambiguo y heterogéneo.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informe evalúa con especial detalle el impacto de las dos grandes reformas laborales de las últimas décadas. La reforma de 2012 se describe como una paradoja: fracasó en su objetivo </w:t>
      </w:r>
      <w:r w:rsidDel="00000000" w:rsidR="00000000" w:rsidRPr="00000000">
        <w:rPr>
          <w:rFonts w:ascii="Google Sans Text" w:cs="Google Sans Text" w:eastAsia="Google Sans Text" w:hAnsi="Google Sans Text"/>
          <w:i w:val="1"/>
          <w:iCs w:val="1"/>
          <w:color w:val="1b1c1d"/>
          <w:rtl w:val="0"/>
        </w:rPr>
        <w:t xml:space="preserve">de jure</w:t>
      </w:r>
      <w:r w:rsidDel="00000000" w:rsidR="00000000" w:rsidRPr="00000000">
        <w:rPr>
          <w:rFonts w:ascii="Google Sans Text" w:cs="Google Sans Text" w:eastAsia="Google Sans Text" w:hAnsi="Google Sans Text"/>
          <w:color w:val="1b1c1d"/>
          <w:rtl w:val="0"/>
        </w:rPr>
        <w:t xml:space="preserve"> de descentralizar la estructura negociadora (la cobertura de los convenios de empresa no aumentó), pero alcanzó un éxito </w:t>
      </w:r>
      <w:r w:rsidDel="00000000" w:rsidR="00000000" w:rsidRPr="00000000">
        <w:rPr>
          <w:rFonts w:ascii="Google Sans Text" w:cs="Google Sans Text" w:eastAsia="Google Sans Text" w:hAnsi="Google Sans Text"/>
          <w:i w:val="1"/>
          <w:iCs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 en la introducción de flexibilidad salarial a través de mecanismos de "escape" como los </w:t>
      </w:r>
      <w:r w:rsidDel="00000000" w:rsidR="00000000" w:rsidRPr="00000000">
        <w:rPr>
          <w:rFonts w:ascii="Google Sans Text" w:cs="Google Sans Text" w:eastAsia="Google Sans Text" w:hAnsi="Google Sans Text"/>
          <w:i w:val="1"/>
          <w:iCs w:val="1"/>
          <w:color w:val="1b1c1d"/>
          <w:rtl w:val="0"/>
        </w:rPr>
        <w:t xml:space="preserve">descuelgues</w:t>
      </w:r>
      <w:r w:rsidDel="00000000" w:rsidR="00000000" w:rsidRPr="00000000">
        <w:rPr>
          <w:rFonts w:ascii="Google Sans Text" w:cs="Google Sans Text" w:eastAsia="Google Sans Text" w:hAnsi="Google Sans Text"/>
          <w:color w:val="1b1c1d"/>
          <w:rtl w:val="0"/>
        </w:rPr>
        <w:t xml:space="preserve"> (inaplicaciones) y el fin de la ultraactividad.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Finalmente, se analiza la configuración resultante de la reforma de 2022. Esta ha logrado un éxito empírico en la reducción drástica de la temporalidad, especialmente entre los colectivos más vulnerables.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Sin embargo, ha introducido nuevas incertidumbres, como el posible uso del contrato fijo-discontinuo como un nuevo mecanismo de rotación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al tiempo que ha restaurado la rigidez salarial al devolver la prioridad al convenio sectorial y reinstaurar la ultraactividad.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El resultado es un modelo laboral sin precedentes en la historia de España, que ha eliminado simultáneamente los dos márgenes de flexibilidad históricos: el ajuste salarial (introducido en 2012) y el ajuste contractual (la temporalidad, hegemónica antes de 2022).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1: Impactos sobre Salarios, Desigualdad y Productividad: Evidencia de la Literatura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sistema de negociación colectiva es el principal mecanismo de determinación salarial en España, cubriendo aproximadamente al 80% de los trabajadores asalariados.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La literatura econométrica ha dedicado un esfuerzo considerable a identificar los efectos causales de esta institución sobre la estructura salarial, la desigualdad y la productividad. Este análisis revela una compleja interacción entre los niveles de negociación, las características de las empresas y los modelos macroeconómicos en los que se inscribe el sistema.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Determinación de Primas Salariales y la Cuestión de los Efectos de Selección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 punto de partida recurrente en el análisis empírico es la cuantificación de la "prima salarial" asociada a los distintos niveles de negociación. Los datos brutos, como los recogidos en el documento base, identifican de manera consistente una prima salarial para los trabajadores cubiertos por convenios colectivos de empresa (CLA) que oscila entre el 5% y el 7.5% en comparación con aquellos bajo convenios sectoriales.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Sin embargo, un análisis econométrico riguroso descompone esta prima bruta, revelando que no es homogénea y que su interpretación causal es compleja. En primer lugar, la prima varía drásticamente a lo largo de la distribución salarial. Los estudios muestran que la prima de empresa es significativamente mayor en los deciles más bajos de la distribución (alcanzando un 13.9% para hombres y un notable 19% para mujeres), mientras que se reduce progresivamente en los deciles superiores, llegando a ser negativa para las mujeres en los tramos más altos (-9.2%).</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hallazgo crucial de la literatura académica es que gran parte de esta prima bruta no es un efecto </w:t>
      </w:r>
      <w:r w:rsidDel="00000000" w:rsidR="00000000" w:rsidRPr="00000000">
        <w:rPr>
          <w:rFonts w:ascii="Google Sans Text" w:cs="Google Sans Text" w:eastAsia="Google Sans Text" w:hAnsi="Google Sans Text"/>
          <w:i w:val="1"/>
          <w:iCs w:val="1"/>
          <w:color w:val="1b1c1d"/>
          <w:rtl w:val="0"/>
        </w:rPr>
        <w:t xml:space="preserve">causal</w:t>
      </w:r>
      <w:r w:rsidDel="00000000" w:rsidR="00000000" w:rsidRPr="00000000">
        <w:rPr>
          <w:rFonts w:ascii="Google Sans Text" w:cs="Google Sans Text" w:eastAsia="Google Sans Text" w:hAnsi="Google Sans Text"/>
          <w:color w:val="1b1c1d"/>
          <w:rtl w:val="0"/>
        </w:rPr>
        <w:t xml:space="preserve"> del convenio de empresa </w:t>
      </w:r>
      <w:r w:rsidDel="00000000" w:rsidR="00000000" w:rsidRPr="00000000">
        <w:rPr>
          <w:rFonts w:ascii="Google Sans Text" w:cs="Google Sans Text" w:eastAsia="Google Sans Text" w:hAnsi="Google Sans Text"/>
          <w:i w:val="1"/>
          <w:iCs w:val="1"/>
          <w:color w:val="1b1c1d"/>
          <w:rtl w:val="0"/>
        </w:rPr>
        <w:t xml:space="preserve">per se</w:t>
      </w:r>
      <w:r w:rsidDel="00000000" w:rsidR="00000000" w:rsidRPr="00000000">
        <w:rPr>
          <w:rFonts w:ascii="Google Sans Text" w:cs="Google Sans Text" w:eastAsia="Google Sans Text" w:hAnsi="Google Sans Text"/>
          <w:color w:val="1b1c1d"/>
          <w:rtl w:val="0"/>
        </w:rPr>
        <w:t xml:space="preserve">, sino el resultado de fuertes </w:t>
      </w:r>
      <w:r w:rsidDel="00000000" w:rsidR="00000000" w:rsidRPr="00000000">
        <w:rPr>
          <w:rFonts w:ascii="Google Sans Text" w:cs="Google Sans Text" w:eastAsia="Google Sans Text" w:hAnsi="Google Sans Text"/>
          <w:b w:val="1"/>
          <w:bCs w:val="1"/>
          <w:color w:val="1b1c1d"/>
          <w:rtl w:val="0"/>
        </w:rPr>
        <w:t xml:space="preserve">efectos de selección y composición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En economía laboral, esto implica que las empresas que negocian un convenio propio no son una muestra aleatoria del tejido productivo. Por el contrario, la decisión de negociar un CLA es </w:t>
      </w:r>
      <w:r w:rsidDel="00000000" w:rsidR="00000000" w:rsidRPr="00000000">
        <w:rPr>
          <w:rFonts w:ascii="Google Sans Text" w:cs="Google Sans Text" w:eastAsia="Google Sans Text" w:hAnsi="Google Sans Text"/>
          <w:i w:val="1"/>
          <w:iCs w:val="1"/>
          <w:color w:val="1b1c1d"/>
          <w:rtl w:val="0"/>
        </w:rPr>
        <w:t xml:space="preserve">endógena</w:t>
      </w:r>
      <w:r w:rsidDel="00000000" w:rsidR="00000000" w:rsidRPr="00000000">
        <w:rPr>
          <w:rFonts w:ascii="Google Sans Text" w:cs="Google Sans Text" w:eastAsia="Google Sans Text" w:hAnsi="Google Sans Text"/>
          <w:color w:val="1b1c1d"/>
          <w:rtl w:val="0"/>
        </w:rPr>
        <w:t xml:space="preserve"> y está correlacionada con características empresariales que también afectan a los salarios.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evidencia empírica es contundente al respecto:</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Tamaño Empresarial:</w:t>
      </w:r>
      <w:r w:rsidDel="00000000" w:rsidR="00000000" w:rsidRPr="00000000">
        <w:rPr>
          <w:rFonts w:ascii="Google Sans Text" w:cs="Google Sans Text" w:eastAsia="Google Sans Text" w:hAnsi="Google Sans Text"/>
          <w:color w:val="1b1c1d"/>
          <w:rtl w:val="0"/>
        </w:rPr>
        <w:t xml:space="preserve"> Existe una diferencia abismal en la escala. Las empresas con convenio propio tienen un tamaño medio de casi 300 trabajadores. En cambio, las empresas cubiertas por el nivel predominante, el convenio sectorial-provincial, tienen un tamaño medio de solo 15 trabajadores.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Productividad y Sector:</w:t>
      </w:r>
      <w:r w:rsidDel="00000000" w:rsidR="00000000" w:rsidRPr="00000000">
        <w:rPr>
          <w:rFonts w:ascii="Google Sans Text" w:cs="Google Sans Text" w:eastAsia="Google Sans Text" w:hAnsi="Google Sans Text"/>
          <w:color w:val="1b1c1d"/>
          <w:rtl w:val="0"/>
        </w:rPr>
        <w:t xml:space="preserve"> Las empresas con CLA tienden a ser más productivas, más intensivas en capital y a operar en sectores con mayores márATenes y valor añadido, como la energía o el transporte, en contraste con la construcción o la hostelería, donde el convenio provincial es la norma.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Capital Humano:</w:t>
      </w:r>
      <w:r w:rsidDel="00000000" w:rsidR="00000000" w:rsidRPr="00000000">
        <w:rPr>
          <w:rFonts w:ascii="Google Sans Text" w:cs="Google Sans Text" w:eastAsia="Google Sans Text" w:hAnsi="Google Sans Text"/>
          <w:color w:val="1b1c1d"/>
          <w:rtl w:val="0"/>
        </w:rPr>
        <w:t xml:space="preserve"> Estas empresas más grandes y productivas también tienden a contratar y retener a trabajadores con mayores niveles de cualificación y experiencia.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Cuando los modelos econométricos controlan por estas características observables (tamaño, sector, cualificación) y no observables (como la productividad total de los factores o la calidad de la gestión), la prima salarial "pura" atribuible causalmente a la negociación de empresa se reduce de manera significativa, aunque en muchos estudios mantiene su significatividad estadística.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Por lo tanto, no es tanto que el convenio de empresa </w:t>
      </w:r>
      <w:r w:rsidDel="00000000" w:rsidR="00000000" w:rsidRPr="00000000">
        <w:rPr>
          <w:rFonts w:ascii="Google Sans Text" w:cs="Google Sans Text" w:eastAsia="Google Sans Text" w:hAnsi="Google Sans Text"/>
          <w:i w:val="1"/>
          <w:iCs w:val="1"/>
          <w:color w:val="1b1c1d"/>
          <w:rtl w:val="0"/>
        </w:rPr>
        <w:t xml:space="preserve">cause</w:t>
      </w:r>
      <w:r w:rsidDel="00000000" w:rsidR="00000000" w:rsidRPr="00000000">
        <w:rPr>
          <w:rFonts w:ascii="Google Sans Text" w:cs="Google Sans Text" w:eastAsia="Google Sans Text" w:hAnsi="Google Sans Text"/>
          <w:color w:val="1b1c1d"/>
          <w:rtl w:val="0"/>
        </w:rPr>
        <w:t xml:space="preserve"> salarios altos, sino que las empresas que ya son grandes, productivas y capaces de pagar salarios altos son las que </w:t>
      </w:r>
      <w:r w:rsidDel="00000000" w:rsidR="00000000" w:rsidRPr="00000000">
        <w:rPr>
          <w:rFonts w:ascii="Google Sans Text" w:cs="Google Sans Text" w:eastAsia="Google Sans Text" w:hAnsi="Google Sans Text"/>
          <w:i w:val="1"/>
          <w:iCs w:val="1"/>
          <w:color w:val="1b1c1d"/>
          <w:rtl w:val="0"/>
        </w:rPr>
        <w:t xml:space="preserve">eligen</w:t>
      </w:r>
      <w:r w:rsidDel="00000000" w:rsidR="00000000" w:rsidRPr="00000000">
        <w:rPr>
          <w:rFonts w:ascii="Google Sans Text" w:cs="Google Sans Text" w:eastAsia="Google Sans Text" w:hAnsi="Google Sans Text"/>
          <w:color w:val="1b1c1d"/>
          <w:rtl w:val="0"/>
        </w:rPr>
        <w:t xml:space="preserve"> (y tienen la capacidad de) negociar un convenio de empresa.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Negociación Colectiva y Dispersión Salarial: De la Compresión Inter-empresarial a la Ambigüedad Intra-empresarial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Uno de los efectos más documentados y relevantes de la estructura de negociación española es su impacto en la desigualdad salarial. El predominio del convenio sectorial-provincial (que cubre a más del 50% de los trabajadores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ha funcionado históricamente como un potente mecanismo de </w:t>
      </w:r>
      <w:r w:rsidDel="00000000" w:rsidR="00000000" w:rsidRPr="00000000">
        <w:rPr>
          <w:rFonts w:ascii="Google Sans Text" w:cs="Google Sans Text" w:eastAsia="Google Sans Text" w:hAnsi="Google Sans Text"/>
          <w:b w:val="1"/>
          <w:bCs w:val="1"/>
          <w:color w:val="1b1c1d"/>
          <w:rtl w:val="0"/>
        </w:rPr>
        <w:t xml:space="preserve">compresión salarial </w:t>
      </w:r>
      <w:r w:rsidDel="00000000" w:rsidR="00000000" w:rsidRPr="00000000">
        <w:rPr>
          <w:rFonts w:ascii="Google Sans Text" w:cs="Google Sans Text" w:eastAsia="Google Sans Text" w:hAnsi="Google Sans Text"/>
          <w:b w:val="1"/>
          <w:bCs w:val="1"/>
          <w:i w:val="1"/>
          <w:iCs w:val="1"/>
          <w:color w:val="1b1c1d"/>
          <w:rtl w:val="0"/>
        </w:rPr>
        <w:t xml:space="preserve">inter-empresarial</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dato empírico más elocuente proporcionado en los documentos base es la comparación de los coeficientes de Gini:</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 el ámbito de los convenios de empresa, la dispersión salarial es alta, con un coeficiente de Gini de </w:t>
      </w:r>
      <w:r w:rsidDel="00000000" w:rsidR="00000000" w:rsidRPr="00000000">
        <w:rPr>
          <w:rFonts w:ascii="Google Sans Text" w:cs="Google Sans Text" w:eastAsia="Google Sans Text" w:hAnsi="Google Sans Text"/>
          <w:b w:val="1"/>
          <w:bCs w:val="1"/>
          <w:color w:val="1b1c1d"/>
          <w:rtl w:val="0"/>
        </w:rPr>
        <w:t xml:space="preserve">0.29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 el ámbito de los convenios sectoriales, la dispersión es drásticamente menor, con un coeficiente de Gini de solo </w:t>
      </w:r>
      <w:r w:rsidDel="00000000" w:rsidR="00000000" w:rsidRPr="00000000">
        <w:rPr>
          <w:rFonts w:ascii="Google Sans Text" w:cs="Google Sans Text" w:eastAsia="Google Sans Text" w:hAnsi="Google Sans Text"/>
          <w:b w:val="1"/>
          <w:bCs w:val="1"/>
          <w:color w:val="1b1c1d"/>
          <w:rtl w:val="0"/>
        </w:rPr>
        <w:t xml:space="preserve">0.11</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diferencia documenta el </w:t>
      </w:r>
      <w:r w:rsidDel="00000000" w:rsidR="00000000" w:rsidRPr="00000000">
        <w:rPr>
          <w:rFonts w:ascii="Google Sans Text" w:cs="Google Sans Text" w:eastAsia="Google Sans Text" w:hAnsi="Google Sans Text"/>
          <w:i w:val="1"/>
          <w:iCs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 fundamental del modelo español. Un Gini de 0.29 en los CLA indica que los salarios están más ligados a la realidad de cada compañía, reflejando las diferencias de productividad, rentabilidad y modelos de negocio entre ellas. Por el contrario, un Gini de 0.11 en los convenios sectoriales (especialmente los provinciales) demuestra que los salarios están "desconectados" de la productividad individual de la empresa. El sistema fija un suelo salarial y unas condiciones comunes para todas las empresas de un sector y una provincia, independientemente de si son altamente rentables o si operan en el umbral de la supervivencia. El resultado es una mayor equidad salarial </w:t>
      </w:r>
      <w:r w:rsidDel="00000000" w:rsidR="00000000" w:rsidRPr="00000000">
        <w:rPr>
          <w:rFonts w:ascii="Google Sans Text" w:cs="Google Sans Text" w:eastAsia="Google Sans Text" w:hAnsi="Google Sans Text"/>
          <w:i w:val="1"/>
          <w:iCs w:val="1"/>
          <w:color w:val="1b1c1d"/>
          <w:rtl w:val="0"/>
        </w:rPr>
        <w:t xml:space="preserve">entre</w:t>
      </w:r>
      <w:r w:rsidDel="00000000" w:rsidR="00000000" w:rsidRPr="00000000">
        <w:rPr>
          <w:rFonts w:ascii="Google Sans Text" w:cs="Google Sans Text" w:eastAsia="Google Sans Text" w:hAnsi="Google Sans Text"/>
          <w:color w:val="1b1c1d"/>
          <w:rtl w:val="0"/>
        </w:rPr>
        <w:t xml:space="preserve"> los trabajadores de diferentes empresas, pero a costa de una menor flexibilidad y una débil vinculación entre salario y productividad a nivel de firma.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bien esta compresión </w:t>
      </w:r>
      <w:r w:rsidDel="00000000" w:rsidR="00000000" w:rsidRPr="00000000">
        <w:rPr>
          <w:rFonts w:ascii="Google Sans Text" w:cs="Google Sans Text" w:eastAsia="Google Sans Text" w:hAnsi="Google Sans Text"/>
          <w:i w:val="1"/>
          <w:iCs w:val="1"/>
          <w:color w:val="1b1c1d"/>
          <w:rtl w:val="0"/>
        </w:rPr>
        <w:t xml:space="preserve">inter-empresarial</w:t>
      </w:r>
      <w:r w:rsidDel="00000000" w:rsidR="00000000" w:rsidRPr="00000000">
        <w:rPr>
          <w:rFonts w:ascii="Google Sans Text" w:cs="Google Sans Text" w:eastAsia="Google Sans Text" w:hAnsi="Google Sans Text"/>
          <w:color w:val="1b1c1d"/>
          <w:rtl w:val="0"/>
        </w:rPr>
        <w:t xml:space="preserve"> es un hecho estilizado robusto, la literatura académica reciente ha comenzado a explorar la otra dimensión de la desigualdad: la </w:t>
      </w:r>
      <w:r w:rsidDel="00000000" w:rsidR="00000000" w:rsidRPr="00000000">
        <w:rPr>
          <w:rFonts w:ascii="Google Sans Text" w:cs="Google Sans Text" w:eastAsia="Google Sans Text" w:hAnsi="Google Sans Text"/>
          <w:b w:val="1"/>
          <w:bCs w:val="1"/>
          <w:color w:val="1b1c1d"/>
          <w:rtl w:val="0"/>
        </w:rPr>
        <w:t xml:space="preserve">dispersión salarial </w:t>
      </w:r>
      <w:r w:rsidDel="00000000" w:rsidR="00000000" w:rsidRPr="00000000">
        <w:rPr>
          <w:rFonts w:ascii="Google Sans Text" w:cs="Google Sans Text" w:eastAsia="Google Sans Text" w:hAnsi="Google Sans Text"/>
          <w:b w:val="1"/>
          <w:bCs w:val="1"/>
          <w:i w:val="1"/>
          <w:iCs w:val="1"/>
          <w:color w:val="1b1c1d"/>
          <w:rtl w:val="0"/>
        </w:rPr>
        <w:t xml:space="preserve">intra-empresarial</w:t>
      </w:r>
      <w:r w:rsidDel="00000000" w:rsidR="00000000" w:rsidRPr="00000000">
        <w:rPr>
          <w:rFonts w:ascii="Google Sans Text" w:cs="Google Sans Text" w:eastAsia="Google Sans Text" w:hAnsi="Google Sans Text"/>
          <w:color w:val="1b1c1d"/>
          <w:rtl w:val="0"/>
        </w:rPr>
        <w:t xml:space="preserve"> (la desigualdad </w:t>
      </w:r>
      <w:r w:rsidDel="00000000" w:rsidR="00000000" w:rsidRPr="00000000">
        <w:rPr>
          <w:rFonts w:ascii="Google Sans Text" w:cs="Google Sans Text" w:eastAsia="Google Sans Text" w:hAnsi="Google Sans Text"/>
          <w:i w:val="1"/>
          <w:iCs w:val="1"/>
          <w:color w:val="1b1c1d"/>
          <w:rtl w:val="0"/>
        </w:rPr>
        <w:t xml:space="preserve">dentro</w:t>
      </w:r>
      <w:r w:rsidDel="00000000" w:rsidR="00000000" w:rsidRPr="00000000">
        <w:rPr>
          <w:rFonts w:ascii="Google Sans Text" w:cs="Google Sans Text" w:eastAsia="Google Sans Text" w:hAnsi="Google Sans Text"/>
          <w:color w:val="1b1c1d"/>
          <w:rtl w:val="0"/>
        </w:rPr>
        <w:t xml:space="preserve"> de una misma compañía). La pregunta que se plantea es: ¿la descentralización hacia convenios de empresa, aunque aumente la desigualdad </w:t>
      </w:r>
      <w:r w:rsidDel="00000000" w:rsidR="00000000" w:rsidRPr="00000000">
        <w:rPr>
          <w:rFonts w:ascii="Google Sans Text" w:cs="Google Sans Text" w:eastAsia="Google Sans Text" w:hAnsi="Google Sans Text"/>
          <w:i w:val="1"/>
          <w:iCs w:val="1"/>
          <w:color w:val="1b1c1d"/>
          <w:rtl w:val="0"/>
        </w:rPr>
        <w:t xml:space="preserve">entre</w:t>
      </w:r>
      <w:r w:rsidDel="00000000" w:rsidR="00000000" w:rsidRPr="00000000">
        <w:rPr>
          <w:rFonts w:ascii="Google Sans Text" w:cs="Google Sans Text" w:eastAsia="Google Sans Text" w:hAnsi="Google Sans Text"/>
          <w:color w:val="1b1c1d"/>
          <w:rtl w:val="0"/>
        </w:rPr>
        <w:t xml:space="preserve"> firmas (Gini 0.29), tiene un efecto claro sobre la desigualdad </w:t>
      </w:r>
      <w:r w:rsidDel="00000000" w:rsidR="00000000" w:rsidRPr="00000000">
        <w:rPr>
          <w:rFonts w:ascii="Google Sans Text" w:cs="Google Sans Text" w:eastAsia="Google Sans Text" w:hAnsi="Google Sans Text"/>
          <w:i w:val="1"/>
          <w:iCs w:val="1"/>
          <w:color w:val="1b1c1d"/>
          <w:rtl w:val="0"/>
        </w:rPr>
        <w:t xml:space="preserve">dentro</w:t>
      </w:r>
      <w:r w:rsidDel="00000000" w:rsidR="00000000" w:rsidRPr="00000000">
        <w:rPr>
          <w:rFonts w:ascii="Google Sans Text" w:cs="Google Sans Text" w:eastAsia="Google Sans Text" w:hAnsi="Google Sans Text"/>
          <w:color w:val="1b1c1d"/>
          <w:rtl w:val="0"/>
        </w:rPr>
        <w:t xml:space="preserve"> de ellas?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 influyente estudio de la Organización Internacional del Trabajo (OIT) realizado por Cirillo, Sostero y Tamagni (publicado en 2025)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que analiza datos de empleadores y empleados para seis países europeos (incluida España) durante el período 2006-2018, arroja dudas sobre una respuesta simple. Los resultados de este </w:t>
      </w:r>
      <w:r w:rsidDel="00000000" w:rsidR="00000000" w:rsidRPr="00000000">
        <w:rPr>
          <w:rFonts w:ascii="Google Sans Text" w:cs="Google Sans Text" w:eastAsia="Google Sans Text" w:hAnsi="Google Sans Text"/>
          <w:i w:val="1"/>
          <w:iCs w:val="1"/>
          <w:color w:val="1b1c1d"/>
          <w:rtl w:val="0"/>
        </w:rPr>
        <w:t xml:space="preserve">paper</w:t>
      </w:r>
      <w:r w:rsidDel="00000000" w:rsidR="00000000" w:rsidRPr="00000000">
        <w:rPr>
          <w:rFonts w:ascii="Google Sans Text" w:cs="Google Sans Text" w:eastAsia="Google Sans Text" w:hAnsi="Google Sans Text"/>
          <w:color w:val="1b1c1d"/>
          <w:rtl w:val="0"/>
        </w:rPr>
        <w:t xml:space="preserve"> "ponen en cuestión las clasificaciones simples" de los sistemas de negociación.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Los autores encuentran que las diferencias en la desigualdad </w:t>
      </w:r>
      <w:r w:rsidDel="00000000" w:rsidR="00000000" w:rsidRPr="00000000">
        <w:rPr>
          <w:rFonts w:ascii="Google Sans Text" w:cs="Google Sans Text" w:eastAsia="Google Sans Text" w:hAnsi="Google Sans Text"/>
          <w:i w:val="1"/>
          <w:iCs w:val="1"/>
          <w:color w:val="1b1c1d"/>
          <w:rtl w:val="0"/>
        </w:rPr>
        <w:t xml:space="preserve">intra-empresarial</w:t>
      </w:r>
      <w:r w:rsidDel="00000000" w:rsidR="00000000" w:rsidRPr="00000000">
        <w:rPr>
          <w:rFonts w:ascii="Google Sans Text" w:cs="Google Sans Text" w:eastAsia="Google Sans Text" w:hAnsi="Google Sans Text"/>
          <w:color w:val="1b1c1d"/>
          <w:rtl w:val="0"/>
        </w:rPr>
        <w:t xml:space="preserve"> entre la negociación a nivel de empresa y la negociación centralizada </w:t>
      </w:r>
      <w:r w:rsidDel="00000000" w:rsidR="00000000" w:rsidRPr="00000000">
        <w:rPr>
          <w:rFonts w:ascii="Google Sans Text" w:cs="Google Sans Text" w:eastAsia="Google Sans Text" w:hAnsi="Google Sans Text"/>
          <w:b w:val="1"/>
          <w:bCs w:val="1"/>
          <w:color w:val="1b1c1d"/>
          <w:rtl w:val="0"/>
        </w:rPr>
        <w:t xml:space="preserve">"varían considerablemente entre países y dentro de un mismo país"</w:t>
      </w:r>
      <w:r w:rsidDel="00000000" w:rsidR="00000000" w:rsidRPr="00000000">
        <w:rPr>
          <w:rFonts w:ascii="Google Sans Text" w:cs="Google Sans Text" w:eastAsia="Google Sans Text" w:hAnsi="Google Sans Text"/>
          <w:color w:val="1b1c1d"/>
          <w:rtl w:val="0"/>
        </w:rPr>
        <w:t xml:space="preserve">, sin que parezca haber una tendencia temporal común.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hallazgo es crucial. Refuta la idea simplista de que la descentralización (más convenios de empresa) conduce automática y uniformemente a una mayor desigualdad general. Un convenio de empresa podría, teóricamente, aumentar la desigualdad </w:t>
      </w:r>
      <w:r w:rsidDel="00000000" w:rsidR="00000000" w:rsidRPr="00000000">
        <w:rPr>
          <w:rFonts w:ascii="Google Sans Text" w:cs="Google Sans Text" w:eastAsia="Google Sans Text" w:hAnsi="Google Sans Text"/>
          <w:i w:val="1"/>
          <w:iCs w:val="1"/>
          <w:color w:val="1b1c1d"/>
          <w:rtl w:val="0"/>
        </w:rPr>
        <w:t xml:space="preserve">intra-firma</w:t>
      </w:r>
      <w:r w:rsidDel="00000000" w:rsidR="00000000" w:rsidRPr="00000000">
        <w:rPr>
          <w:rFonts w:ascii="Google Sans Text" w:cs="Google Sans Text" w:eastAsia="Google Sans Text" w:hAnsi="Google Sans Text"/>
          <w:color w:val="1b1c1d"/>
          <w:rtl w:val="0"/>
        </w:rPr>
        <w:t xml:space="preserve"> (si, por ejemplo, los directivos lo utilizan para aumentar sus primas mientras congelan los salarios base). Pero también podría </w:t>
      </w:r>
      <w:r w:rsidDel="00000000" w:rsidR="00000000" w:rsidRPr="00000000">
        <w:rPr>
          <w:rFonts w:ascii="Google Sans Text" w:cs="Google Sans Text" w:eastAsia="Google Sans Text" w:hAnsi="Google Sans Text"/>
          <w:i w:val="1"/>
          <w:iCs w:val="1"/>
          <w:color w:val="1b1c1d"/>
          <w:rtl w:val="0"/>
        </w:rPr>
        <w:t xml:space="preserve">reducirla</w:t>
      </w:r>
      <w:r w:rsidDel="00000000" w:rsidR="00000000" w:rsidRPr="00000000">
        <w:rPr>
          <w:rFonts w:ascii="Google Sans Text" w:cs="Google Sans Text" w:eastAsia="Google Sans Text" w:hAnsi="Google Sans Text"/>
          <w:color w:val="1b1c1d"/>
          <w:rtl w:val="0"/>
        </w:rPr>
        <w:t xml:space="preserve"> (si, por ejemplo, sustituye un sistema de salarios discrecionales y arbitrarios por una escala salarial formalizada y transparente). La evidencia académica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sugiere que no hay una regla de hierro, y que el impacto de la descentralización en la desigualdad interna es heterogéneo y depende del contexto nacional y sectorial.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El Vínculo entre Salarios, Productividad y Modelos Macroeconómicos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diagnóstico de los documentos base es claro: en España, la correlación entre el crecimiento de la productividad y los salarios a nivel de empresa es débil, especialmente si se la compara con la fuerte correlación observada en Alemania.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Durante el período de expansión (1995-2007), esta desconexión se manifestó en un crecimiento de los salarios nominales por encima de la productividad en varios sectores, contribuyendo a una pérdida de competitividad y a la acumulación de desequilibrios macroeconómicos.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literatura académica sobre modelos de crecimiento comparados, como el trabajo de Stockhammer, Durand &amp; List (2016)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proporciona el marco macroeconómico necesario para interpretar este hecho. Este </w:t>
      </w:r>
      <w:r w:rsidDel="00000000" w:rsidR="00000000" w:rsidRPr="00000000">
        <w:rPr>
          <w:rFonts w:ascii="Google Sans Text" w:cs="Google Sans Text" w:eastAsia="Google Sans Text" w:hAnsi="Google Sans Text"/>
          <w:i w:val="1"/>
          <w:iCs w:val="1"/>
          <w:color w:val="1b1c1d"/>
          <w:rtl w:val="0"/>
        </w:rPr>
        <w:t xml:space="preserve">paper</w:t>
      </w:r>
      <w:r w:rsidDel="00000000" w:rsidR="00000000" w:rsidRPr="00000000">
        <w:rPr>
          <w:rFonts w:ascii="Google Sans Text" w:cs="Google Sans Text" w:eastAsia="Google Sans Text" w:hAnsi="Google Sans Text"/>
          <w:color w:val="1b1c1d"/>
          <w:rtl w:val="0"/>
        </w:rPr>
        <w:t xml:space="preserve"> sostiene que la dinámica salarial no es un fenómeno aislado, sino una pieza central y coherente de los diferentes "modelos de crecimiento" europeos: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Modelo Norte-Este (Alemania, Austria, Países Bajos):</w:t>
      </w:r>
      <w:r w:rsidDel="00000000" w:rsidR="00000000" w:rsidRPr="00000000">
        <w:rPr>
          <w:rFonts w:ascii="Google Sans Text" w:cs="Google Sans Text" w:eastAsia="Google Sans Text" w:hAnsi="Google Sans Text"/>
          <w:color w:val="1b1c1d"/>
          <w:rtl w:val="0"/>
        </w:rPr>
        <w:t xml:space="preserve"> Estos países, identificados en los documentos base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y en el </w:t>
      </w:r>
      <w:r w:rsidDel="00000000" w:rsidR="00000000" w:rsidRPr="00000000">
        <w:rPr>
          <w:rFonts w:ascii="Google Sans Text" w:cs="Google Sans Text" w:eastAsia="Google Sans Text" w:hAnsi="Google Sans Text"/>
          <w:i w:val="1"/>
          <w:iCs w:val="1"/>
          <w:color w:val="1b1c1d"/>
          <w:rtl w:val="0"/>
        </w:rPr>
        <w:t xml:space="preserve">paper</w:t>
      </w:r>
      <w:r w:rsidDel="00000000" w:rsidR="00000000" w:rsidRPr="00000000">
        <w:rPr>
          <w:rFonts w:ascii="Google Sans Text" w:cs="Google Sans Text" w:eastAsia="Google Sans Text" w:hAnsi="Google Sans Text"/>
          <w:color w:val="1b1c1d"/>
          <w:rtl w:val="0"/>
        </w:rPr>
        <w:t xml:space="preserve"> de Stockhammer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basan su crecimiento en un modelo impulsado por las </w:t>
      </w:r>
      <w:r w:rsidDel="00000000" w:rsidR="00000000" w:rsidRPr="00000000">
        <w:rPr>
          <w:rFonts w:ascii="Google Sans Text" w:cs="Google Sans Text" w:eastAsia="Google Sans Text" w:hAnsi="Google Sans Text"/>
          <w:b w:val="1"/>
          <w:bCs w:val="1"/>
          <w:color w:val="1b1c1d"/>
          <w:rtl w:val="0"/>
        </w:rPr>
        <w:t xml:space="preserve">exportaciones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export-led</w:t>
      </w:r>
      <w:r w:rsidDel="00000000" w:rsidR="00000000" w:rsidRPr="00000000">
        <w:rPr>
          <w:rFonts w:ascii="Google Sans Text" w:cs="Google Sans Text" w:eastAsia="Google Sans Text" w:hAnsi="Google Sans Text"/>
          <w:color w:val="1b1c1d"/>
          <w:rtl w:val="0"/>
        </w:rPr>
        <w:t xml:space="preserve">). Este modelo </w:t>
      </w:r>
      <w:r w:rsidDel="00000000" w:rsidR="00000000" w:rsidRPr="00000000">
        <w:rPr>
          <w:rFonts w:ascii="Google Sans Text" w:cs="Google Sans Text" w:eastAsia="Google Sans Text" w:hAnsi="Google Sans Text"/>
          <w:i w:val="1"/>
          <w:iCs w:val="1"/>
          <w:color w:val="1b1c1d"/>
          <w:rtl w:val="0"/>
        </w:rPr>
        <w:t xml:space="preserve">requiere</w:t>
      </w:r>
      <w:r w:rsidDel="00000000" w:rsidR="00000000" w:rsidRPr="00000000">
        <w:rPr>
          <w:rFonts w:ascii="Google Sans Text" w:cs="Google Sans Text" w:eastAsia="Google Sans Text" w:hAnsi="Google Sans Text"/>
          <w:color w:val="1b1c1d"/>
          <w:rtl w:val="0"/>
        </w:rPr>
        <w:t xml:space="preserve"> una estricta disciplina salarial para mantener la competitividad-precio. Por lo tanto, se caracteriza por una "supresión salarial" (los salarios crecen </w:t>
      </w:r>
      <w:r w:rsidDel="00000000" w:rsidR="00000000" w:rsidRPr="00000000">
        <w:rPr>
          <w:rFonts w:ascii="Google Sans Text" w:cs="Google Sans Text" w:eastAsia="Google Sans Text" w:hAnsi="Google Sans Text"/>
          <w:i w:val="1"/>
          <w:iCs w:val="1"/>
          <w:color w:val="1b1c1d"/>
          <w:rtl w:val="0"/>
        </w:rPr>
        <w:t xml:space="preserve">moderadamente</w:t>
      </w:r>
      <w:r w:rsidDel="00000000" w:rsidR="00000000" w:rsidRPr="00000000">
        <w:rPr>
          <w:rFonts w:ascii="Google Sans Text" w:cs="Google Sans Text" w:eastAsia="Google Sans Text" w:hAnsi="Google Sans Text"/>
          <w:color w:val="1b1c1d"/>
          <w:rtl w:val="0"/>
        </w:rPr>
        <w:t xml:space="preserve">, por debajo de la productividad), un sólido crecimiento de la productividad (mantienen el sector industrial) y, crucialmente, un </w:t>
      </w:r>
      <w:r w:rsidDel="00000000" w:rsidR="00000000" w:rsidRPr="00000000">
        <w:rPr>
          <w:rFonts w:ascii="Google Sans Text" w:cs="Google Sans Text" w:eastAsia="Google Sans Text" w:hAnsi="Google Sans Text"/>
          <w:b w:val="1"/>
          <w:bCs w:val="1"/>
          <w:color w:val="1b1c1d"/>
          <w:rtl w:val="0"/>
        </w:rPr>
        <w:t xml:space="preserve">aumento sustancial de la dispersión salarial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La negociación en estos países, aunque coordinada, permite que los salarios reflejen la productividad del sector exportador.</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Modelo Sur-Oeste (España, Italia, Portugal):</w:t>
      </w:r>
      <w:r w:rsidDel="00000000" w:rsidR="00000000" w:rsidRPr="00000000">
        <w:rPr>
          <w:rFonts w:ascii="Google Sans Text" w:cs="Google Sans Text" w:eastAsia="Google Sans Text" w:hAnsi="Google Sans Text"/>
          <w:color w:val="1b1c1d"/>
          <w:rtl w:val="0"/>
        </w:rPr>
        <w:t xml:space="preserve"> Estos países, por el contrario, desarrollaron un modelo de crecimiento impulsado por la </w:t>
      </w:r>
      <w:r w:rsidDel="00000000" w:rsidR="00000000" w:rsidRPr="00000000">
        <w:rPr>
          <w:rFonts w:ascii="Google Sans Text" w:cs="Google Sans Text" w:eastAsia="Google Sans Text" w:hAnsi="Google Sans Text"/>
          <w:b w:val="1"/>
          <w:bCs w:val="1"/>
          <w:color w:val="1b1c1d"/>
          <w:rtl w:val="0"/>
        </w:rPr>
        <w:t xml:space="preserve">demanda interna</w:t>
      </w:r>
      <w:r w:rsidDel="00000000" w:rsidR="00000000" w:rsidRPr="00000000">
        <w:rPr>
          <w:rFonts w:ascii="Google Sans Text" w:cs="Google Sans Text" w:eastAsia="Google Sans Text" w:hAnsi="Google Sans Text"/>
          <w:color w:val="1b1c1d"/>
          <w:rtl w:val="0"/>
        </w:rPr>
        <w:t xml:space="preserve"> y financiado por la </w:t>
      </w:r>
      <w:r w:rsidDel="00000000" w:rsidR="00000000" w:rsidRPr="00000000">
        <w:rPr>
          <w:rFonts w:ascii="Google Sans Text" w:cs="Google Sans Text" w:eastAsia="Google Sans Text" w:hAnsi="Google Sans Text"/>
          <w:b w:val="1"/>
          <w:bCs w:val="1"/>
          <w:color w:val="1b1c1d"/>
          <w:rtl w:val="0"/>
        </w:rPr>
        <w:t xml:space="preserve">deuda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debt-driven</w:t>
      </w:r>
      <w:r w:rsidDel="00000000" w:rsidR="00000000" w:rsidRPr="00000000">
        <w:rPr>
          <w:rFonts w:ascii="Google Sans Text" w:cs="Google Sans Text" w:eastAsia="Google Sans Text" w:hAnsi="Google Sans Text"/>
          <w:color w:val="1b1c1d"/>
          <w:rtl w:val="0"/>
        </w:rPr>
        <w:t xml:space="preserve">), ejemplificado por el </w:t>
      </w:r>
      <w:r w:rsidDel="00000000" w:rsidR="00000000" w:rsidRPr="00000000">
        <w:rPr>
          <w:rFonts w:ascii="Google Sans Text" w:cs="Google Sans Text" w:eastAsia="Google Sans Text" w:hAnsi="Google Sans Text"/>
          <w:i w:val="1"/>
          <w:iCs w:val="1"/>
          <w:color w:val="1b1c1d"/>
          <w:rtl w:val="0"/>
        </w:rPr>
        <w:t xml:space="preserve">boom</w:t>
      </w:r>
      <w:r w:rsidDel="00000000" w:rsidR="00000000" w:rsidRPr="00000000">
        <w:rPr>
          <w:rFonts w:ascii="Google Sans Text" w:cs="Google Sans Text" w:eastAsia="Google Sans Text" w:hAnsi="Google Sans Text"/>
          <w:color w:val="1b1c1d"/>
          <w:rtl w:val="0"/>
        </w:rPr>
        <w:t xml:space="preserve"> inmobiliario español.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Este modelo macroeconómico </w:t>
      </w:r>
      <w:r w:rsidDel="00000000" w:rsidR="00000000" w:rsidRPr="00000000">
        <w:rPr>
          <w:rFonts w:ascii="Google Sans Text" w:cs="Google Sans Text" w:eastAsia="Google Sans Text" w:hAnsi="Google Sans Text"/>
          <w:i w:val="1"/>
          <w:iCs w:val="1"/>
          <w:color w:val="1b1c1d"/>
          <w:rtl w:val="0"/>
        </w:rPr>
        <w:t xml:space="preserve">permite</w:t>
      </w:r>
      <w:r w:rsidDel="00000000" w:rsidR="00000000" w:rsidRPr="00000000">
        <w:rPr>
          <w:rFonts w:ascii="Google Sans Text" w:cs="Google Sans Text" w:eastAsia="Google Sans Text" w:hAnsi="Google Sans Text"/>
          <w:color w:val="1b1c1d"/>
          <w:rtl w:val="0"/>
        </w:rPr>
        <w:t xml:space="preserve"> un crecimiento salarial real moderado que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está anclado en el crecimiento de la productividad, sino en la disponibilidad de crédito y el aumento de la demanda interna. Este régimen se caracteriza por una desindustrialización acelerada y, notablemente, por una </w:t>
      </w:r>
      <w:r w:rsidDel="00000000" w:rsidR="00000000" w:rsidRPr="00000000">
        <w:rPr>
          <w:rFonts w:ascii="Google Sans Text" w:cs="Google Sans Text" w:eastAsia="Google Sans Text" w:hAnsi="Google Sans Text"/>
          <w:b w:val="1"/>
          <w:bCs w:val="1"/>
          <w:color w:val="1b1c1d"/>
          <w:rtl w:val="0"/>
        </w:rPr>
        <w:t xml:space="preserve">dispersión salarial "comparativamente estable"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síntesis de esta evidencia macro-institucional es reveladora. La estructura de negociación colectiva de España (predominio sectorial-provincial) no es una anomalía o un "fallo" del sistema. Es, o fue, una </w:t>
      </w:r>
      <w:r w:rsidDel="00000000" w:rsidR="00000000" w:rsidRPr="00000000">
        <w:rPr>
          <w:rFonts w:ascii="Google Sans Text" w:cs="Google Sans Text" w:eastAsia="Google Sans Text" w:hAnsi="Google Sans Text"/>
          <w:b w:val="1"/>
          <w:bCs w:val="1"/>
          <w:color w:val="1b1c1d"/>
          <w:rtl w:val="0"/>
        </w:rPr>
        <w:t xml:space="preserve">pieza institucional endógena y perfectamente coherente</w:t>
      </w:r>
      <w:r w:rsidDel="00000000" w:rsidR="00000000" w:rsidRPr="00000000">
        <w:rPr>
          <w:rFonts w:ascii="Google Sans Text" w:cs="Google Sans Text" w:eastAsia="Google Sans Text" w:hAnsi="Google Sans Text"/>
          <w:color w:val="1b1c1d"/>
          <w:rtl w:val="0"/>
        </w:rPr>
        <w:t xml:space="preserve"> con su modelo de crecimiento macroeconómico pre-crisis. El sistema de NC español, al fijar condiciones por sector y provincia, era el </w:t>
      </w:r>
      <w:r w:rsidDel="00000000" w:rsidR="00000000" w:rsidRPr="00000000">
        <w:rPr>
          <w:rFonts w:ascii="Google Sans Text" w:cs="Google Sans Text" w:eastAsia="Google Sans Text" w:hAnsi="Google Sans Text"/>
          <w:i w:val="1"/>
          <w:iCs w:val="1"/>
          <w:color w:val="1b1c1d"/>
          <w:rtl w:val="0"/>
        </w:rPr>
        <w:t xml:space="preserve">mecanismo</w:t>
      </w:r>
      <w:r w:rsidDel="00000000" w:rsidR="00000000" w:rsidRPr="00000000">
        <w:rPr>
          <w:rFonts w:ascii="Google Sans Text" w:cs="Google Sans Text" w:eastAsia="Google Sans Text" w:hAnsi="Google Sans Text"/>
          <w:color w:val="1b1c1d"/>
          <w:rtl w:val="0"/>
        </w:rPr>
        <w:t xml:space="preserve"> institucional que "entregaba" la compresión salarial (Gini 0.11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que el modelo macroeconómico del Sur-Oeste (caracterizado por una "dispersión salarial estable"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requería. La rigidez y la débil vinculación con la productividad no eran defectos, sino </w:t>
      </w:r>
      <w:r w:rsidDel="00000000" w:rsidR="00000000" w:rsidRPr="00000000">
        <w:rPr>
          <w:rFonts w:ascii="Google Sans Text" w:cs="Google Sans Text" w:eastAsia="Google Sans Text" w:hAnsi="Google Sans Text"/>
          <w:i w:val="1"/>
          <w:iCs w:val="1"/>
          <w:color w:val="1b1c1d"/>
          <w:rtl w:val="0"/>
        </w:rPr>
        <w:t xml:space="preserve">características</w:t>
      </w:r>
      <w:r w:rsidDel="00000000" w:rsidR="00000000" w:rsidRPr="00000000">
        <w:rPr>
          <w:rFonts w:ascii="Google Sans Text" w:cs="Google Sans Text" w:eastAsia="Google Sans Text" w:hAnsi="Google Sans Text"/>
          <w:color w:val="1b1c1d"/>
          <w:rtl w:val="0"/>
        </w:rPr>
        <w:t xml:space="preserve"> funcionales de dicho modelo.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2: Efectos sobre el Empleo, la Volatilidad y la Dualidad: Evidencia Agregada y por Colectivos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literatura económica ha sido unánime al señalar que la principal consecuencia de un sistema de determinación salarial rígido es el traslado del ajuste económico desde los precios (salarios) a las cantidades (empleo). El mercado laboral español es el caso de estudio paradigmático de este fenómeno.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Volatilidad Cíclica y el Ajuste por Cantidad (El Diagnóstico Clásico)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hecho estilizado más robusto del mercado laboral español es su extrema volatilidad cíclica. Los datos agregados muestran que, mientras países con sistemas de NC más coordinados (como Alemania o Austria) mantuvieron tasas de empleo notablemente estables en torno al 73-76% durante el ciclo 1995-2015, España experimentó fluctuaciones extremas, con tasas de empleo que oscilaron entre un mínimo del 56.5% y un máximo del 65.6%.</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mecanismo subyacente, identificado en los documentos base, es la rigidez salarial nominal del sistema de NC sectorial (especialmente antes de 2012). Ante un </w:t>
      </w:r>
      <w:r w:rsidDel="00000000" w:rsidR="00000000" w:rsidRPr="00000000">
        <w:rPr>
          <w:rFonts w:ascii="Google Sans Text" w:cs="Google Sans Text" w:eastAsia="Google Sans Text" w:hAnsi="Google Sans Text"/>
          <w:i w:val="1"/>
          <w:iCs w:val="1"/>
          <w:color w:val="1b1c1d"/>
          <w:rtl w:val="0"/>
        </w:rPr>
        <w:t xml:space="preserve">shock</w:t>
      </w:r>
      <w:r w:rsidDel="00000000" w:rsidR="00000000" w:rsidRPr="00000000">
        <w:rPr>
          <w:rFonts w:ascii="Google Sans Text" w:cs="Google Sans Text" w:eastAsia="Google Sans Text" w:hAnsi="Google Sans Text"/>
          <w:color w:val="1b1c1d"/>
          <w:rtl w:val="0"/>
        </w:rPr>
        <w:t xml:space="preserve"> macroeconómico negativo (como la crisis financiera de 2008), la incapacidad del sistema para ajustar los salarios nominales a la baja fuerza a las empresas a realizar el ajuste completo </w:t>
      </w:r>
      <w:r w:rsidDel="00000000" w:rsidR="00000000" w:rsidRPr="00000000">
        <w:rPr>
          <w:rFonts w:ascii="Google Sans Text" w:cs="Google Sans Text" w:eastAsia="Google Sans Text" w:hAnsi="Google Sans Text"/>
          <w:i w:val="1"/>
          <w:iCs w:val="1"/>
          <w:color w:val="1b1c1d"/>
          <w:rtl w:val="0"/>
        </w:rPr>
        <w:t xml:space="preserve">vía cantidades</w:t>
      </w:r>
      <w:r w:rsidDel="00000000" w:rsidR="00000000" w:rsidRPr="00000000">
        <w:rPr>
          <w:rFonts w:ascii="Google Sans Text" w:cs="Google Sans Text" w:eastAsia="Google Sans Text" w:hAnsi="Google Sans Text"/>
          <w:color w:val="1b1c1d"/>
          <w:rtl w:val="0"/>
        </w:rPr>
        <w:t xml:space="preserve">, es decir, mediante la destrucción de empleo.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crisis de 2008-2013 proporcionó una validación empírica trágica pero contundente de este modelo. Mientras que en el grupo de países Norte-Este (NE) el desempleo aumentó en un promedio de 3-4 puntos porcentuales (gracias al uso de mecanismos de flexibilidad interna como el </w:t>
      </w:r>
      <w:r w:rsidDel="00000000" w:rsidR="00000000" w:rsidRPr="00000000">
        <w:rPr>
          <w:rFonts w:ascii="Google Sans Text" w:cs="Google Sans Text" w:eastAsia="Google Sans Text" w:hAnsi="Google Sans Text"/>
          <w:i w:val="1"/>
          <w:iCs w:val="1"/>
          <w:color w:val="1b1c1d"/>
          <w:rtl w:val="0"/>
        </w:rPr>
        <w:t xml:space="preserve">Kurzarbeit</w:t>
      </w:r>
      <w:r w:rsidDel="00000000" w:rsidR="00000000" w:rsidRPr="00000000">
        <w:rPr>
          <w:rFonts w:ascii="Google Sans Text" w:cs="Google Sans Text" w:eastAsia="Google Sans Text" w:hAnsi="Google Sans Text"/>
          <w:color w:val="1b1c1d"/>
          <w:rtl w:val="0"/>
        </w:rPr>
        <w:t xml:space="preserve">), en España el incremento del desempleo superó los 15 puntos porcentuales.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Esta respuesta asimétrica llevó a la conclusión, compartida por organismos como el FMI, la OCDE y centros de investigación como Fedea o BBVA Research, de que la rigidez salarial inducida por la NC aumentaba "tanto el nivel como la volatilidad del paro".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Dualidad Laboral y Temporalidad Estructural: La NC como Causa y (Potencial) Solución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segundo gran problema estructural del mercado laboral español, intrínsecamente ligado al primero, es la dualidad. España ha mantenido una tasa de temporalidad estructuralmente anómala, situándose en un 24.0% frente a la media del 12.5% en el grupo 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hipótesis central, respaldada por la evidencia, vincula esta dualidad directamente con la estructura de la NC. En un sistema que combina una elevada protección del empleo indefinido (los </w:t>
      </w:r>
      <w:r w:rsidDel="00000000" w:rsidR="00000000" w:rsidRPr="00000000">
        <w:rPr>
          <w:rFonts w:ascii="Google Sans Text" w:cs="Google Sans Text" w:eastAsia="Google Sans Text" w:hAnsi="Google Sans Text"/>
          <w:i w:val="1"/>
          <w:iCs w:val="1"/>
          <w:color w:val="1b1c1d"/>
          <w:rtl w:val="0"/>
        </w:rPr>
        <w:t xml:space="preserve">insiders</w:t>
      </w:r>
      <w:r w:rsidDel="00000000" w:rsidR="00000000" w:rsidRPr="00000000">
        <w:rPr>
          <w:rFonts w:ascii="Google Sans Text" w:cs="Google Sans Text" w:eastAsia="Google Sans Text" w:hAnsi="Google Sans Text"/>
          <w:color w:val="1b1c1d"/>
          <w:rtl w:val="0"/>
        </w:rPr>
        <w:t xml:space="preserve">) con convenios sectoriales rígidos que imponen las mismas condiciones salariales a todas las empresas (independientemente de su productividad), la contratación temporal se convierte en el </w:t>
      </w:r>
      <w:r w:rsidDel="00000000" w:rsidR="00000000" w:rsidRPr="00000000">
        <w:rPr>
          <w:rFonts w:ascii="Google Sans Text" w:cs="Google Sans Text" w:eastAsia="Google Sans Text" w:hAnsi="Google Sans Text"/>
          <w:b w:val="1"/>
          <w:bCs w:val="1"/>
          <w:color w:val="1b1c1d"/>
          <w:rtl w:val="0"/>
        </w:rPr>
        <w:t xml:space="preserve">único mecanismo de flexibilidad</w:t>
      </w:r>
      <w:r w:rsidDel="00000000" w:rsidR="00000000" w:rsidRPr="00000000">
        <w:rPr>
          <w:rFonts w:ascii="Google Sans Text" w:cs="Google Sans Text" w:eastAsia="Google Sans Text" w:hAnsi="Google Sans Text"/>
          <w:color w:val="1b1c1d"/>
          <w:rtl w:val="0"/>
        </w:rPr>
        <w:t xml:space="preserve"> disponible para las empresas.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Los trabajadores temporales (los </w:t>
      </w:r>
      <w:r w:rsidDel="00000000" w:rsidR="00000000" w:rsidRPr="00000000">
        <w:rPr>
          <w:rFonts w:ascii="Google Sans Text" w:cs="Google Sans Text" w:eastAsia="Google Sans Text" w:hAnsi="Google Sans Text"/>
          <w:i w:val="1"/>
          <w:iCs w:val="1"/>
          <w:color w:val="1b1c1d"/>
          <w:rtl w:val="0"/>
        </w:rPr>
        <w:t xml:space="preserve">outsiders</w:t>
      </w:r>
      <w:r w:rsidDel="00000000" w:rsidR="00000000" w:rsidRPr="00000000">
        <w:rPr>
          <w:rFonts w:ascii="Google Sans Text" w:cs="Google Sans Text" w:eastAsia="Google Sans Text" w:hAnsi="Google Sans Text"/>
          <w:color w:val="1b1c1d"/>
          <w:rtl w:val="0"/>
        </w:rPr>
        <w:t xml:space="preserve">) han sido la variable de ajuste que permitía a las empresas adaptarse a las fluctuaciones de la demanda sin tener que desafiar la rigidez salarial del convenio.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análisis de esta "lacra" y "anomalía"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como la ha calificado la Fundación de Estudios de Economía Aplicada (Fedea), revela la profundidad del problema. La dualidad no solo genera precariedad, sino que también reduce la inversión en capital humano, deprime la productividad (ya que los trabajadores temporales reciben menos formación) y segmenta la sociedad.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Sin embargo, análisis más sofisticados sugieren que la NC no es monolíticamente "el problema", sino que una NC </w:t>
      </w:r>
      <w:r w:rsidDel="00000000" w:rsidR="00000000" w:rsidRPr="00000000">
        <w:rPr>
          <w:rFonts w:ascii="Google Sans Text" w:cs="Google Sans Text" w:eastAsia="Google Sans Text" w:hAnsi="Google Sans Text"/>
          <w:i w:val="1"/>
          <w:iCs w:val="1"/>
          <w:color w:val="1b1c1d"/>
          <w:rtl w:val="0"/>
        </w:rPr>
        <w:t xml:space="preserve">mal diseñada</w:t>
      </w:r>
      <w:r w:rsidDel="00000000" w:rsidR="00000000" w:rsidRPr="00000000">
        <w:rPr>
          <w:rFonts w:ascii="Google Sans Text" w:cs="Google Sans Text" w:eastAsia="Google Sans Text" w:hAnsi="Google Sans Text"/>
          <w:color w:val="1b1c1d"/>
          <w:rtl w:val="0"/>
        </w:rPr>
        <w:t xml:space="preserve"> (fragmentada a nivel provincial) lo es. La NC, reconfigurada, podría ser parte de la </w:t>
      </w:r>
      <w:r w:rsidDel="00000000" w:rsidR="00000000" w:rsidRPr="00000000">
        <w:rPr>
          <w:rFonts w:ascii="Google Sans Text" w:cs="Google Sans Text" w:eastAsia="Google Sans Text" w:hAnsi="Google Sans Text"/>
          <w:i w:val="1"/>
          <w:iCs w:val="1"/>
          <w:color w:val="1b1c1d"/>
          <w:rtl w:val="0"/>
        </w:rPr>
        <w:t xml:space="preserve">solución</w:t>
      </w:r>
      <w:r w:rsidDel="00000000" w:rsidR="00000000" w:rsidRPr="00000000">
        <w:rPr>
          <w:rFonts w:ascii="Google Sans Text" w:cs="Google Sans Text" w:eastAsia="Google Sans Text" w:hAnsi="Google Sans Text"/>
          <w:color w:val="1b1c1d"/>
          <w:rtl w:val="0"/>
        </w:rPr>
        <w:t xml:space="preserve">. Por ejemplo, el análisis de Fedea (FPP2021-07) sobre las posibles soluciones a la temporalidad sugiere que, en un modelo contractual reformado, la </w:t>
      </w:r>
      <w:r w:rsidDel="00000000" w:rsidR="00000000" w:rsidRPr="00000000">
        <w:rPr>
          <w:rFonts w:ascii="Google Sans Text" w:cs="Google Sans Text" w:eastAsia="Google Sans Text" w:hAnsi="Google Sans Text"/>
          <w:b w:val="1"/>
          <w:bCs w:val="1"/>
          <w:color w:val="1b1c1d"/>
          <w:rtl w:val="0"/>
        </w:rPr>
        <w:t xml:space="preserve">"delimitación por sectores en los convenios colectivos"</w:t>
      </w:r>
      <w:r w:rsidDel="00000000" w:rsidR="00000000" w:rsidRPr="00000000">
        <w:rPr>
          <w:rFonts w:ascii="Google Sans Text" w:cs="Google Sans Text" w:eastAsia="Google Sans Text" w:hAnsi="Google Sans Text"/>
          <w:color w:val="1b1c1d"/>
          <w:rtl w:val="0"/>
        </w:rPr>
        <w:t xml:space="preserve"> podría ser la vía para definir racionalmente la </w:t>
      </w:r>
      <w:r w:rsidDel="00000000" w:rsidR="00000000" w:rsidRPr="00000000">
        <w:rPr>
          <w:rFonts w:ascii="Google Sans Text" w:cs="Google Sans Text" w:eastAsia="Google Sans Text" w:hAnsi="Google Sans Text"/>
          <w:i w:val="1"/>
          <w:iCs w:val="1"/>
          <w:color w:val="1b1c1d"/>
          <w:rtl w:val="0"/>
        </w:rPr>
        <w:t xml:space="preserve">causa productiva</w:t>
      </w:r>
      <w:r w:rsidDel="00000000" w:rsidR="00000000" w:rsidRPr="00000000">
        <w:rPr>
          <w:rFonts w:ascii="Google Sans Text" w:cs="Google Sans Text" w:eastAsia="Google Sans Text" w:hAnsi="Google Sans Text"/>
          <w:color w:val="1b1c1d"/>
          <w:rtl w:val="0"/>
        </w:rPr>
        <w:t xml:space="preserve"> y la </w:t>
      </w:r>
      <w:r w:rsidDel="00000000" w:rsidR="00000000" w:rsidRPr="00000000">
        <w:rPr>
          <w:rFonts w:ascii="Google Sans Text" w:cs="Google Sans Text" w:eastAsia="Google Sans Text" w:hAnsi="Google Sans Text"/>
          <w:i w:val="1"/>
          <w:iCs w:val="1"/>
          <w:color w:val="1b1c1d"/>
          <w:rtl w:val="0"/>
        </w:rPr>
        <w:t xml:space="preserve">duración</w:t>
      </w:r>
      <w:r w:rsidDel="00000000" w:rsidR="00000000" w:rsidRPr="00000000">
        <w:rPr>
          <w:rFonts w:ascii="Google Sans Text" w:cs="Google Sans Text" w:eastAsia="Google Sans Text" w:hAnsi="Google Sans Text"/>
          <w:color w:val="1b1c1d"/>
          <w:rtl w:val="0"/>
        </w:rPr>
        <w:t xml:space="preserve"> legítima de un contrato temporal.</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Esto implica que una NC coordinada a nivel sectorial-nacional podría ser más eficaz para regular la temporalidad que la fragmentación provincial, que solo incentivaba su uso como vía de escape.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Impacto sobre Colectivos Vulnerables (La Evidencia Empírica de la Reforma 2022)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Las consecuencias del modelo de ajuste </w:t>
      </w:r>
      <w:r w:rsidDel="00000000" w:rsidR="00000000" w:rsidRPr="00000000">
        <w:rPr>
          <w:rFonts w:ascii="Google Sans Text" w:cs="Google Sans Text" w:eastAsia="Google Sans Text" w:hAnsi="Google Sans Text"/>
          <w:i w:val="1"/>
          <w:iCs w:val="1"/>
          <w:color w:val="1b1c1d"/>
          <w:rtl w:val="0"/>
        </w:rPr>
        <w:t xml:space="preserve">vía cantidades</w:t>
      </w:r>
      <w:r w:rsidDel="00000000" w:rsidR="00000000" w:rsidRPr="00000000">
        <w:rPr>
          <w:rFonts w:ascii="Google Sans Text" w:cs="Google Sans Text" w:eastAsia="Google Sans Text" w:hAnsi="Google Sans Text"/>
          <w:color w:val="1b1c1d"/>
          <w:rtl w:val="0"/>
        </w:rPr>
        <w:t xml:space="preserve"> y la alta dualidad no se distribuyen uniformemente entre la población. Como señalan los documentos base, este sistema golpea de manera desproporcionada a los </w:t>
      </w:r>
      <w:r w:rsidDel="00000000" w:rsidR="00000000" w:rsidRPr="00000000">
        <w:rPr>
          <w:rFonts w:ascii="Google Sans Text" w:cs="Google Sans Text" w:eastAsia="Google Sans Text" w:hAnsi="Google Sans Text"/>
          <w:i w:val="1"/>
          <w:iCs w:val="1"/>
          <w:color w:val="1b1c1d"/>
          <w:rtl w:val="0"/>
        </w:rPr>
        <w:t xml:space="preserve">outsiders</w:t>
      </w:r>
      <w:r w:rsidDel="00000000" w:rsidR="00000000" w:rsidRPr="00000000">
        <w:rPr>
          <w:rFonts w:ascii="Google Sans Text" w:cs="Google Sans Text" w:eastAsia="Google Sans Text" w:hAnsi="Google Sans Text"/>
          <w:color w:val="1b1c1d"/>
          <w:rtl w:val="0"/>
        </w:rPr>
        <w:t xml:space="preserve"> del mercado laboral: los jóvenes, las mujeres y los trabajadores poco cualificados, cuyas tasas de desempleo en España duplican sistemáticamente la media general.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Los salarios de entrada relativamente altos fijados en convenios sectoriales, combinados con la rigidez, actúan como una barrera de entrada para los jóvenes sin experiencia.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laboral de 2022, al atacar frontalmente el uso de la contratación temporal, proporciona un "experimento natural" para verificar esta hipótesis. Si el modelo de alta temporalidad era el principal mecanismo de precariedad para estos colectivos, su restricción drástica debería beneficiarlos desproporcionadamente.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evaluación preliminar del impacto de la reforma realizada por el Fondo Monetario Internacional (FMI) en 2024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ofrece una confirmación empírica contundente. El FMI considera un "éxito" la reducción de la tasa de temporalidad (casi 10 puntos porcentuales en el sector privado entre finales de 2021 y 2023).</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Pero el hallazgo más relevante es la heterogeneidad de este impacto:</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caída de la temporalidad fue significativamente </w:t>
      </w:r>
      <w:r w:rsidDel="00000000" w:rsidR="00000000" w:rsidRPr="00000000">
        <w:rPr>
          <w:rFonts w:ascii="Google Sans Text" w:cs="Google Sans Text" w:eastAsia="Google Sans Text" w:hAnsi="Google Sans Text"/>
          <w:b w:val="1"/>
          <w:bCs w:val="1"/>
          <w:color w:val="1b1c1d"/>
          <w:rtl w:val="0"/>
        </w:rPr>
        <w:t xml:space="preserve">mayor para los jóvenes</w:t>
      </w:r>
      <w:r w:rsidDel="00000000" w:rsidR="00000000" w:rsidRPr="00000000">
        <w:rPr>
          <w:rFonts w:ascii="Google Sans Text" w:cs="Google Sans Text" w:eastAsia="Google Sans Text" w:hAnsi="Google Sans Text"/>
          <w:color w:val="1b1c1d"/>
          <w:rtl w:val="0"/>
        </w:rPr>
        <w:t xml:space="preserve"> (de 15 a 24 años), con una espectacular </w:t>
      </w:r>
      <w:r w:rsidDel="00000000" w:rsidR="00000000" w:rsidRPr="00000000">
        <w:rPr>
          <w:rFonts w:ascii="Google Sans Text" w:cs="Google Sans Text" w:eastAsia="Google Sans Text" w:hAnsi="Google Sans Text"/>
          <w:b w:val="1"/>
          <w:bCs w:val="1"/>
          <w:color w:val="1b1c1d"/>
          <w:rtl w:val="0"/>
        </w:rPr>
        <w:t xml:space="preserve">disminución de más de 20 puntos porcentuales</w:t>
      </w:r>
      <w:r w:rsidDel="00000000" w:rsidR="00000000" w:rsidRPr="00000000">
        <w:rPr>
          <w:rFonts w:ascii="Google Sans Text" w:cs="Google Sans Text" w:eastAsia="Google Sans Text" w:hAnsi="Google Sans Text"/>
          <w:color w:val="1b1c1d"/>
          <w:rtl w:val="0"/>
        </w:rPr>
        <w:t xml:space="preserve"> en su tasa de temporalidad.</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El impacto en los </w:t>
      </w:r>
      <w:r w:rsidDel="00000000" w:rsidR="00000000" w:rsidRPr="00000000">
        <w:rPr>
          <w:rFonts w:ascii="Google Sans Text" w:cs="Google Sans Text" w:eastAsia="Google Sans Text" w:hAnsi="Google Sans Text"/>
          <w:b w:val="1"/>
          <w:bCs w:val="1"/>
          <w:color w:val="1b1c1d"/>
          <w:rtl w:val="0"/>
        </w:rPr>
        <w:t xml:space="preserve">migrantes</w:t>
      </w:r>
      <w:r w:rsidDel="00000000" w:rsidR="00000000" w:rsidRPr="00000000">
        <w:rPr>
          <w:rFonts w:ascii="Google Sans Text" w:cs="Google Sans Text" w:eastAsia="Google Sans Text" w:hAnsi="Google Sans Text"/>
          <w:color w:val="1b1c1d"/>
          <w:rtl w:val="0"/>
        </w:rPr>
        <w:t xml:space="preserve"> también fue masivo, con una </w:t>
      </w:r>
      <w:r w:rsidDel="00000000" w:rsidR="00000000" w:rsidRPr="00000000">
        <w:rPr>
          <w:rFonts w:ascii="Google Sans Text" w:cs="Google Sans Text" w:eastAsia="Google Sans Text" w:hAnsi="Google Sans Text"/>
          <w:b w:val="1"/>
          <w:bCs w:val="1"/>
          <w:color w:val="1b1c1d"/>
          <w:rtl w:val="0"/>
        </w:rPr>
        <w:t xml:space="preserve">disminución de aproximadamente 16 puntos porcentuales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Asimismo, el descenso fue más acusado para los trabajadores poco cualificados.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evaluación </w:t>
      </w:r>
      <w:r w:rsidDel="00000000" w:rsidR="00000000" w:rsidRPr="00000000">
        <w:rPr>
          <w:rFonts w:ascii="Google Sans Text" w:cs="Google Sans Text" w:eastAsia="Google Sans Text" w:hAnsi="Google Sans Text"/>
          <w:i w:val="1"/>
          <w:iCs w:val="1"/>
          <w:color w:val="1b1c1d"/>
          <w:rtl w:val="0"/>
        </w:rPr>
        <w:t xml:space="preserve">ex-post</w:t>
      </w:r>
      <w:r w:rsidDel="00000000" w:rsidR="00000000" w:rsidRPr="00000000">
        <w:rPr>
          <w:rFonts w:ascii="Google Sans Text" w:cs="Google Sans Text" w:eastAsia="Google Sans Text" w:hAnsi="Google Sans Text"/>
          <w:color w:val="1b1c1d"/>
          <w:rtl w:val="0"/>
        </w:rPr>
        <w:t xml:space="preserve"> de la reforma de 2022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sirve como una poderosa validación empírica del diagnóstico </w:t>
      </w:r>
      <w:r w:rsidDel="00000000" w:rsidR="00000000" w:rsidRPr="00000000">
        <w:rPr>
          <w:rFonts w:ascii="Google Sans Text" w:cs="Google Sans Text" w:eastAsia="Google Sans Text" w:hAnsi="Google Sans Text"/>
          <w:i w:val="1"/>
          <w:iCs w:val="1"/>
          <w:color w:val="1b1c1d"/>
          <w:rtl w:val="0"/>
        </w:rPr>
        <w:t xml:space="preserve">ex-ante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Demuestra empíricamente que los jóvenes y los migrantes eran, de hecho, los colectivos que soportaban de manera desproporcionada el coste del anterior modelo de ajuste basado en la dualidad, un modelo apuntalado por la rígida estructura de la negociación colectiva.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3: Evaluación de Impacto de las Reformas Laborales: Evidencia Académica Específica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evidencia académica más relevante se centra en la evaluación del impacto de las dos grandes reformas que intentaron modificar el sistema de NC: la reforma de 2012, orientada a la flexibilidad de precios, y la de 2022, orientada a la estabilidad contractual y la re-centralización de la NC.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Evaluación de la Reforma de 2012: La Paradoja de la Flexibilidad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laboral de 2012 (Ley 3/2012) fue la respuesta directa a la masiva destrucción de empleo de la crisis de 2008. Su objetivo explícito era cambiar el patrón de ajuste, pasando del ajuste </w:t>
      </w:r>
      <w:r w:rsidDel="00000000" w:rsidR="00000000" w:rsidRPr="00000000">
        <w:rPr>
          <w:rFonts w:ascii="Google Sans Text" w:cs="Google Sans Text" w:eastAsia="Google Sans Text" w:hAnsi="Google Sans Text"/>
          <w:i w:val="1"/>
          <w:iCs w:val="1"/>
          <w:color w:val="1b1c1d"/>
          <w:rtl w:val="0"/>
        </w:rPr>
        <w:t xml:space="preserve">vía cantidades</w:t>
      </w:r>
      <w:r w:rsidDel="00000000" w:rsidR="00000000" w:rsidRPr="00000000">
        <w:rPr>
          <w:rFonts w:ascii="Google Sans Text" w:cs="Google Sans Text" w:eastAsia="Google Sans Text" w:hAnsi="Google Sans Text"/>
          <w:color w:val="1b1c1d"/>
          <w:rtl w:val="0"/>
        </w:rPr>
        <w:t xml:space="preserve"> (despidos) al ajuste </w:t>
      </w:r>
      <w:r w:rsidDel="00000000" w:rsidR="00000000" w:rsidRPr="00000000">
        <w:rPr>
          <w:rFonts w:ascii="Google Sans Text" w:cs="Google Sans Text" w:eastAsia="Google Sans Text" w:hAnsi="Google Sans Text"/>
          <w:i w:val="1"/>
          <w:iCs w:val="1"/>
          <w:color w:val="1b1c1d"/>
          <w:rtl w:val="0"/>
        </w:rPr>
        <w:t xml:space="preserve">vía precios</w:t>
      </w:r>
      <w:r w:rsidDel="00000000" w:rsidR="00000000" w:rsidRPr="00000000">
        <w:rPr>
          <w:rFonts w:ascii="Google Sans Text" w:cs="Google Sans Text" w:eastAsia="Google Sans Text" w:hAnsi="Google Sans Text"/>
          <w:color w:val="1b1c1d"/>
          <w:rtl w:val="0"/>
        </w:rPr>
        <w:t xml:space="preserve"> (salarios y condiciones).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Para ello, sus tres pilares en materia de NC fueron:</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Dar </w:t>
      </w:r>
      <w:r w:rsidDel="00000000" w:rsidR="00000000" w:rsidRPr="00000000">
        <w:rPr>
          <w:rFonts w:ascii="Google Sans Text" w:cs="Google Sans Text" w:eastAsia="Google Sans Text" w:hAnsi="Google Sans Text"/>
          <w:b w:val="1"/>
          <w:bCs w:val="1"/>
          <w:color w:val="1b1c1d"/>
          <w:rtl w:val="0"/>
        </w:rPr>
        <w:t xml:space="preserve">prioridad aplicativa al convenio de empresa</w:t>
      </w:r>
      <w:r w:rsidDel="00000000" w:rsidR="00000000" w:rsidRPr="00000000">
        <w:rPr>
          <w:rFonts w:ascii="Google Sans Text" w:cs="Google Sans Text" w:eastAsia="Google Sans Text" w:hAnsi="Google Sans Text"/>
          <w:color w:val="1b1c1d"/>
          <w:rtl w:val="0"/>
        </w:rPr>
        <w:t xml:space="preserve"> (CLA) sobre el sectorial en materias clave (salarios, jornada, etc.).</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Facilitar las </w:t>
      </w:r>
      <w:r w:rsidDel="00000000" w:rsidR="00000000" w:rsidRPr="00000000">
        <w:rPr>
          <w:rFonts w:ascii="Google Sans Text" w:cs="Google Sans Text" w:eastAsia="Google Sans Text" w:hAnsi="Google Sans Text"/>
          <w:b w:val="1"/>
          <w:bCs w:val="1"/>
          <w:color w:val="1b1c1d"/>
          <w:rtl w:val="0"/>
        </w:rPr>
        <w:t xml:space="preserve">inaplicaciones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descuelgues</w:t>
      </w:r>
      <w:r w:rsidDel="00000000" w:rsidR="00000000" w:rsidRPr="00000000">
        <w:rPr>
          <w:rFonts w:ascii="Google Sans Text" w:cs="Google Sans Text" w:eastAsia="Google Sans Text" w:hAnsi="Google Sans Text"/>
          <w:color w:val="1b1c1d"/>
          <w:rtl w:val="0"/>
        </w:rPr>
        <w:t xml:space="preserve"> o </w:t>
      </w:r>
      <w:r w:rsidDel="00000000" w:rsidR="00000000" w:rsidRPr="00000000">
        <w:rPr>
          <w:rFonts w:ascii="Google Sans Text" w:cs="Google Sans Text" w:eastAsia="Google Sans Text" w:hAnsi="Google Sans Text"/>
          <w:i w:val="1"/>
          <w:iCs w:val="1"/>
          <w:color w:val="1b1c1d"/>
          <w:rtl w:val="0"/>
        </w:rPr>
        <w:t xml:space="preserve">opt-outs</w:t>
      </w:r>
      <w:r w:rsidDel="00000000" w:rsidR="00000000" w:rsidRPr="00000000">
        <w:rPr>
          <w:rFonts w:ascii="Google Sans Text" w:cs="Google Sans Text" w:eastAsia="Google Sans Text" w:hAnsi="Google Sans Text"/>
          <w:color w:val="1b1c1d"/>
          <w:rtl w:val="0"/>
        </w:rPr>
        <w:t xml:space="preserve">) de los convenios sectoriales por razones económicas.</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Poner </w:t>
      </w:r>
      <w:r w:rsidDel="00000000" w:rsidR="00000000" w:rsidRPr="00000000">
        <w:rPr>
          <w:rFonts w:ascii="Google Sans Text" w:cs="Google Sans Text" w:eastAsia="Google Sans Text" w:hAnsi="Google Sans Text"/>
          <w:b w:val="1"/>
          <w:bCs w:val="1"/>
          <w:color w:val="1b1c1d"/>
          <w:rtl w:val="0"/>
        </w:rPr>
        <w:t xml:space="preserve">fin a la ultraactividad indefinida</w:t>
      </w:r>
      <w:r w:rsidDel="00000000" w:rsidR="00000000" w:rsidRPr="00000000">
        <w:rPr>
          <w:rFonts w:ascii="Google Sans Text" w:cs="Google Sans Text" w:eastAsia="Google Sans Text" w:hAnsi="Google Sans Text"/>
          <w:color w:val="1b1c1d"/>
          <w:rtl w:val="0"/>
        </w:rPr>
        <w:t xml:space="preserve"> de los convenios, limitándola a un año para dinamizar la negociación.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literatura de evaluación de impacto, como los </w:t>
      </w:r>
      <w:r w:rsidDel="00000000" w:rsidR="00000000" w:rsidRPr="00000000">
        <w:rPr>
          <w:rFonts w:ascii="Google Sans Text" w:cs="Google Sans Text" w:eastAsia="Google Sans Text" w:hAnsi="Google Sans Text"/>
          <w:i w:val="1"/>
          <w:iCs w:val="1"/>
          <w:color w:val="1b1c1d"/>
          <w:rtl w:val="0"/>
        </w:rPr>
        <w:t xml:space="preserve">papers</w:t>
      </w:r>
      <w:r w:rsidDel="00000000" w:rsidR="00000000" w:rsidRPr="00000000">
        <w:rPr>
          <w:rFonts w:ascii="Google Sans Text" w:cs="Google Sans Text" w:eastAsia="Google Sans Text" w:hAnsi="Google Sans Text"/>
          <w:color w:val="1b1c1d"/>
          <w:rtl w:val="0"/>
        </w:rPr>
        <w:t xml:space="preserve"> de Funcas y BBVA Research, revela que el resultado de esta reforma fue profundamente paradójico.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Resultado 1: El Fracaso de la Descentralización de jure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objetivo de que la prioridad del CLA fomentaría una descentralización de la estructura negociadora (un aumento de los CLA) fracasó empíricamente. Un análisis de Funcas 4 sobre los primeros años de la reforma es concluyente 4:</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El número de trabajadores cubiertos por convenios de empresa, lejos de aumentar, </w:t>
      </w:r>
      <w:r w:rsidDel="00000000" w:rsidR="00000000" w:rsidRPr="00000000">
        <w:rPr>
          <w:rFonts w:ascii="Google Sans Text" w:cs="Google Sans Text" w:eastAsia="Google Sans Text" w:hAnsi="Google Sans Text"/>
          <w:b w:val="1"/>
          <w:bCs w:val="1"/>
          <w:color w:val="1b1c1d"/>
          <w:rtl w:val="0"/>
        </w:rPr>
        <w:t xml:space="preserve">disminuyó</w:t>
      </w:r>
      <w:r w:rsidDel="00000000" w:rsidR="00000000" w:rsidRPr="00000000">
        <w:rPr>
          <w:rFonts w:ascii="Google Sans Text" w:cs="Google Sans Text" w:eastAsia="Google Sans Text" w:hAnsi="Google Sans Text"/>
          <w:color w:val="1b1c1d"/>
          <w:rtl w:val="0"/>
        </w:rPr>
        <w:t xml:space="preserve">, pasando de casi el 11% en 2007 a casi el 9% en 2014.</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estructura de negociación sectorial-provincial demostró una "enorme resiliencia". El análisis sugiere que para las PYMES (la inmensa mayoría del tejido productivo) los costes de transacción, tiempo y asesoría necesarios para negociar un convenio propio seguían siendo prohibitivos, resultando más simple acudir a otras vías de ajuste.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Resultado 2: El Éxito de la Flexibilidad de facto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 la reforma fracasó en cambiar la estructura de la NC, ¿fracasó en su objetivo de flexibilidad? La evidencia académica demuestra que no. La flexibilidad se alcanzó, pero por otras vías, principalmente las "válvulas de escape" que la propia ley habilitó:</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Inaplicaciones (</w:t>
      </w:r>
      <w:r w:rsidDel="00000000" w:rsidR="00000000" w:rsidRPr="00000000">
        <w:rPr>
          <w:rFonts w:ascii="Google Sans Text" w:cs="Google Sans Text" w:eastAsia="Google Sans Text" w:hAnsi="Google Sans Text"/>
          <w:b w:val="1"/>
          <w:bCs w:val="1"/>
          <w:i w:val="1"/>
          <w:iCs w:val="1"/>
          <w:color w:val="1b1c1d"/>
          <w:rtl w:val="0"/>
        </w:rPr>
        <w:t xml:space="preserve">Descuelgues</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El mismo </w:t>
      </w:r>
      <w:r w:rsidDel="00000000" w:rsidR="00000000" w:rsidRPr="00000000">
        <w:rPr>
          <w:rFonts w:ascii="Google Sans Text" w:cs="Google Sans Text" w:eastAsia="Google Sans Text" w:hAnsi="Google Sans Text"/>
          <w:i w:val="1"/>
          <w:iCs w:val="1"/>
          <w:color w:val="1b1c1d"/>
          <w:rtl w:val="0"/>
        </w:rPr>
        <w:t xml:space="preserve">paper</w:t>
      </w:r>
      <w:r w:rsidDel="00000000" w:rsidR="00000000" w:rsidRPr="00000000">
        <w:rPr>
          <w:rFonts w:ascii="Google Sans Text" w:cs="Google Sans Text" w:eastAsia="Google Sans Text" w:hAnsi="Google Sans Text"/>
          <w:color w:val="1b1c1d"/>
          <w:rtl w:val="0"/>
        </w:rPr>
        <w:t xml:space="preserve"> de Funcas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identifica esta como la vía clave. Aunque el número de empresas que negociaron un CLA no aumentó, sí lo hizo el uso de los </w:t>
      </w:r>
      <w:r w:rsidDel="00000000" w:rsidR="00000000" w:rsidRPr="00000000">
        <w:rPr>
          <w:rFonts w:ascii="Google Sans Text" w:cs="Google Sans Text" w:eastAsia="Google Sans Text" w:hAnsi="Google Sans Text"/>
          <w:i w:val="1"/>
          <w:iCs w:val="1"/>
          <w:color w:val="1b1c1d"/>
          <w:rtl w:val="0"/>
        </w:rPr>
        <w:t xml:space="preserve">descuelgues</w:t>
      </w:r>
      <w:r w:rsidDel="00000000" w:rsidR="00000000" w:rsidRPr="00000000">
        <w:rPr>
          <w:rFonts w:ascii="Google Sans Text" w:cs="Google Sans Text" w:eastAsia="Google Sans Text" w:hAnsi="Google Sans Text"/>
          <w:color w:val="1b1c1d"/>
          <w:rtl w:val="0"/>
        </w:rPr>
        <w:t xml:space="preserve"> del convenio sectorial. En 2013, 2,512 inaplicaciones afectaron a 159,550 trabajadores. En 2014, afectaron a otros 66,203. El estudio califica esto como una "cifra importante" que demuestra la relevancia de esta vía de ajuste </w:t>
      </w:r>
      <w:r w:rsidDel="00000000" w:rsidR="00000000" w:rsidRPr="00000000">
        <w:rPr>
          <w:rFonts w:ascii="Google Sans Text" w:cs="Google Sans Text" w:eastAsia="Google Sans Text" w:hAnsi="Google Sans Text"/>
          <w:i w:val="1"/>
          <w:iCs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Impacto Macroeconómico:</w:t>
      </w:r>
      <w:r w:rsidDel="00000000" w:rsidR="00000000" w:rsidRPr="00000000">
        <w:rPr>
          <w:rFonts w:ascii="Google Sans Text" w:cs="Google Sans Text" w:eastAsia="Google Sans Text" w:hAnsi="Google Sans Text"/>
          <w:color w:val="1b1c1d"/>
          <w:rtl w:val="0"/>
        </w:rPr>
        <w:t xml:space="preserve"> Un estudio de BBVA Research (WP16-05)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que utiliza un modelo econométrico macro (VAR estructural) para simular escenarios contrafactuales, concluye que la mayor flexibilidad salarial e interna introducida a partir de 2012 tuvo </w:t>
      </w:r>
      <w:r w:rsidDel="00000000" w:rsidR="00000000" w:rsidRPr="00000000">
        <w:rPr>
          <w:rFonts w:ascii="Google Sans Text" w:cs="Google Sans Text" w:eastAsia="Google Sans Text" w:hAnsi="Google Sans Text"/>
          <w:b w:val="1"/>
          <w:bCs w:val="1"/>
          <w:color w:val="1b1c1d"/>
          <w:rtl w:val="0"/>
        </w:rPr>
        <w:t xml:space="preserve">efectos "significativos" y "positivos"</w:t>
      </w:r>
      <w:r w:rsidDel="00000000" w:rsidR="00000000" w:rsidRPr="00000000">
        <w:rPr>
          <w:rFonts w:ascii="Google Sans Text" w:cs="Google Sans Text" w:eastAsia="Google Sans Text" w:hAnsi="Google Sans Text"/>
          <w:color w:val="1b1c1d"/>
          <w:rtl w:val="0"/>
        </w:rPr>
        <w:t xml:space="preserve"> en la producción y el empleo.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El estudio argumenta que, sin esta flexibilidad, la destrucción de empleo habría sido aún mayor, y que si se hubiera aplicado antes de la crisis, "se hubiera evitado una parte significativa de las caídas" del PIB y del empleo.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síntesis de la reforma de 2012 es, por tanto, la de una </w:t>
      </w:r>
      <w:r w:rsidDel="00000000" w:rsidR="00000000" w:rsidRPr="00000000">
        <w:rPr>
          <w:rFonts w:ascii="Google Sans Text" w:cs="Google Sans Text" w:eastAsia="Google Sans Text" w:hAnsi="Google Sans Text"/>
          <w:b w:val="1"/>
          <w:bCs w:val="1"/>
          <w:color w:val="1b1c1d"/>
          <w:rtl w:val="0"/>
        </w:rPr>
        <w:t xml:space="preserve">paradoja</w:t>
      </w:r>
      <w:r w:rsidDel="00000000" w:rsidR="00000000" w:rsidRPr="00000000">
        <w:rPr>
          <w:rFonts w:ascii="Google Sans Text" w:cs="Google Sans Text" w:eastAsia="Google Sans Text" w:hAnsi="Google Sans Text"/>
          <w:color w:val="1b1c1d"/>
          <w:rtl w:val="0"/>
        </w:rPr>
        <w:t xml:space="preserve">: fracasó en su objetivo </w:t>
      </w:r>
      <w:r w:rsidDel="00000000" w:rsidR="00000000" w:rsidRPr="00000000">
        <w:rPr>
          <w:rFonts w:ascii="Google Sans Text" w:cs="Google Sans Text" w:eastAsia="Google Sans Text" w:hAnsi="Google Sans Text"/>
          <w:i w:val="1"/>
          <w:iCs w:val="1"/>
          <w:color w:val="1b1c1d"/>
          <w:rtl w:val="0"/>
        </w:rPr>
        <w:t xml:space="preserve">de jure</w:t>
      </w:r>
      <w:r w:rsidDel="00000000" w:rsidR="00000000" w:rsidRPr="00000000">
        <w:rPr>
          <w:rFonts w:ascii="Google Sans Text" w:cs="Google Sans Text" w:eastAsia="Google Sans Text" w:hAnsi="Google Sans Text"/>
          <w:color w:val="1b1c1d"/>
          <w:rtl w:val="0"/>
        </w:rPr>
        <w:t xml:space="preserve"> de descentralizar la NC, pero tuvo éxito en su objetivo </w:t>
      </w:r>
      <w:r w:rsidDel="00000000" w:rsidR="00000000" w:rsidRPr="00000000">
        <w:rPr>
          <w:rFonts w:ascii="Google Sans Text" w:cs="Google Sans Text" w:eastAsia="Google Sans Text" w:hAnsi="Google Sans Text"/>
          <w:i w:val="1"/>
          <w:iCs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 de romper la rigidez salarial. No lo hizo cambiando el sistema, sino introduciendo mecanismos de excepción (los </w:t>
      </w:r>
      <w:r w:rsidDel="00000000" w:rsidR="00000000" w:rsidRPr="00000000">
        <w:rPr>
          <w:rFonts w:ascii="Google Sans Text" w:cs="Google Sans Text" w:eastAsia="Google Sans Text" w:hAnsi="Google Sans Text"/>
          <w:i w:val="1"/>
          <w:iCs w:val="1"/>
          <w:color w:val="1b1c1d"/>
          <w:rtl w:val="0"/>
        </w:rPr>
        <w:t xml:space="preserve">descuelgues</w:t>
      </w:r>
      <w:r w:rsidDel="00000000" w:rsidR="00000000" w:rsidRPr="00000000">
        <w:rPr>
          <w:rFonts w:ascii="Google Sans Text" w:cs="Google Sans Text" w:eastAsia="Google Sans Text" w:hAnsi="Google Sans Text"/>
          <w:color w:val="1b1c1d"/>
          <w:rtl w:val="0"/>
        </w:rPr>
        <w:t xml:space="preserve">) y debilitando el poder de negociación sindical (el fin de la ultraactividad).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Evaluación Preliminar de la Reforma de 2022: El Ataque a la Dualidad y el "Efecto Globo"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de 2022 (RDL 32/2021) supuso una reversión de la filosofía de 2012 y un ataque frontal a la dualidad. Sus objetivos fueron (1) restringir drásticamente la contratación temporal y (2) reequilibrar la negociación colectiva en favor de los sindicatos.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Resultado 1: Éxito en la Reducción de la Temporalidad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Como se ha analizado, la evidencia del FMI 6 confirma el "éxito" empírico en la reducción de la temporalidad (casi 10pp) y el trasvase masivo de trabajadores a contratos permanentes y fijos-discontinuos (FD).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Resultado 2: La Nueva Incertidumbre (El "Efecto Globo" o "Waterbed Effect")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pregunta académica clave es si la reforma ha mejorado la estabilidad laboral neta (menos transiciones al desempleo) o simplemente la estabilidad contractual formal (un cambio de etiqueta).</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El informe del FMI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es cauto y califica la evidencia sobre la estabilidad general del empleo como </w:t>
      </w:r>
      <w:r w:rsidDel="00000000" w:rsidR="00000000" w:rsidRPr="00000000">
        <w:rPr>
          <w:rFonts w:ascii="Google Sans Text" w:cs="Google Sans Text" w:eastAsia="Google Sans Text" w:hAnsi="Google Sans Text"/>
          <w:b w:val="1"/>
          <w:bCs w:val="1"/>
          <w:color w:val="1b1c1d"/>
          <w:rtl w:val="0"/>
        </w:rPr>
        <w:t xml:space="preserve">"inconcluyente"</w:t>
      </w:r>
      <w:r w:rsidDel="00000000" w:rsidR="00000000" w:rsidRPr="00000000">
        <w:rPr>
          <w:rFonts w:ascii="Google Sans Text" w:cs="Google Sans Text" w:eastAsia="Google Sans Text" w:hAnsi="Google Sans Text"/>
          <w:color w:val="1b1c1d"/>
          <w:rtl w:val="0"/>
        </w:rPr>
        <w:t xml:space="preserve"> en esta etapa.</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razón de esta cautela es un hallazgo preocupante: los datos de flujos sugieren que las transiciones de empleo a no empleo (E-&gt;U) </w:t>
      </w:r>
      <w:r w:rsidDel="00000000" w:rsidR="00000000" w:rsidRPr="00000000">
        <w:rPr>
          <w:rFonts w:ascii="Google Sans Text" w:cs="Google Sans Text" w:eastAsia="Google Sans Text" w:hAnsi="Google Sans Text"/>
          <w:b w:val="1"/>
          <w:bCs w:val="1"/>
          <w:color w:val="1b1c1d"/>
          <w:rtl w:val="0"/>
        </w:rPr>
        <w:t xml:space="preserve">"parecen haber aumentado para los trabajadores con contratos fijos-discontinuos"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hallazgo apunta a un "efecto globo" (</w:t>
      </w:r>
      <w:r w:rsidDel="00000000" w:rsidR="00000000" w:rsidRPr="00000000">
        <w:rPr>
          <w:rFonts w:ascii="Google Sans Text" w:cs="Google Sans Text" w:eastAsia="Google Sans Text" w:hAnsi="Google Sans Text"/>
          <w:i w:val="1"/>
          <w:iCs w:val="1"/>
          <w:color w:val="1b1c1d"/>
          <w:rtl w:val="0"/>
        </w:rPr>
        <w:t xml:space="preserve">waterbed effect</w:t>
      </w:r>
      <w:r w:rsidDel="00000000" w:rsidR="00000000" w:rsidRPr="00000000">
        <w:rPr>
          <w:rFonts w:ascii="Google Sans Text" w:cs="Google Sans Text" w:eastAsia="Google Sans Text" w:hAnsi="Google Sans Text"/>
          <w:color w:val="1b1c1d"/>
          <w:rtl w:val="0"/>
        </w:rPr>
        <w:t xml:space="preserve">). El mercado laboral español, especialmente en sectores como el turismo o la agricultura, tiene una demanda estructural de flexibilidad. La reforma de 2022 ha prohibido el canal histórico para gestionar esa flexibilidad (el contrato temporal). Sin embargo, la necesidad de flexibilidad no ha desaparecido. La presión, por tanto, se ha desplazado a otro lugar del sistema. La evidencia preliminar del FMI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sugiere que ese nuevo canal es el contrato Fijo-Discontinuo, que ahora podría estar siendo utilizado con una alta </w:t>
      </w:r>
      <w:r w:rsidDel="00000000" w:rsidR="00000000" w:rsidRPr="00000000">
        <w:rPr>
          <w:rFonts w:ascii="Google Sans Text" w:cs="Google Sans Text" w:eastAsia="Google Sans Text" w:hAnsi="Google Sans Text"/>
          <w:i w:val="1"/>
          <w:iCs w:val="1"/>
          <w:color w:val="1b1c1d"/>
          <w:rtl w:val="0"/>
        </w:rPr>
        <w:t xml:space="preserve">rotación</w:t>
      </w:r>
      <w:r w:rsidDel="00000000" w:rsidR="00000000" w:rsidRPr="00000000">
        <w:rPr>
          <w:rFonts w:ascii="Google Sans Text" w:cs="Google Sans Text" w:eastAsia="Google Sans Text" w:hAnsi="Google Sans Text"/>
          <w:color w:val="1b1c1d"/>
          <w:rtl w:val="0"/>
        </w:rPr>
        <w:t xml:space="preserve"> (sucesión de períodos de actividad e inactividad), creando una </w:t>
      </w:r>
      <w:r w:rsidDel="00000000" w:rsidR="00000000" w:rsidRPr="00000000">
        <w:rPr>
          <w:rFonts w:ascii="Google Sans Text" w:cs="Google Sans Text" w:eastAsia="Google Sans Text" w:hAnsi="Google Sans Text"/>
          <w:b w:val="1"/>
          <w:bCs w:val="1"/>
          <w:color w:val="1b1c1d"/>
          <w:rtl w:val="0"/>
        </w:rPr>
        <w:t xml:space="preserve">nueva forma de precariedad "permanente"</w:t>
      </w:r>
      <w:r w:rsidDel="00000000" w:rsidR="00000000" w:rsidRPr="00000000">
        <w:rPr>
          <w:rFonts w:ascii="Google Sans Text" w:cs="Google Sans Text" w:eastAsia="Google Sans Text" w:hAnsi="Google Sans Text"/>
          <w:color w:val="1b1c1d"/>
          <w:rtl w:val="0"/>
        </w:rPr>
        <w:t xml:space="preserve"> que sustituye a la antigua precariedad "temporal". La investigación futura se centrará en medir la "tasa de churn" (rotación) de estos contratos para determinar si la ganancia de estabilidad es real o un artefacto estadístico.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El Nuevo Escenario: Rigidez Dual en Empleo y Salarios (El Experimento Involuntario)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evaluación de la reforma de 2022 estaría incompleta sin analizar la </w:t>
      </w:r>
      <w:r w:rsidDel="00000000" w:rsidR="00000000" w:rsidRPr="00000000">
        <w:rPr>
          <w:rFonts w:ascii="Google Sans Text" w:cs="Google Sans Text" w:eastAsia="Google Sans Text" w:hAnsi="Google Sans Text"/>
          <w:i w:val="1"/>
          <w:iCs w:val="1"/>
          <w:color w:val="1b1c1d"/>
          <w:rtl w:val="0"/>
        </w:rPr>
        <w:t xml:space="preserve">otra</w:t>
      </w:r>
      <w:r w:rsidDel="00000000" w:rsidR="00000000" w:rsidRPr="00000000">
        <w:rPr>
          <w:rFonts w:ascii="Google Sans Text" w:cs="Google Sans Text" w:eastAsia="Google Sans Text" w:hAnsi="Google Sans Text"/>
          <w:color w:val="1b1c1d"/>
          <w:rtl w:val="0"/>
        </w:rPr>
        <w:t xml:space="preserve"> mitad de la reforma: la reversión de los pilares de la NC de 2012. Un análisis del Instituto Sindical Europeo (ETUI) de 2025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detalla estos cambios:</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Restauración de la Prioridad Sectorial:</w:t>
      </w:r>
      <w:r w:rsidDel="00000000" w:rsidR="00000000" w:rsidRPr="00000000">
        <w:rPr>
          <w:rFonts w:ascii="Google Sans Text" w:cs="Google Sans Text" w:eastAsia="Google Sans Text" w:hAnsi="Google Sans Text"/>
          <w:color w:val="1b1c1d"/>
          <w:rtl w:val="0"/>
        </w:rPr>
        <w:t xml:space="preserve"> La reforma de 2022 </w:t>
      </w:r>
      <w:r w:rsidDel="00000000" w:rsidR="00000000" w:rsidRPr="00000000">
        <w:rPr>
          <w:rFonts w:ascii="Google Sans Text" w:cs="Google Sans Text" w:eastAsia="Google Sans Text" w:hAnsi="Google Sans Text"/>
          <w:b w:val="1"/>
          <w:bCs w:val="1"/>
          <w:color w:val="1b1c1d"/>
          <w:rtl w:val="0"/>
        </w:rPr>
        <w:t xml:space="preserve">restaura la prioridad del convenio sectorial sobre el de empresa en materia salarial</w:t>
      </w:r>
      <w:r w:rsidDel="00000000" w:rsidR="00000000" w:rsidRPr="00000000">
        <w:rPr>
          <w:rFonts w:ascii="Google Sans Text" w:cs="Google Sans Text" w:eastAsia="Google Sans Text" w:hAnsi="Google Sans Text"/>
          <w:color w:val="1b1c1d"/>
          <w:rtl w:val="0"/>
        </w:rPr>
        <w:t xml:space="preserve">. Esto significa que los CLA ya no pueden usarse para establecer salarios inferiores a los del sector.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Se cierra así la principal vía de flexibilidad </w:t>
      </w:r>
      <w:r w:rsidDel="00000000" w:rsidR="00000000" w:rsidRPr="00000000">
        <w:rPr>
          <w:rFonts w:ascii="Google Sans Text" w:cs="Google Sans Text" w:eastAsia="Google Sans Text" w:hAnsi="Google Sans Text"/>
          <w:i w:val="1"/>
          <w:iCs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 (el </w:t>
      </w:r>
      <w:r w:rsidDel="00000000" w:rsidR="00000000" w:rsidRPr="00000000">
        <w:rPr>
          <w:rFonts w:ascii="Google Sans Text" w:cs="Google Sans Text" w:eastAsia="Google Sans Text" w:hAnsi="Google Sans Text"/>
          <w:i w:val="1"/>
          <w:iCs w:val="1"/>
          <w:color w:val="1b1c1d"/>
          <w:rtl w:val="0"/>
        </w:rPr>
        <w:t xml:space="preserve">descuelgue</w:t>
      </w:r>
      <w:r w:rsidDel="00000000" w:rsidR="00000000" w:rsidRPr="00000000">
        <w:rPr>
          <w:rFonts w:ascii="Google Sans Text" w:cs="Google Sans Text" w:eastAsia="Google Sans Text" w:hAnsi="Google Sans Text"/>
          <w:color w:val="1b1c1d"/>
          <w:rtl w:val="0"/>
        </w:rPr>
        <w:t xml:space="preserve"> salarial) que había funcionado desde 2012.</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Restauración de la Ultraactividad:</w:t>
      </w:r>
      <w:r w:rsidDel="00000000" w:rsidR="00000000" w:rsidRPr="00000000">
        <w:rPr>
          <w:rFonts w:ascii="Google Sans Text" w:cs="Google Sans Text" w:eastAsia="Google Sans Text" w:hAnsi="Google Sans Text"/>
          <w:color w:val="1b1c1d"/>
          <w:rtl w:val="0"/>
        </w:rPr>
        <w:t xml:space="preserve"> La reforma </w:t>
      </w:r>
      <w:r w:rsidDel="00000000" w:rsidR="00000000" w:rsidRPr="00000000">
        <w:rPr>
          <w:rFonts w:ascii="Google Sans Text" w:cs="Google Sans Text" w:eastAsia="Google Sans Text" w:hAnsi="Google Sans Text"/>
          <w:b w:val="1"/>
          <w:bCs w:val="1"/>
          <w:color w:val="1b1c1d"/>
          <w:rtl w:val="0"/>
        </w:rPr>
        <w:t xml:space="preserve">restaura la ultraactividad indefinida</w:t>
      </w:r>
      <w:r w:rsidDel="00000000" w:rsidR="00000000" w:rsidRPr="00000000">
        <w:rPr>
          <w:rFonts w:ascii="Google Sans Text" w:cs="Google Sans Text" w:eastAsia="Google Sans Text" w:hAnsi="Google Sans Text"/>
          <w:color w:val="1b1c1d"/>
          <w:rtl w:val="0"/>
        </w:rPr>
        <w:t xml:space="preserve"> de los convenios, que habían sido suspendidos por la reforma de 2012.</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Esto fortalece significativamente la posición negociadora de los sindicatos.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síntesis de estos movimientos legislativos dibuja un escenario macro-institucional completamente nuevo, un "experimento involuntario" en la historia laboral de España. Para visualizarlo, podemos resumir los tres modelos:</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 Pre-2012:</w:t>
      </w:r>
      <w:r w:rsidDel="00000000" w:rsidR="00000000" w:rsidRPr="00000000">
        <w:rPr>
          <w:rFonts w:ascii="Google Sans Text" w:cs="Google Sans Text" w:eastAsia="Google Sans Text" w:hAnsi="Google Sans Text"/>
          <w:color w:val="1b1c1d"/>
          <w:rtl w:val="0"/>
        </w:rPr>
        <w:t xml:space="preserve"> Se caracterizaba por una </w:t>
      </w:r>
      <w:r w:rsidDel="00000000" w:rsidR="00000000" w:rsidRPr="00000000">
        <w:rPr>
          <w:rFonts w:ascii="Google Sans Text" w:cs="Google Sans Text" w:eastAsia="Google Sans Text" w:hAnsi="Google Sans Text"/>
          <w:b w:val="1"/>
          <w:bCs w:val="1"/>
          <w:color w:val="1b1c1d"/>
          <w:rtl w:val="0"/>
        </w:rPr>
        <w:t xml:space="preserve">Rigidez Salarial</w:t>
      </w:r>
      <w:r w:rsidDel="00000000" w:rsidR="00000000" w:rsidRPr="00000000">
        <w:rPr>
          <w:rFonts w:ascii="Google Sans Text" w:cs="Google Sans Text" w:eastAsia="Google Sans Text" w:hAnsi="Google Sans Text"/>
          <w:color w:val="1b1c1d"/>
          <w:rtl w:val="0"/>
        </w:rPr>
        <w:t xml:space="preserve"> (NC sectorial + ultraactividad) combinada con una </w:t>
      </w:r>
      <w:r w:rsidDel="00000000" w:rsidR="00000000" w:rsidRPr="00000000">
        <w:rPr>
          <w:rFonts w:ascii="Google Sans Text" w:cs="Google Sans Text" w:eastAsia="Google Sans Text" w:hAnsi="Google Sans Text"/>
          <w:b w:val="1"/>
          <w:bCs w:val="1"/>
          <w:color w:val="1b1c1d"/>
          <w:rtl w:val="0"/>
        </w:rPr>
        <w:t xml:space="preserve">Flexibilidad Contractual</w:t>
      </w:r>
      <w:r w:rsidDel="00000000" w:rsidR="00000000" w:rsidRPr="00000000">
        <w:rPr>
          <w:rFonts w:ascii="Google Sans Text" w:cs="Google Sans Text" w:eastAsia="Google Sans Text" w:hAnsi="Google Sans Text"/>
          <w:color w:val="1b1c1d"/>
          <w:rtl w:val="0"/>
        </w:rPr>
        <w:t xml:space="preserve"> (uso masivo de la temporalidad). El ajuste ante </w:t>
      </w:r>
      <w:r w:rsidDel="00000000" w:rsidR="00000000" w:rsidRPr="00000000">
        <w:rPr>
          <w:rFonts w:ascii="Google Sans Text" w:cs="Google Sans Text" w:eastAsia="Google Sans Text" w:hAnsi="Google Sans Text"/>
          <w:i w:val="1"/>
          <w:iCs w:val="1"/>
          <w:color w:val="1b1c1d"/>
          <w:rtl w:val="0"/>
        </w:rPr>
        <w:t xml:space="preserve">shocks</w:t>
      </w:r>
      <w:r w:rsidDel="00000000" w:rsidR="00000000" w:rsidRPr="00000000">
        <w:rPr>
          <w:rFonts w:ascii="Google Sans Text" w:cs="Google Sans Text" w:eastAsia="Google Sans Text" w:hAnsi="Google Sans Text"/>
          <w:color w:val="1b1c1d"/>
          <w:rtl w:val="0"/>
        </w:rPr>
        <w:t xml:space="preserve"> era </w:t>
      </w:r>
      <w:r w:rsidDel="00000000" w:rsidR="00000000" w:rsidRPr="00000000">
        <w:rPr>
          <w:rFonts w:ascii="Google Sans Text" w:cs="Google Sans Text" w:eastAsia="Google Sans Text" w:hAnsi="Google Sans Text"/>
          <w:i w:val="1"/>
          <w:iCs w:val="1"/>
          <w:color w:val="1b1c1d"/>
          <w:rtl w:val="0"/>
        </w:rPr>
        <w:t xml:space="preserve">vía cantidades</w:t>
      </w:r>
      <w:r w:rsidDel="00000000" w:rsidR="00000000" w:rsidRPr="00000000">
        <w:rPr>
          <w:rFonts w:ascii="Google Sans Text" w:cs="Google Sans Text" w:eastAsia="Google Sans Text" w:hAnsi="Google Sans Text"/>
          <w:color w:val="1b1c1d"/>
          <w:rtl w:val="0"/>
        </w:rPr>
        <w:t xml:space="preserve"> (despidos masivos de temporales).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 2012-2021:</w:t>
      </w:r>
      <w:r w:rsidDel="00000000" w:rsidR="00000000" w:rsidRPr="00000000">
        <w:rPr>
          <w:rFonts w:ascii="Google Sans Text" w:cs="Google Sans Text" w:eastAsia="Google Sans Text" w:hAnsi="Google Sans Text"/>
          <w:color w:val="1b1c1d"/>
          <w:rtl w:val="0"/>
        </w:rPr>
        <w:t xml:space="preserve"> Se caracterizaba por una </w:t>
      </w:r>
      <w:r w:rsidDel="00000000" w:rsidR="00000000" w:rsidRPr="00000000">
        <w:rPr>
          <w:rFonts w:ascii="Google Sans Text" w:cs="Google Sans Text" w:eastAsia="Google Sans Text" w:hAnsi="Google Sans Text"/>
          <w:b w:val="1"/>
          <w:bCs w:val="1"/>
          <w:color w:val="1b1c1d"/>
          <w:rtl w:val="0"/>
        </w:rPr>
        <w:t xml:space="preserve">Flexibilidad Salarial</w:t>
      </w:r>
      <w:r w:rsidDel="00000000" w:rsidR="00000000" w:rsidRPr="00000000">
        <w:rPr>
          <w:rFonts w:ascii="Google Sans Text" w:cs="Google Sans Text" w:eastAsia="Google Sans Text" w:hAnsi="Google Sans Text"/>
          <w:color w:val="1b1c1d"/>
          <w:rtl w:val="0"/>
        </w:rPr>
        <w:t xml:space="preserve"> (prioridad de empresa + fin de ultraactividad + </w:t>
      </w:r>
      <w:r w:rsidDel="00000000" w:rsidR="00000000" w:rsidRPr="00000000">
        <w:rPr>
          <w:rFonts w:ascii="Google Sans Text" w:cs="Google Sans Text" w:eastAsia="Google Sans Text" w:hAnsi="Google Sans Text"/>
          <w:i w:val="1"/>
          <w:iCs w:val="1"/>
          <w:color w:val="1b1c1d"/>
          <w:rtl w:val="0"/>
        </w:rPr>
        <w:t xml:space="preserve">descuelgues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combinada con una </w:t>
      </w:r>
      <w:r w:rsidDel="00000000" w:rsidR="00000000" w:rsidRPr="00000000">
        <w:rPr>
          <w:rFonts w:ascii="Google Sans Text" w:cs="Google Sans Text" w:eastAsia="Google Sans Text" w:hAnsi="Google Sans Text"/>
          <w:b w:val="1"/>
          <w:bCs w:val="1"/>
          <w:color w:val="1b1c1d"/>
          <w:rtl w:val="0"/>
        </w:rPr>
        <w:t xml:space="preserve">Flexibilidad Contractual</w:t>
      </w:r>
      <w:r w:rsidDel="00000000" w:rsidR="00000000" w:rsidRPr="00000000">
        <w:rPr>
          <w:rFonts w:ascii="Google Sans Text" w:cs="Google Sans Text" w:eastAsia="Google Sans Text" w:hAnsi="Google Sans Text"/>
          <w:color w:val="1b1c1d"/>
          <w:rtl w:val="0"/>
        </w:rPr>
        <w:t xml:space="preserve"> (la temporalidad seguía intacta). El ajuste era </w:t>
      </w:r>
      <w:r w:rsidDel="00000000" w:rsidR="00000000" w:rsidRPr="00000000">
        <w:rPr>
          <w:rFonts w:ascii="Google Sans Text" w:cs="Google Sans Text" w:eastAsia="Google Sans Text" w:hAnsi="Google Sans Text"/>
          <w:i w:val="1"/>
          <w:iCs w:val="1"/>
          <w:color w:val="1b1c1d"/>
          <w:rtl w:val="0"/>
        </w:rPr>
        <w:t xml:space="preserve">vía precios y cantidades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Modelo Post-2022:</w:t>
      </w:r>
      <w:r w:rsidDel="00000000" w:rsidR="00000000" w:rsidRPr="00000000">
        <w:rPr>
          <w:rFonts w:ascii="Google Sans Text" w:cs="Google Sans Text" w:eastAsia="Google Sans Text" w:hAnsi="Google Sans Text"/>
          <w:color w:val="1b1c1d"/>
          <w:rtl w:val="0"/>
        </w:rPr>
        <w:t xml:space="preserve"> Se caracteriza por una </w:t>
      </w:r>
      <w:r w:rsidDel="00000000" w:rsidR="00000000" w:rsidRPr="00000000">
        <w:rPr>
          <w:rFonts w:ascii="Google Sans Text" w:cs="Google Sans Text" w:eastAsia="Google Sans Text" w:hAnsi="Google Sans Text"/>
          <w:b w:val="1"/>
          <w:bCs w:val="1"/>
          <w:color w:val="1b1c1d"/>
          <w:rtl w:val="0"/>
        </w:rPr>
        <w:t xml:space="preserve">Rigidez Salarial</w:t>
      </w:r>
      <w:r w:rsidDel="00000000" w:rsidR="00000000" w:rsidRPr="00000000">
        <w:rPr>
          <w:rFonts w:ascii="Google Sans Text" w:cs="Google Sans Text" w:eastAsia="Google Sans Text" w:hAnsi="Google Sans Text"/>
          <w:color w:val="1b1c1d"/>
          <w:rtl w:val="0"/>
        </w:rPr>
        <w:t xml:space="preserve"> (prioridad sectorial + ultraactividad restauradas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combinada con una </w:t>
      </w:r>
      <w:r w:rsidDel="00000000" w:rsidR="00000000" w:rsidRPr="00000000">
        <w:rPr>
          <w:rFonts w:ascii="Google Sans Text" w:cs="Google Sans Text" w:eastAsia="Google Sans Text" w:hAnsi="Google Sans Text"/>
          <w:b w:val="1"/>
          <w:bCs w:val="1"/>
          <w:color w:val="1b1c1d"/>
          <w:rtl w:val="0"/>
        </w:rPr>
        <w:t xml:space="preserve">Rigidez Contractual</w:t>
      </w:r>
      <w:r w:rsidDel="00000000" w:rsidR="00000000" w:rsidRPr="00000000">
        <w:rPr>
          <w:rFonts w:ascii="Google Sans Text" w:cs="Google Sans Text" w:eastAsia="Google Sans Text" w:hAnsi="Google Sans Text"/>
          <w:color w:val="1b1c1d"/>
          <w:rtl w:val="0"/>
        </w:rPr>
        <w:t xml:space="preserve"> (prohibición de la temporalidad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de 2022 ha creado un escenario "doblemente rígido" sin precedentes. Ha eliminado </w:t>
      </w:r>
      <w:r w:rsidDel="00000000" w:rsidR="00000000" w:rsidRPr="00000000">
        <w:rPr>
          <w:rFonts w:ascii="Google Sans Text" w:cs="Google Sans Text" w:eastAsia="Google Sans Text" w:hAnsi="Google Sans Text"/>
          <w:b w:val="1"/>
          <w:bCs w:val="1"/>
          <w:color w:val="1b1c1d"/>
          <w:rtl w:val="0"/>
        </w:rPr>
        <w:t xml:space="preserve">ambos</w:t>
      </w:r>
      <w:r w:rsidDel="00000000" w:rsidR="00000000" w:rsidRPr="00000000">
        <w:rPr>
          <w:rFonts w:ascii="Google Sans Text" w:cs="Google Sans Text" w:eastAsia="Google Sans Text" w:hAnsi="Google Sans Text"/>
          <w:color w:val="1b1c1d"/>
          <w:rtl w:val="0"/>
        </w:rPr>
        <w:t xml:space="preserve"> márgenes de flexibilidad que las empresas españolas han utilizado históricamente: la flexibilidad </w:t>
      </w:r>
      <w:r w:rsidDel="00000000" w:rsidR="00000000" w:rsidRPr="00000000">
        <w:rPr>
          <w:rFonts w:ascii="Google Sans Text" w:cs="Google Sans Text" w:eastAsia="Google Sans Text" w:hAnsi="Google Sans Text"/>
          <w:i w:val="1"/>
          <w:iCs w:val="1"/>
          <w:color w:val="1b1c1d"/>
          <w:rtl w:val="0"/>
        </w:rPr>
        <w:t xml:space="preserve">de cantidad</w:t>
      </w:r>
      <w:r w:rsidDel="00000000" w:rsidR="00000000" w:rsidRPr="00000000">
        <w:rPr>
          <w:rFonts w:ascii="Google Sans Text" w:cs="Google Sans Text" w:eastAsia="Google Sans Text" w:hAnsi="Google Sans Text"/>
          <w:color w:val="1b1c1d"/>
          <w:rtl w:val="0"/>
        </w:rPr>
        <w:t xml:space="preserve"> (contratos temporales) y la flexibilidad </w:t>
      </w:r>
      <w:r w:rsidDel="00000000" w:rsidR="00000000" w:rsidRPr="00000000">
        <w:rPr>
          <w:rFonts w:ascii="Google Sans Text" w:cs="Google Sans Text" w:eastAsia="Google Sans Text" w:hAnsi="Google Sans Text"/>
          <w:i w:val="1"/>
          <w:iCs w:val="1"/>
          <w:color w:val="1b1c1d"/>
          <w:rtl w:val="0"/>
        </w:rPr>
        <w:t xml:space="preserve">de precio</w:t>
      </w:r>
      <w:r w:rsidDel="00000000" w:rsidR="00000000" w:rsidRPr="00000000">
        <w:rPr>
          <w:rFonts w:ascii="Google Sans Text" w:cs="Google Sans Text" w:eastAsia="Google Sans Text" w:hAnsi="Google Sans Text"/>
          <w:color w:val="1b1c1d"/>
          <w:rtl w:val="0"/>
        </w:rPr>
        <w:t xml:space="preserve"> (moderación/descuelgue salarial).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únicas válvulas de escape que le quedan al sistema son la </w:t>
      </w:r>
      <w:r w:rsidDel="00000000" w:rsidR="00000000" w:rsidRPr="00000000">
        <w:rPr>
          <w:rFonts w:ascii="Google Sans Text" w:cs="Google Sans Text" w:eastAsia="Google Sans Text" w:hAnsi="Google Sans Text"/>
          <w:b w:val="1"/>
          <w:bCs w:val="1"/>
          <w:color w:val="1b1c1d"/>
          <w:rtl w:val="0"/>
        </w:rPr>
        <w:t xml:space="preserve">flexibilidad interna</w:t>
      </w:r>
      <w:r w:rsidDel="00000000" w:rsidR="00000000" w:rsidRPr="00000000">
        <w:rPr>
          <w:rFonts w:ascii="Google Sans Text" w:cs="Google Sans Text" w:eastAsia="Google Sans Text" w:hAnsi="Google Sans Text"/>
          <w:color w:val="1b1c1d"/>
          <w:rtl w:val="0"/>
        </w:rPr>
        <w:t xml:space="preserve"> (como los mecanismos ERTE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y la potencial </w:t>
      </w:r>
      <w:r w:rsidDel="00000000" w:rsidR="00000000" w:rsidRPr="00000000">
        <w:rPr>
          <w:rFonts w:ascii="Google Sans Text" w:cs="Google Sans Text" w:eastAsia="Google Sans Text" w:hAnsi="Google Sans Text"/>
          <w:b w:val="1"/>
          <w:bCs w:val="1"/>
          <w:color w:val="1b1c1d"/>
          <w:rtl w:val="0"/>
        </w:rPr>
        <w:t xml:space="preserve">rotación de los Fijos-Discontinuos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La gran pregunta para la investigación académica, que la evidencia actual no puede responder, es cómo este nuevo sistema laboral responderá al próximo </w:t>
      </w:r>
      <w:r w:rsidDel="00000000" w:rsidR="00000000" w:rsidRPr="00000000">
        <w:rPr>
          <w:rFonts w:ascii="Google Sans Text" w:cs="Google Sans Text" w:eastAsia="Google Sans Text" w:hAnsi="Google Sans Text"/>
          <w:i w:val="1"/>
          <w:iCs w:val="1"/>
          <w:color w:val="1b1c1d"/>
          <w:rtl w:val="0"/>
        </w:rPr>
        <w:t xml:space="preserve">shock</w:t>
      </w:r>
      <w:r w:rsidDel="00000000" w:rsidR="00000000" w:rsidRPr="00000000">
        <w:rPr>
          <w:rFonts w:ascii="Google Sans Text" w:cs="Google Sans Text" w:eastAsia="Google Sans Text" w:hAnsi="Google Sans Text"/>
          <w:color w:val="1b1c1d"/>
          <w:rtl w:val="0"/>
        </w:rPr>
        <w:t xml:space="preserve"> económico negativo.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Tabla 1: Evaluación Comparativa de las Reformas Laborales (2012 y 2022) sobre la Negociación Colectiva y el Empleo (Síntesis de Evidencia Académica)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Eje de la Reforma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Reforma Laboral 2012 (Ley 3/2012)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Reforma Laboral 2022 (RDL 32/2021)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Prioridad de Convenio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Prioridad aplicativa del convenio de empresa (CLA) en materias clave (salarios, jornada).</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Restaurar la prioridad del convenio sectorial en materia salarial.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Fracaso en la descentralización. La cobertura de los CLA </w:t>
            </w:r>
            <w:r w:rsidDel="00000000" w:rsidR="00000000" w:rsidRPr="00000000">
              <w:rPr>
                <w:rFonts w:ascii="Google Sans Text" w:cs="Google Sans Text" w:eastAsia="Google Sans Text" w:hAnsi="Google Sans Text"/>
                <w:i w:val="1"/>
                <w:iCs w:val="1"/>
                <w:color w:val="1b1c1d"/>
                <w:shd w:fill="auto" w:val="clear"/>
                <w:rtl w:val="0"/>
              </w:rPr>
              <w:t xml:space="preserve">disminuyó</w:t>
            </w:r>
            <w:r w:rsidDel="00000000" w:rsidR="00000000" w:rsidRPr="00000000">
              <w:rPr>
                <w:rFonts w:ascii="Google Sans Text" w:cs="Google Sans Text" w:eastAsia="Google Sans Text" w:hAnsi="Google Sans Text"/>
                <w:color w:val="1b1c1d"/>
                <w:shd w:fill="auto" w:val="clear"/>
                <w:rtl w:val="0"/>
              </w:rPr>
              <w:t xml:space="preserve"> (de ~11% a ~9%). La estructura provincial-sectorial resistió.</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Logrado. Los CLA no pueden establecer condiciones salariales inferiores al sectorial.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Ultraactividad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Fin de la ultraactividad indefinida (limitada a 1 año).</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Restauración de la ultraactividad indefinida.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Logrado. Considerado clave por la academia para dinamizar la negociación y moderar salarios post-crisis.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Logrado. Fortalece la posición negociadora sindical y la estabilidad de los convenios.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Flexibilidad Salarial (Opt-Outs)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Facilitar el </w:t>
            </w:r>
            <w:r w:rsidDel="00000000" w:rsidR="00000000" w:rsidRPr="00000000">
              <w:rPr>
                <w:rFonts w:ascii="Google Sans Text" w:cs="Google Sans Text" w:eastAsia="Google Sans Text" w:hAnsi="Google Sans Text"/>
                <w:i w:val="1"/>
                <w:iCs w:val="1"/>
                <w:color w:val="1b1c1d"/>
                <w:shd w:fill="auto" w:val="clear"/>
                <w:rtl w:val="0"/>
              </w:rPr>
              <w:t xml:space="preserve">descuelgue</w:t>
            </w:r>
            <w:r w:rsidDel="00000000" w:rsidR="00000000" w:rsidRPr="00000000">
              <w:rPr>
                <w:rFonts w:ascii="Google Sans Text" w:cs="Google Sans Text" w:eastAsia="Google Sans Text" w:hAnsi="Google Sans Text"/>
                <w:color w:val="1b1c1d"/>
                <w:shd w:fill="auto" w:val="clear"/>
                <w:rtl w:val="0"/>
              </w:rPr>
              <w:t xml:space="preserve"> (inaplicación) del convenio sectorial por razones económicas.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Mantenido, pero fuertemente limitado </w:t>
            </w:r>
            <w:r w:rsidDel="00000000" w:rsidR="00000000" w:rsidRPr="00000000">
              <w:rPr>
                <w:rFonts w:ascii="Google Sans Text" w:cs="Google Sans Text" w:eastAsia="Google Sans Text" w:hAnsi="Google Sans Text"/>
                <w:i w:val="1"/>
                <w:iCs w:val="1"/>
                <w:color w:val="1b1c1d"/>
                <w:shd w:fill="auto" w:val="clear"/>
                <w:rtl w:val="0"/>
              </w:rPr>
              <w:t xml:space="preserve">de facto</w:t>
            </w:r>
            <w:r w:rsidDel="00000000" w:rsidR="00000000" w:rsidRPr="00000000">
              <w:rPr>
                <w:rFonts w:ascii="Google Sans Text" w:cs="Google Sans Text" w:eastAsia="Google Sans Text" w:hAnsi="Google Sans Text"/>
                <w:color w:val="1b1c1d"/>
                <w:shd w:fill="auto" w:val="clear"/>
                <w:rtl w:val="0"/>
              </w:rPr>
              <w:t xml:space="preserve"> en salarios por la nueva prioridad sectorial.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Éxito. Fue el canal </w:t>
            </w:r>
            <w:r w:rsidDel="00000000" w:rsidR="00000000" w:rsidRPr="00000000">
              <w:rPr>
                <w:rFonts w:ascii="Google Sans Text" w:cs="Google Sans Text" w:eastAsia="Google Sans Text" w:hAnsi="Google Sans Text"/>
                <w:i w:val="1"/>
                <w:iCs w:val="1"/>
                <w:color w:val="1b1c1d"/>
                <w:shd w:fill="auto" w:val="clear"/>
                <w:rtl w:val="0"/>
              </w:rPr>
              <w:t xml:space="preserve">de facto</w:t>
            </w:r>
            <w:r w:rsidDel="00000000" w:rsidR="00000000" w:rsidRPr="00000000">
              <w:rPr>
                <w:rFonts w:ascii="Google Sans Text" w:cs="Google Sans Text" w:eastAsia="Google Sans Text" w:hAnsi="Google Sans Text"/>
                <w:color w:val="1b1c1d"/>
                <w:shd w:fill="auto" w:val="clear"/>
                <w:rtl w:val="0"/>
              </w:rPr>
              <w:t xml:space="preserve"> de la flexibilidad salarial (160k trabajadores en 2013). Tuvo impacto macroeconómico positivo en el empleo.</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Aún por evaluar, pero el principal canal (salario) ha sido cerrado.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Contratación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No fue el foco principal (aunque facilitó despidos).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Objetivo:</w:t>
            </w:r>
            <w:r w:rsidDel="00000000" w:rsidR="00000000" w:rsidRPr="00000000">
              <w:rPr>
                <w:rFonts w:ascii="Google Sans Text" w:cs="Google Sans Text" w:eastAsia="Google Sans Text" w:hAnsi="Google Sans Text"/>
                <w:color w:val="1b1c1d"/>
                <w:shd w:fill="auto" w:val="clear"/>
                <w:rtl w:val="0"/>
              </w:rPr>
              <w:t xml:space="preserve"> Restricción drástica de la causalidad y tipos de contratos temporales.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La temporalidad se mantuvo estructuralmente alta.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Resultado Empírico:</w:t>
            </w:r>
            <w:r w:rsidDel="00000000" w:rsidR="00000000" w:rsidRPr="00000000">
              <w:rPr>
                <w:rFonts w:ascii="Google Sans Text" w:cs="Google Sans Text" w:eastAsia="Google Sans Text" w:hAnsi="Google Sans Text"/>
                <w:color w:val="1b1c1d"/>
                <w:shd w:fill="auto" w:val="clear"/>
                <w:rtl w:val="0"/>
              </w:rPr>
              <w:t xml:space="preserve"> Éxito. Caída de la tasa de temporalidad en ~10pp. Trasvase masivo a fijos-discontinuos (FD).</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Principal Canal de Ajuste (Identificado por la Academia)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Flexibilidad de </w:t>
            </w:r>
            <w:r w:rsidDel="00000000" w:rsidR="00000000" w:rsidRPr="00000000">
              <w:rPr>
                <w:rFonts w:ascii="Google Sans Text" w:cs="Google Sans Text" w:eastAsia="Google Sans Text" w:hAnsi="Google Sans Text"/>
                <w:b w:val="1"/>
                <w:bCs w:val="1"/>
                <w:color w:val="1b1c1d"/>
                <w:shd w:fill="auto" w:val="clear"/>
                <w:rtl w:val="0"/>
              </w:rPr>
              <w:t xml:space="preserve">PRECIOS</w:t>
            </w:r>
            <w:r w:rsidDel="00000000" w:rsidR="00000000" w:rsidRPr="00000000">
              <w:rPr>
                <w:rFonts w:ascii="Google Sans Text" w:cs="Google Sans Text" w:eastAsia="Google Sans Text" w:hAnsi="Google Sans Text"/>
                <w:color w:val="1b1c1d"/>
                <w:shd w:fill="auto" w:val="clear"/>
                <w:rtl w:val="0"/>
              </w:rPr>
              <w:t xml:space="preserve"> (salarios), vía </w:t>
            </w:r>
            <w:r w:rsidDel="00000000" w:rsidR="00000000" w:rsidRPr="00000000">
              <w:rPr>
                <w:rFonts w:ascii="Google Sans Text" w:cs="Google Sans Text" w:eastAsia="Google Sans Text" w:hAnsi="Google Sans Text"/>
                <w:i w:val="1"/>
                <w:iCs w:val="1"/>
                <w:color w:val="1b1c1d"/>
                <w:shd w:fill="auto" w:val="clear"/>
                <w:rtl w:val="0"/>
              </w:rPr>
              <w:t xml:space="preserve">opt-outs</w:t>
            </w:r>
            <w:r w:rsidDel="00000000" w:rsidR="00000000" w:rsidRPr="00000000">
              <w:rPr>
                <w:rFonts w:ascii="Google Sans Text" w:cs="Google Sans Text" w:eastAsia="Google Sans Text" w:hAnsi="Google Sans Text"/>
                <w:color w:val="1b1c1d"/>
                <w:shd w:fill="auto" w:val="clear"/>
                <w:rtl w:val="0"/>
              </w:rPr>
              <w:t xml:space="preserve"> y moderación por fin de ultraactividad.</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Flexibilidad de </w:t>
            </w:r>
            <w:r w:rsidDel="00000000" w:rsidR="00000000" w:rsidRPr="00000000">
              <w:rPr>
                <w:rFonts w:ascii="Google Sans Text" w:cs="Google Sans Text" w:eastAsia="Google Sans Text" w:hAnsi="Google Sans Text"/>
                <w:b w:val="1"/>
                <w:bCs w:val="1"/>
                <w:color w:val="1b1c1d"/>
                <w:shd w:fill="auto" w:val="clear"/>
                <w:rtl w:val="0"/>
              </w:rPr>
              <w:t xml:space="preserve">CANTIDAD</w:t>
            </w:r>
            <w:r w:rsidDel="00000000" w:rsidR="00000000" w:rsidRPr="00000000">
              <w:rPr>
                <w:rFonts w:ascii="Google Sans Text" w:cs="Google Sans Text" w:eastAsia="Google Sans Text" w:hAnsi="Google Sans Text"/>
                <w:color w:val="1b1c1d"/>
                <w:shd w:fill="auto" w:val="clear"/>
                <w:rtl w:val="0"/>
              </w:rPr>
              <w:t xml:space="preserve"> redefinida (vía rotación/inactividad de Fijos-Discontinuos) y flexibilidad interna (ERTEs).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negociación colectiva.docx</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European growth models and working class restructuring. An ..., fecha de acceso: noviembre 16, 2025,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https://www.researchgate.net/publication/301915609_European_growth_models_and_working_class_restructuring_An_International_post-Keynesian_Political_Economy_perspective</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Negociación en el ámbito de la empresa y desigualdad salarial ..., fecha de acceso: noviembre 16, 2025, </w:t>
      </w:r>
      <w:hyperlink r:id="rId7">
        <w:r w:rsidDel="00000000" w:rsidR="00000000" w:rsidRPr="00000000">
          <w:rPr>
            <w:rFonts w:ascii="Google Sans" w:cs="Google Sans" w:eastAsia="Google Sans" w:hAnsi="Google Sans"/>
            <w:color w:val="0000ee"/>
            <w:sz w:val="24"/>
            <w:szCs w:val="24"/>
            <w:u w:val="single"/>
            <w:rtl w:val="0"/>
          </w:rPr>
          <w:t xml:space="preserve">https://researchrepository.ilo.org/esploro/fulltext/journalArticle/Negociaci%C3%B3n-en-el-%C3%A1mbito-de-la/995659972702676?repId=12141641240002676&amp;mId=13141641220002676&amp;institution=41ILO_INST</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impactos de la reforma de 2012 en la negociación ... - Funcas, fecha de acceso: noviembre 16, 2025, </w:t>
      </w:r>
      <w:hyperlink r:id="rId8">
        <w:r w:rsidDel="00000000" w:rsidR="00000000" w:rsidRPr="00000000">
          <w:rPr>
            <w:rFonts w:ascii="Google Sans" w:cs="Google Sans" w:eastAsia="Google Sans" w:hAnsi="Google Sans"/>
            <w:color w:val="0000ee"/>
            <w:sz w:val="24"/>
            <w:szCs w:val="24"/>
            <w:u w:val="single"/>
            <w:rtl w:val="0"/>
          </w:rPr>
          <w:t xml:space="preserve">https://www.funcas.es/wp-content/uploads/Migracion/Articulos/FUNCAS_CIE/246art04.pdf</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Documento de Trabajo - BBVA Research, fecha de acceso: noviembre 16, 2025, </w:t>
      </w:r>
      <w:hyperlink r:id="rId9">
        <w:r w:rsidDel="00000000" w:rsidR="00000000" w:rsidRPr="00000000">
          <w:rPr>
            <w:rFonts w:ascii="Google Sans" w:cs="Google Sans" w:eastAsia="Google Sans" w:hAnsi="Google Sans"/>
            <w:color w:val="0000ee"/>
            <w:sz w:val="24"/>
            <w:szCs w:val="24"/>
            <w:u w:val="single"/>
            <w:rtl w:val="0"/>
          </w:rPr>
          <w:t xml:space="preserve">https://www.bbvaresearch.com/wp-content/uploads/2016/03/WP16-05.pdf</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the Effects of Spain's 2021 Labor Market Reform in ..., fecha de acceso: noviembre 16, 2025, </w:t>
      </w:r>
      <w:hyperlink r:id="rId10">
        <w:r w:rsidDel="00000000" w:rsidR="00000000" w:rsidRPr="00000000">
          <w:rPr>
            <w:rFonts w:ascii="Google Sans" w:cs="Google Sans" w:eastAsia="Google Sans" w:hAnsi="Google Sans"/>
            <w:color w:val="0000ee"/>
            <w:sz w:val="24"/>
            <w:szCs w:val="24"/>
            <w:u w:val="single"/>
            <w:rtl w:val="0"/>
          </w:rPr>
          <w:t xml:space="preserve">https://www.elibrary.imf.org/view/journals/002/2024/153/article-A003-en.xml</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Collective bargaining and minimum wage regime in Spain, fecha de acceso: noviembre 16, 2025, </w:t>
      </w:r>
      <w:hyperlink r:id="rId11">
        <w:r w:rsidDel="00000000" w:rsidR="00000000" w:rsidRPr="00000000">
          <w:rPr>
            <w:rFonts w:ascii="Google Sans" w:cs="Google Sans" w:eastAsia="Google Sans" w:hAnsi="Google Sans"/>
            <w:color w:val="0000ee"/>
            <w:sz w:val="24"/>
            <w:szCs w:val="24"/>
            <w:u w:val="single"/>
            <w:rtl w:val="0"/>
          </w:rPr>
          <w:t xml:space="preserve">https://www.etui.org/sites/default/files/2025-06/Spain_Collective%20bargaining%20and%20minimum%20wage%20regime_2025.pdf</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 nuevo marco para las relaciones laborales en España, fecha de acceso: noviembre 16, 2025, </w:t>
      </w:r>
      <w:hyperlink r:id="rId12">
        <w:r w:rsidDel="00000000" w:rsidR="00000000" w:rsidRPr="00000000">
          <w:rPr>
            <w:rFonts w:ascii="Google Sans" w:cs="Google Sans" w:eastAsia="Google Sans" w:hAnsi="Google Sans"/>
            <w:color w:val="0000ee"/>
            <w:sz w:val="24"/>
            <w:szCs w:val="24"/>
            <w:u w:val="single"/>
            <w:rtl w:val="0"/>
          </w:rPr>
          <w:t xml:space="preserve">https://fedea.net/APIE/nuevo-marco-reforma-laboral/nuevo_marco_laboral_v2.pdf</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Fedea Policy Papers - 2021/07 Contra la Dualidad Laboral, fecha de acceso: noviembre 16, 2025, </w:t>
      </w:r>
      <w:hyperlink r:id="rId13">
        <w:r w:rsidDel="00000000" w:rsidR="00000000" w:rsidRPr="00000000">
          <w:rPr>
            <w:rFonts w:ascii="Google Sans" w:cs="Google Sans" w:eastAsia="Google Sans" w:hAnsi="Google Sans"/>
            <w:color w:val="0000ee"/>
            <w:sz w:val="24"/>
            <w:szCs w:val="24"/>
            <w:u w:val="single"/>
            <w:rtl w:val="0"/>
          </w:rPr>
          <w:t xml:space="preserve">https://documentos.fedea.net/pubs/fpp/2021/06/FPP2021-07.pdf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tui.org/sites/default/files/2025-06/Spain_Collective%20bargaining%20and%20minimum%20wage%20regime_2025.pdf" TargetMode="External"/><Relationship Id="rId10" Type="http://schemas.openxmlformats.org/officeDocument/2006/relationships/hyperlink" Target="https://www.elibrary.imf.org/view/journals/002/2024/153/article-A003-en.xml" TargetMode="External"/><Relationship Id="rId13" Type="http://schemas.openxmlformats.org/officeDocument/2006/relationships/hyperlink" Target="https://documentos.fedea.net/pubs/fpp/2021/06/FPP2021-07.pdf" TargetMode="External"/><Relationship Id="rId12" Type="http://schemas.openxmlformats.org/officeDocument/2006/relationships/hyperlink" Target="https://fedea.net/APIE/nuevo-marco-reforma-laboral/nuevo_marco_laboral_v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varesearch.com/wp-content/uploads/2016/03/WP16-05.pdf" TargetMode="External"/><Relationship Id="rId5" Type="http://schemas.openxmlformats.org/officeDocument/2006/relationships/styles" Target="styles.xml"/><Relationship Id="rId6" Type="http://schemas.openxmlformats.org/officeDocument/2006/relationships/hyperlink" Target="https://www.researchgate.net/publication/301915609_European_growth_models_and_working_class_restructuring_An_International_post-Keynesian_Political_Economy_perspective" TargetMode="External"/><Relationship Id="rId7" Type="http://schemas.openxmlformats.org/officeDocument/2006/relationships/hyperlink" Target="https://researchrepository.ilo.org/esploro/fulltext/journalArticle/Negociaci%C3%B3n-en-el-%C3%A1mbito-de-la/995659972702676?repId=12141641240002676&amp;mId=13141641220002676&amp;institution=41ILO_INST" TargetMode="External"/><Relationship Id="rId8" Type="http://schemas.openxmlformats.org/officeDocument/2006/relationships/hyperlink" Target="https://www.funcas.es/wp-content/uploads/Migracion/Articulos/FUNCAS_CIE/246art0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