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keepNext/>
        <w:spacing w:after="40" w:line="276" w:lineRule="auto" w:before="160"/>
        <w:ind w:left="0" w:firstLine="0"/>
        <w:jc w:val="left"/>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Poppins" w:hAnsi="Poppins"/>
                <w:b/>
                <w:color w:val="566B56"/>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566B56"/>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Poppins" w:hAnsi="Poppins"/>
          <w:b/>
          <w:color w:val="566B56"/>
          <w:sz w:val="18"/>
        </w:rPr>
        <w:t>Figura 1.2: Algoritmo y criterios de clasificación de la población laboral según la OIT y la EPA.</w:t>
      </w:r>
    </w:p>
    <w:p>
      <w:pPr>
        <w:spacing w:before="0" w:after="160"/>
        <w:jc w:val="center"/>
      </w:pPr>
      <w:r>
        <w:rPr>
          <w:rFonts w:ascii="Calibri" w:hAnsi="Calibri"/>
          <w:i/>
          <w:color w:val="6F8073"/>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keepNext/>
        <w:spacing w:after="40" w:line="276" w:lineRule="auto" w:before="160"/>
        <w:ind w:left="0" w:firstLine="0"/>
        <w:jc w:val="left"/>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keepNext/>
        <w:spacing w:after="40" w:line="276" w:lineRule="auto" w:before="160"/>
        <w:ind w:left="0" w:firstLine="0"/>
        <w:jc w:val="left"/>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566B56"/>
          <w:sz w:val="21"/>
        </w:rPr>
        <w:t>El valor añadido en cada etapa de producción</w:t>
      </w:r>
    </w:p>
    <w:p>
      <w:pPr>
        <w:keepNext/>
        <w:spacing w:after="40" w:line="276" w:lineRule="auto" w:before="160"/>
        <w:ind w:left="0" w:firstLine="0"/>
        <w:jc w:val="left"/>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Poppins" w:hAnsi="Poppins"/>
          <w:b/>
          <w:color w:val="566B56"/>
          <w:sz w:val="18"/>
        </w:rPr>
        <w:t>Figura 1.3: Cadena de valor añadido bruto (VAB) y proceso de producción del pan.</w:t>
      </w:r>
    </w:p>
    <w:p>
      <w:pPr>
        <w:spacing w:before="0" w:after="160"/>
        <w:jc w:val="center"/>
      </w:pPr>
      <w:r>
        <w:rPr>
          <w:rFonts w:ascii="Calibri" w:hAnsi="Calibri"/>
          <w:i/>
          <w:color w:val="6F8073"/>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566B56"/>
          <w:sz w:val="21"/>
        </w:rPr>
        <w:t>VAB es el Valor Agregado Bruto</w:t>
      </w:r>
    </w:p>
    <w:p>
      <w:pPr>
        <w:keepNext/>
        <w:spacing w:after="40" w:line="276" w:lineRule="auto" w:before="160"/>
        <w:ind w:left="0" w:firstLine="0"/>
        <w:jc w:val="left"/>
      </w:pPr>
      <w:r>
        <w:rPr>
          <w:rFonts w:ascii="Calibri" w:hAnsi="Calibri"/>
          <w:b/>
          <w:color w:val="566B56"/>
          <w:sz w:val="21"/>
        </w:rPr>
        <w:t>Impuestos son aquellos aplicados a los productos</w:t>
      </w:r>
    </w:p>
    <w:p>
      <w:pPr>
        <w:keepNext/>
        <w:spacing w:after="40" w:line="276" w:lineRule="auto" w:before="160"/>
        <w:ind w:left="0" w:firstLine="0"/>
        <w:jc w:val="left"/>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670895"/>
            <wp:docPr id="5" name="Picture 5"/>
            <wp:cNvGraphicFramePr>
              <a:graphicFrameLocks noChangeAspect="1"/>
            </wp:cNvGraphicFramePr>
            <a:graphic>
              <a:graphicData uri="http://schemas.openxmlformats.org/drawingml/2006/picture">
                <pic:pic>
                  <pic:nvPicPr>
                    <pic:cNvPr id="0" name="pib_interanual.png"/>
                    <pic:cNvPicPr/>
                  </pic:nvPicPr>
                  <pic:blipFill>
                    <a:blip r:embed="rId13"/>
                    <a:stretch>
                      <a:fillRect/>
                    </a:stretch>
                  </pic:blipFill>
                  <pic:spPr>
                    <a:xfrm>
                      <a:off x="0" y="0"/>
                      <a:ext cx="5669280" cy="3670895"/>
                    </a:xfrm>
                    <a:prstGeom prst="rect"/>
                  </pic:spPr>
                </pic:pic>
              </a:graphicData>
            </a:graphic>
          </wp:inline>
        </w:drawing>
      </w:r>
    </w:p>
    <w:p>
      <w:pPr>
        <w:keepNext/>
        <w:spacing w:before="0" w:after="20"/>
        <w:jc w:val="center"/>
      </w:pPr>
      <w:r>
        <w:rPr>
          <w:rFonts w:ascii="Poppins" w:hAnsi="Poppins"/>
          <w:b/>
          <w:color w:val="566B56"/>
          <w:sz w:val="18"/>
        </w:rPr>
        <w:t>Figura 1.4: Evolución del Producto Interior Bruto (PIB) en España: tasas de variación interanual en volumen encadenado (2022T1 - 2026T2).</w:t>
      </w:r>
    </w:p>
    <w:p>
      <w:pPr>
        <w:spacing w:before="0" w:after="160"/>
        <w:jc w:val="center"/>
      </w:pPr>
      <w:r>
        <w:rPr>
          <w:rFonts w:ascii="Calibri" w:hAnsi="Calibri"/>
          <w:i/>
          <w:color w:val="6F8073"/>
          <w:sz w:val="16"/>
        </w:rPr>
        <w:t>Fuente: Instituto Nacional de Estadística (INE), Contabilidad Nacional Trimestral de España (CNTR).</w:t>
      </w:r>
    </w:p>
    <w:p>
      <w:pPr>
        <w:keepNext/>
        <w:spacing w:after="40" w:line="276" w:lineRule="auto" w:before="160"/>
        <w:ind w:left="0" w:firstLine="0"/>
        <w:jc w:val="left"/>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keepNext/>
        <w:spacing w:after="40" w:line="276" w:lineRule="auto" w:before="160"/>
        <w:ind w:left="0" w:firstLine="0"/>
        <w:jc w:val="left"/>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keepNext/>
        <w:spacing w:after="40" w:line="276" w:lineRule="auto" w:before="160"/>
        <w:ind w:left="0" w:firstLine="0"/>
        <w:jc w:val="left"/>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566B56"/>
          <w:sz w:val="21"/>
        </w:rPr>
        <w:t>Mejores salarios y mayor estabilidad laboral</w:t>
      </w:r>
    </w:p>
    <w:p>
      <w:pPr>
        <w:keepNext/>
        <w:spacing w:after="40" w:line="276" w:lineRule="auto" w:before="160"/>
        <w:ind w:left="0" w:firstLine="0"/>
        <w:jc w:val="left"/>
      </w:pPr>
      <w:r>
        <w:rPr>
          <w:rFonts w:ascii="Calibri" w:hAnsi="Calibri"/>
          <w:b/>
          <w:color w:val="566B56"/>
          <w:sz w:val="21"/>
        </w:rPr>
        <w:t>Habilidades demandadas menos manuales y repetitivas</w:t>
      </w:r>
    </w:p>
    <w:p>
      <w:pPr>
        <w:keepNext/>
        <w:spacing w:after="40" w:line="276" w:lineRule="auto" w:before="160"/>
        <w:ind w:left="0" w:firstLine="0"/>
        <w:jc w:val="left"/>
      </w:pPr>
      <w:r>
        <w:rPr>
          <w:rFonts w:ascii="Calibri" w:hAnsi="Calibri"/>
          <w:b/>
          <w:color w:val="566B56"/>
          <w:sz w:val="21"/>
        </w:rPr>
        <w:t>Menor grado de sustitución de trabajadores</w:t>
      </w:r>
    </w:p>
    <w:p>
      <w:pPr>
        <w:keepNext/>
        <w:spacing w:after="40" w:line="276" w:lineRule="auto" w:before="160"/>
        <w:ind w:left="0" w:firstLine="0"/>
        <w:jc w:val="left"/>
      </w:pPr>
      <w:r>
        <w:rPr>
          <w:rFonts w:ascii="Calibri" w:hAnsi="Calibri"/>
          <w:b/>
          <w:color w:val="566B56"/>
          <w:sz w:val="21"/>
        </w:rPr>
        <w:t>Tipos de contratos más estables</w:t>
      </w:r>
    </w:p>
    <w:p>
      <w:pPr>
        <w:keepNext/>
        <w:spacing w:after="40" w:line="276" w:lineRule="auto" w:before="160"/>
        <w:ind w:left="0" w:firstLine="0"/>
        <w:jc w:val="left"/>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3489693"/>
            <wp:docPr id="6" name="Picture 6"/>
            <wp:cNvGraphicFramePr>
              <a:graphicFrameLocks noChangeAspect="1"/>
            </wp:cNvGraphicFramePr>
            <a:graphic>
              <a:graphicData uri="http://schemas.openxmlformats.org/drawingml/2006/picture">
                <pic:pic>
                  <pic:nvPicPr>
                    <pic:cNvPr id="0" name="productividad_salarios.png"/>
                    <pic:cNvPicPr/>
                  </pic:nvPicPr>
                  <pic:blipFill>
                    <a:blip r:embed="rId14"/>
                    <a:stretch>
                      <a:fillRect/>
                    </a:stretch>
                  </pic:blipFill>
                  <pic:spPr>
                    <a:xfrm>
                      <a:off x="0" y="0"/>
                      <a:ext cx="5669280" cy="3489693"/>
                    </a:xfrm>
                    <a:prstGeom prst="rect"/>
                  </pic:spPr>
                </pic:pic>
              </a:graphicData>
            </a:graphic>
          </wp:inline>
        </w:drawing>
      </w:r>
    </w:p>
    <w:p>
      <w:pPr>
        <w:keepNext/>
        <w:spacing w:before="0" w:after="20"/>
        <w:jc w:val="center"/>
      </w:pPr>
      <w:r>
        <w:rPr>
          <w:rFonts w:ascii="Poppins" w:hAnsi="Poppins"/>
          <w:b/>
          <w:color w:val="566B56"/>
          <w:sz w:val="18"/>
        </w:rPr>
        <w:t>Figura 1.5: Relación entre productividad por hora trabajada y salario medio en la OCDE (2024).</w:t>
      </w:r>
    </w:p>
    <w:p>
      <w:pPr>
        <w:spacing w:before="0" w:after="160"/>
        <w:jc w:val="center"/>
      </w:pPr>
      <w:r>
        <w:rPr>
          <w:rFonts w:ascii="Calibri" w:hAnsi="Calibri"/>
          <w:i/>
          <w:color w:val="6F8073"/>
          <w:sz w:val="16"/>
        </w:rPr>
        <w:t>Fuente: Elaboración propia a partir de datos oficiales de la OCDE (Productivity Statistics &amp; Employment Outlook, 2024).</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keepNext/>
        <w:spacing w:after="40" w:line="276" w:lineRule="auto" w:before="160"/>
        <w:ind w:left="0" w:firstLine="0"/>
        <w:jc w:val="left"/>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4081492"/>
            <wp:docPr id="7" name="Picture 7"/>
            <wp:cNvGraphicFramePr>
              <a:graphicFrameLocks noChangeAspect="1"/>
            </wp:cNvGraphicFramePr>
            <a:graphic>
              <a:graphicData uri="http://schemas.openxmlformats.org/drawingml/2006/picture">
                <pic:pic>
                  <pic:nvPicPr>
                    <pic:cNvPr id="0" name="image6.jpeg"/>
                    <pic:cNvPicPr/>
                  </pic:nvPicPr>
                  <pic:blipFill>
                    <a:blip r:embed="rId15"/>
                    <a:stretch>
                      <a:fillRect/>
                    </a:stretch>
                  </pic:blipFill>
                  <pic:spPr>
                    <a:xfrm>
                      <a:off x="0" y="0"/>
                      <a:ext cx="5669280" cy="4081492"/>
                    </a:xfrm>
                    <a:prstGeom prst="rect"/>
                  </pic:spPr>
                </pic:pic>
              </a:graphicData>
            </a:graphic>
          </wp:inline>
        </w:drawing>
      </w:r>
    </w:p>
    <w:p>
      <w:pPr>
        <w:keepNext/>
        <w:spacing w:before="0" w:after="20"/>
        <w:jc w:val="center"/>
      </w:pPr>
      <w:r>
        <w:rPr>
          <w:rFonts w:ascii="Poppins" w:hAnsi="Poppins"/>
          <w:b/>
          <w:color w:val="566B56"/>
          <w:sz w:val="18"/>
        </w:rPr>
        <w:t>Figura 1.6: Teoría de la elección ocio-consumo y derivación de la oferta individual de trabajo.</w:t>
      </w:r>
    </w:p>
    <w:p>
      <w:pPr>
        <w:spacing w:before="0" w:after="160"/>
        <w:jc w:val="center"/>
      </w:pPr>
      <w:r>
        <w:rPr>
          <w:rFonts w:ascii="Calibri" w:hAnsi="Calibri"/>
          <w:i/>
          <w:color w:val="6F8073"/>
          <w:sz w:val="16"/>
        </w:rPr>
        <w:t>Fuente: Modelo microeconómico neoclásico del mercado de trabajo.</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keepNext/>
        <w:spacing w:after="40" w:line="276" w:lineRule="auto" w:before="160"/>
        <w:ind w:left="0" w:firstLine="0"/>
        <w:jc w:val="left"/>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keepNext/>
        <w:spacing w:after="40" w:line="276" w:lineRule="auto" w:before="160"/>
        <w:ind w:left="0" w:firstLine="0"/>
        <w:jc w:val="left"/>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566B56"/>
          <w:sz w:val="21"/>
        </w:rPr>
        <w:t>Bienestar social y condiciones de trabajo</w:t>
      </w:r>
    </w:p>
    <w:p>
      <w:pPr>
        <w:keepNext/>
        <w:spacing w:after="40" w:line="276" w:lineRule="auto" w:before="160"/>
        <w:ind w:left="0" w:firstLine="0"/>
        <w:jc w:val="left"/>
      </w:pPr>
      <w:r>
        <w:rPr>
          <w:rFonts w:ascii="Calibri" w:hAnsi="Calibri"/>
          <w:b/>
          <w:color w:val="566B56"/>
          <w:sz w:val="21"/>
        </w:rPr>
        <w:t>Productividad empresarial y competitividad</w:t>
      </w:r>
    </w:p>
    <w:p>
      <w:pPr>
        <w:keepNext/>
        <w:spacing w:after="40" w:line="276" w:lineRule="auto" w:before="160"/>
        <w:ind w:left="0" w:firstLine="0"/>
        <w:jc w:val="left"/>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566B56"/>
          <w:sz w:val="21"/>
        </w:rPr>
        <w:t>Las tradiciones laborales y cultura empresarial</w:t>
      </w:r>
    </w:p>
    <w:p>
      <w:pPr>
        <w:keepNext/>
        <w:spacing w:after="40" w:line="276" w:lineRule="auto" w:before="160"/>
        <w:ind w:left="0" w:firstLine="0"/>
        <w:jc w:val="left"/>
      </w:pPr>
      <w:r>
        <w:rPr>
          <w:rFonts w:ascii="Calibri" w:hAnsi="Calibri"/>
          <w:b/>
          <w:color w:val="566B56"/>
          <w:sz w:val="21"/>
        </w:rPr>
        <w:t>El marco legal e institucional</w:t>
      </w:r>
    </w:p>
    <w:p>
      <w:pPr>
        <w:keepNext/>
        <w:spacing w:after="40" w:line="276" w:lineRule="auto" w:before="160"/>
        <w:ind w:left="0" w:firstLine="0"/>
        <w:jc w:val="left"/>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keepNext/>
        <w:spacing w:after="40" w:line="276" w:lineRule="auto" w:before="160"/>
        <w:ind w:left="0" w:firstLine="0"/>
        <w:jc w:val="left"/>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keepNext/>
        <w:spacing w:after="40" w:line="276" w:lineRule="auto" w:before="160"/>
        <w:ind w:left="0" w:firstLine="0"/>
        <w:jc w:val="left"/>
      </w:pPr>
      <w:r>
        <w:rPr>
          <w:rFonts w:ascii="Calibri" w:hAnsi="Calibri"/>
          <w:b/>
          <w:color w:val="566B56"/>
          <w:sz w:val="21"/>
        </w:rPr>
        <w:t>Salarios bajos y pobreza laboral</w:t>
      </w:r>
    </w:p>
    <w:p>
      <w:pPr>
        <w:keepNext/>
        <w:spacing w:after="40" w:line="276" w:lineRule="auto" w:before="160"/>
        <w:ind w:left="0" w:firstLine="0"/>
        <w:jc w:val="left"/>
      </w:pPr>
      <w:r>
        <w:rPr>
          <w:rFonts w:ascii="Calibri" w:hAnsi="Calibri"/>
          <w:b/>
          <w:color w:val="566B56"/>
          <w:sz w:val="21"/>
        </w:rPr>
        <w:t>Desigualdad salarial excesiva</w:t>
      </w:r>
    </w:p>
    <w:p>
      <w:pPr>
        <w:keepNext/>
        <w:spacing w:after="40" w:line="276" w:lineRule="auto" w:before="160"/>
        <w:ind w:left="0" w:firstLine="0"/>
        <w:jc w:val="left"/>
      </w:pPr>
      <w:r>
        <w:rPr>
          <w:rFonts w:ascii="Calibri" w:hAnsi="Calibri"/>
          <w:b/>
          <w:color w:val="566B56"/>
          <w:sz w:val="21"/>
        </w:rPr>
        <w:t>Exclusión de grupos vulnerables del mercado laboral</w:t>
      </w:r>
    </w:p>
    <w:p>
      <w:pPr>
        <w:keepNext/>
        <w:spacing w:after="40" w:line="276" w:lineRule="auto" w:before="160"/>
        <w:ind w:left="0" w:firstLine="0"/>
        <w:jc w:val="left"/>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keepNext/>
        <w:spacing w:after="40" w:line="276" w:lineRule="auto" w:before="160"/>
        <w:ind w:left="0" w:firstLine="0"/>
        <w:jc w:val="left"/>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566B56"/>
          <w:sz w:val="21"/>
        </w:rPr>
        <w:t>Experimentar deterioro de sus habilidades</w:t>
      </w:r>
    </w:p>
    <w:p>
      <w:pPr>
        <w:keepNext/>
        <w:spacing w:after="40" w:line="276" w:lineRule="auto" w:before="160"/>
        <w:ind w:left="0" w:firstLine="0"/>
        <w:jc w:val="left"/>
      </w:pPr>
      <w:r>
        <w:rPr>
          <w:rFonts w:ascii="Calibri" w:hAnsi="Calibri"/>
          <w:b/>
          <w:color w:val="566B56"/>
          <w:sz w:val="21"/>
        </w:rPr>
        <w:t>Perder contactos profesionales</w:t>
      </w:r>
    </w:p>
    <w:p>
      <w:pPr>
        <w:keepNext/>
        <w:spacing w:after="40" w:line="276" w:lineRule="auto" w:before="160"/>
        <w:ind w:left="0" w:firstLine="0"/>
        <w:jc w:val="left"/>
      </w:pPr>
      <w:r>
        <w:rPr>
          <w:rFonts w:ascii="Calibri" w:hAnsi="Calibri"/>
          <w:b/>
          <w:color w:val="566B56"/>
          <w:sz w:val="21"/>
        </w:rPr>
        <w:t>Sufrir estigmatización por parte de los empleadores</w:t>
      </w:r>
    </w:p>
    <w:p>
      <w:pPr>
        <w:keepNext/>
        <w:spacing w:after="40" w:line="276" w:lineRule="auto" w:before="160"/>
        <w:ind w:left="0" w:firstLine="0"/>
        <w:jc w:val="left"/>
      </w:pPr>
      <w:r>
        <w:rPr>
          <w:rFonts w:ascii="Calibri" w:hAnsi="Calibri"/>
          <w:b/>
          <w:color w:val="566B56"/>
          <w:sz w:val="21"/>
        </w:rPr>
        <w:t>Desarrollar comportamientos de búsqueda menos intensos</w:t>
      </w:r>
    </w:p>
    <w:p>
      <w:pPr>
        <w:keepNext/>
        <w:spacing w:after="40" w:line="276" w:lineRule="auto" w:before="160"/>
        <w:ind w:left="0" w:firstLine="0"/>
        <w:jc w:val="left"/>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566B56"/>
          <w:sz w:val="21"/>
        </w:rPr>
        <w:t>Niveles educativos</w:t>
      </w:r>
    </w:p>
    <w:p>
      <w:pPr>
        <w:keepNext/>
        <w:spacing w:after="40" w:line="276" w:lineRule="auto" w:before="160"/>
        <w:ind w:left="0" w:firstLine="0"/>
        <w:jc w:val="left"/>
      </w:pPr>
      <w:r>
        <w:rPr>
          <w:rFonts w:ascii="Calibri" w:hAnsi="Calibri"/>
          <w:b/>
          <w:color w:val="566B56"/>
          <w:sz w:val="21"/>
        </w:rPr>
        <w:t>Sectores económicos</w:t>
      </w:r>
    </w:p>
    <w:p>
      <w:pPr>
        <w:keepNext/>
        <w:spacing w:after="40" w:line="276" w:lineRule="auto" w:before="160"/>
        <w:ind w:left="0" w:firstLine="0"/>
        <w:jc w:val="left"/>
      </w:pPr>
      <w:r>
        <w:rPr>
          <w:rFonts w:ascii="Calibri" w:hAnsi="Calibri"/>
          <w:b/>
          <w:color w:val="566B56"/>
          <w:sz w:val="21"/>
        </w:rPr>
        <w:t>Grupos de edad</w:t>
      </w:r>
    </w:p>
    <w:p>
      <w:pPr>
        <w:keepNext/>
        <w:spacing w:after="40" w:line="276" w:lineRule="auto" w:before="160"/>
        <w:ind w:left="0" w:firstLine="0"/>
        <w:jc w:val="left"/>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566B56"/>
          <w:sz w:val="21"/>
        </w:rPr>
        <w:t>Promoción de programas de aprendizaje dual</w:t>
      </w:r>
    </w:p>
    <w:p>
      <w:pPr>
        <w:keepNext/>
        <w:spacing w:after="40" w:line="276" w:lineRule="auto" w:before="160"/>
        <w:ind w:left="0" w:firstLine="0"/>
        <w:jc w:val="left"/>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6517744"/>
            <wp:docPr id="8" name="Picture 8"/>
            <wp:cNvGraphicFramePr>
              <a:graphicFrameLocks noChangeAspect="1"/>
            </wp:cNvGraphicFramePr>
            <a:graphic>
              <a:graphicData uri="http://schemas.openxmlformats.org/drawingml/2006/picture">
                <pic:pic>
                  <pic:nvPicPr>
                    <pic:cNvPr id="0" name="image7.png"/>
                    <pic:cNvPicPr/>
                  </pic:nvPicPr>
                  <pic:blipFill>
                    <a:blip r:embed="rId16"/>
                    <a:stretch>
                      <a:fillRect/>
                    </a:stretch>
                  </pic:blipFill>
                  <pic:spPr>
                    <a:xfrm>
                      <a:off x="0" y="0"/>
                      <a:ext cx="5669280" cy="6517744"/>
                    </a:xfrm>
                    <a:prstGeom prst="rect"/>
                  </pic:spPr>
                </pic:pic>
              </a:graphicData>
            </a:graphic>
          </wp:inline>
        </w:drawing>
      </w:r>
    </w:p>
    <w:p>
      <w:pPr>
        <w:keepNext/>
        <w:spacing w:before="0" w:after="20"/>
        <w:jc w:val="center"/>
      </w:pPr>
      <w:r>
        <w:rPr>
          <w:rFonts w:ascii="Poppins" w:hAnsi="Poppins"/>
          <w:b/>
          <w:color w:val="566B56"/>
          <w:sz w:val="18"/>
        </w:rPr>
        <w:t>Figura 1.7: La Tasa Natural de Desempleo (NAIRU) y equilibrio en el mercado de trabajo.</w:t>
      </w:r>
    </w:p>
    <w:p>
      <w:pPr>
        <w:spacing w:before="0" w:after="160"/>
        <w:jc w:val="center"/>
      </w:pPr>
      <w:r>
        <w:rPr>
          <w:rFonts w:ascii="Calibri" w:hAnsi="Calibri"/>
          <w:i/>
          <w:color w:val="6F8073"/>
          <w:sz w:val="16"/>
        </w:rPr>
        <w:t>Fuente: Elaboración propia para Políticas Sociolaborales (UPO).</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566B56"/>
          <w:sz w:val="21"/>
        </w:rPr>
        <w:t>= Tasa de inflación actual</w:t>
      </w:r>
    </w:p>
    <w:p>
      <w:pPr>
        <w:keepNext/>
        <w:spacing w:after="40" w:line="276" w:lineRule="auto" w:before="160"/>
        <w:ind w:left="0" w:firstLine="0"/>
        <w:jc w:val="left"/>
      </w:pPr>
      <w:r>
        <w:rPr>
          <w:rFonts w:ascii="Calibri" w:hAnsi="Calibri"/>
          <w:b/>
          <w:color w:val="566B56"/>
          <w:sz w:val="21"/>
        </w:rPr>
        <w:t>= Tasa de inflación esperada</w:t>
      </w:r>
    </w:p>
    <w:p>
      <w:pPr>
        <w:keepNext/>
        <w:spacing w:after="40" w:line="276" w:lineRule="auto" w:before="160"/>
        <w:ind w:left="0" w:firstLine="0"/>
        <w:jc w:val="left"/>
      </w:pPr>
      <w:r>
        <w:rPr>
          <w:rFonts w:ascii="Calibri" w:hAnsi="Calibri"/>
          <w:b/>
          <w:color w:val="566B56"/>
          <w:sz w:val="21"/>
        </w:rPr>
        <w:t>= Tasa de desempleo actual</w:t>
      </w:r>
    </w:p>
    <w:p>
      <w:pPr>
        <w:keepNext/>
        <w:spacing w:after="40" w:line="276" w:lineRule="auto" w:before="160"/>
        <w:ind w:left="0" w:firstLine="0"/>
        <w:jc w:val="left"/>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keepNext/>
        <w:spacing w:after="40" w:line="276" w:lineRule="auto" w:before="160"/>
        <w:ind w:left="0" w:firstLine="0"/>
        <w:jc w:val="left"/>
      </w:pPr>
      <w:r>
        <w:rPr>
          <w:rFonts w:ascii="Calibri" w:hAnsi="Calibri"/>
          <w:b/>
          <w:color w:val="566B56"/>
          <w:sz w:val="21"/>
        </w:rPr>
        <w:t>Si , se produce una reducción de la tasa de inflación</w:t>
      </w:r>
    </w:p>
    <w:p>
      <w:pPr>
        <w:keepNext/>
        <w:spacing w:after="40" w:line="276" w:lineRule="auto" w:before="160"/>
        <w:ind w:left="0" w:firstLine="0"/>
        <w:jc w:val="left"/>
      </w:pPr>
      <w:r>
        <w:rPr>
          <w:rFonts w:ascii="Calibri" w:hAnsi="Calibri"/>
          <w:b/>
          <w:color w:val="566B56"/>
          <w:sz w:val="21"/>
        </w:rPr>
        <w:t>Si , se produce un aumento de la tasa de inflación</w:t>
      </w:r>
    </w:p>
    <w:p>
      <w:pPr>
        <w:keepNext/>
        <w:spacing w:after="40" w:line="276" w:lineRule="auto" w:before="160"/>
        <w:ind w:left="0" w:firstLine="0"/>
        <w:jc w:val="left"/>
      </w:pPr>
      <w:r>
        <w:rPr>
          <w:rFonts w:ascii="Calibri" w:hAnsi="Calibri"/>
          <w:b/>
          <w:color w:val="566B56"/>
          <w:sz w:val="21"/>
        </w:rPr>
        <w:t>Si , la tasa de inflación no varía</w:t>
      </w:r>
    </w:p>
    <w:p>
      <w:pPr>
        <w:keepNext/>
        <w:spacing w:before="160" w:after="60"/>
        <w:jc w:val="center"/>
      </w:pPr>
      <w:r>
        <w:drawing>
          <wp:inline xmlns:a="http://schemas.openxmlformats.org/drawingml/2006/main" xmlns:pic="http://schemas.openxmlformats.org/drawingml/2006/picture">
            <wp:extent cx="5669280" cy="3618084"/>
            <wp:docPr id="9" name="Picture 9"/>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669280" cy="3618084"/>
                    </a:xfrm>
                    <a:prstGeom prst="rect"/>
                  </pic:spPr>
                </pic:pic>
              </a:graphicData>
            </a:graphic>
          </wp:inline>
        </w:drawing>
      </w:r>
    </w:p>
    <w:p>
      <w:pPr>
        <w:keepNext/>
        <w:spacing w:before="0" w:after="20"/>
        <w:jc w:val="center"/>
      </w:pPr>
      <w:r>
        <w:rPr>
          <w:rFonts w:ascii="Poppins" w:hAnsi="Poppins"/>
          <w:b/>
          <w:color w:val="566B56"/>
          <w:sz w:val="18"/>
        </w:rPr>
        <w:t>Figura 1.8: La Curva de Phillips y la hipótesis de la tasa natural de desempleo.</w:t>
      </w:r>
    </w:p>
    <w:p>
      <w:pPr>
        <w:spacing w:before="0" w:after="160"/>
        <w:jc w:val="center"/>
      </w:pPr>
      <w:r>
        <w:rPr>
          <w:rFonts w:ascii="Calibri" w:hAnsi="Calibri"/>
          <w:i/>
          <w:color w:val="6F8073"/>
          <w:sz w:val="16"/>
        </w:rPr>
        <w:t>Fuente: Elaboración propia a partir de Friedman y Phelps.</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4122045"/>
            <wp:docPr id="10" name="Picture 10"/>
            <wp:cNvGraphicFramePr>
              <a:graphicFrameLocks noChangeAspect="1"/>
            </wp:cNvGraphicFramePr>
            <a:graphic>
              <a:graphicData uri="http://schemas.openxmlformats.org/drawingml/2006/picture">
                <pic:pic>
                  <pic:nvPicPr>
                    <pic:cNvPr id="0" name="beveridge.png"/>
                    <pic:cNvPicPr/>
                  </pic:nvPicPr>
                  <pic:blipFill>
                    <a:blip r:embed="rId18"/>
                    <a:stretch>
                      <a:fillRect/>
                    </a:stretch>
                  </pic:blipFill>
                  <pic:spPr>
                    <a:xfrm>
                      <a:off x="0" y="0"/>
                      <a:ext cx="5669280" cy="4122045"/>
                    </a:xfrm>
                    <a:prstGeom prst="rect"/>
                  </pic:spPr>
                </pic:pic>
              </a:graphicData>
            </a:graphic>
          </wp:inline>
        </w:drawing>
      </w:r>
    </w:p>
    <w:p>
      <w:pPr>
        <w:keepNext/>
        <w:spacing w:before="0" w:after="20"/>
        <w:jc w:val="center"/>
      </w:pPr>
      <w:r>
        <w:rPr>
          <w:rFonts w:ascii="Poppins" w:hAnsi="Poppins"/>
          <w:b/>
          <w:color w:val="566B56"/>
          <w:sz w:val="18"/>
        </w:rPr>
        <w:t>Figura 1.9: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 Número de emparejamientos (contrataciones) por período</w:t>
      </w:r>
    </w:p>
    <w:p>
      <w:pPr>
        <w:keepNext/>
        <w:spacing w:after="40" w:line="276" w:lineRule="auto" w:before="160"/>
        <w:ind w:left="0" w:firstLine="0"/>
        <w:jc w:val="left"/>
      </w:pPr>
      <w:r>
        <w:rPr>
          <w:rFonts w:ascii="Calibri" w:hAnsi="Calibri"/>
          <w:b/>
          <w:color w:val="566B56"/>
          <w:sz w:val="21"/>
        </w:rPr>
        <w:t>= Número de desempleados al comienzo del período</w:t>
      </w:r>
    </w:p>
    <w:p>
      <w:pPr>
        <w:keepNext/>
        <w:spacing w:after="40" w:line="276" w:lineRule="auto" w:before="160"/>
        <w:ind w:left="0" w:firstLine="0"/>
        <w:jc w:val="left"/>
      </w:pPr>
      <w:r>
        <w:rPr>
          <w:rFonts w:ascii="Calibri" w:hAnsi="Calibri"/>
          <w:b/>
          <w:color w:val="566B56"/>
          <w:sz w:val="21"/>
        </w:rPr>
        <w:t>= Número de vacantes al comienzo del período</w:t>
      </w:r>
    </w:p>
    <w:p>
      <w:pPr>
        <w:keepNext/>
        <w:spacing w:after="40" w:line="276" w:lineRule="auto" w:before="160"/>
        <w:ind w:left="0" w:firstLine="0"/>
        <w:jc w:val="left"/>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keepNext/>
        <w:spacing w:before="160" w:after="60"/>
        <w:jc w:val="center"/>
      </w:pPr>
      <w:r>
        <w:drawing>
          <wp:inline xmlns:a="http://schemas.openxmlformats.org/drawingml/2006/main" xmlns:pic="http://schemas.openxmlformats.org/drawingml/2006/picture">
            <wp:extent cx="5669280" cy="4143553"/>
            <wp:docPr id="11" name="Picture 11"/>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669280" cy="4143553"/>
                    </a:xfrm>
                    <a:prstGeom prst="rect"/>
                  </pic:spPr>
                </pic:pic>
              </a:graphicData>
            </a:graphic>
          </wp:inline>
        </w:drawing>
      </w:r>
    </w:p>
    <w:p>
      <w:pPr>
        <w:keepNext/>
        <w:spacing w:before="0" w:after="20"/>
        <w:jc w:val="center"/>
      </w:pPr>
      <w:r>
        <w:rPr>
          <w:rFonts w:ascii="Poppins" w:hAnsi="Poppins"/>
          <w:b/>
          <w:color w:val="566B56"/>
          <w:sz w:val="18"/>
        </w:rPr>
        <w:t>Figura 1.10: Estimación empírica de la Curva de Beveridge en España (1980-2016).</w:t>
      </w:r>
    </w:p>
    <w:p>
      <w:pPr>
        <w:spacing w:before="0" w:after="160"/>
        <w:jc w:val="center"/>
      </w:pPr>
      <w:r>
        <w:rPr>
          <w:rFonts w:ascii="Calibri" w:hAnsi="Calibri"/>
          <w:i/>
          <w:color w:val="6F8073"/>
          <w:sz w:val="16"/>
        </w:rPr>
        <w:t>Fuente: Fundación de Estudios de Economía Aplicada (FEDEA, 2017).</w:t>
      </w:r>
    </w:p>
    <w:p>
      <w:pPr>
        <w:spacing w:after="90" w:line="276" w:lineRule="auto"/>
        <w:ind w:left="0" w:firstLine="0"/>
        <w:jc w:val="both"/>
      </w:pPr>
      <w:r>
        <w:rPr>
          <w:rFonts w:ascii="Calibri" w:hAnsi="Calibri"/>
          <w:b/>
          <w:color w:val="2F3A30"/>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keepNext/>
        <w:spacing w:before="160" w:after="60"/>
        <w:jc w:val="center"/>
      </w:pPr>
      <w:r>
        <w:drawing>
          <wp:inline xmlns:a="http://schemas.openxmlformats.org/drawingml/2006/main" xmlns:pic="http://schemas.openxmlformats.org/drawingml/2006/picture">
            <wp:extent cx="5669280" cy="4761309"/>
            <wp:docPr id="12" name="Picture 12"/>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669280" cy="4761309"/>
                    </a:xfrm>
                    <a:prstGeom prst="rect"/>
                  </pic:spPr>
                </pic:pic>
              </a:graphicData>
            </a:graphic>
          </wp:inline>
        </w:drawing>
      </w:r>
    </w:p>
    <w:p>
      <w:pPr>
        <w:keepNext/>
        <w:spacing w:before="0" w:after="20"/>
        <w:jc w:val="center"/>
      </w:pPr>
      <w:r>
        <w:rPr>
          <w:rFonts w:ascii="Poppins" w:hAnsi="Poppins"/>
          <w:b/>
          <w:color w:val="566B56"/>
          <w:sz w:val="18"/>
        </w:rPr>
        <w:t>Figura 1.11: Dinámica de la Curva de Beveridge española por subperiodos y efecto de la reforma de 2012.</w:t>
      </w:r>
    </w:p>
    <w:p>
      <w:pPr>
        <w:spacing w:before="0" w:after="160"/>
        <w:jc w:val="center"/>
      </w:pPr>
      <w:r>
        <w:rPr>
          <w:rFonts w:ascii="Calibri" w:hAnsi="Calibri"/>
          <w:i/>
          <w:color w:val="6F8073"/>
          <w:sz w:val="16"/>
        </w:rPr>
        <w:t>Fuente: FEDEA (2017), Colección Estudios sobre la Economía Española.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21"/>
      <w:footerReference w:type="default" r:id="rId22"/>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e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