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709"/>
        <w:gridCol w:w="4709"/>
      </w:tblGrid>
      <w:tr>
        <w:tc>
          <w:tcPr>
            <w:tcW w:type="dxa" w:w="6912"/>
          </w:tcPr>
          <w:p>
            <w:pPr>
              <w:spacing w:before="0" w:after="40"/>
            </w:pPr>
            <w:r>
              <w:rPr>
                <w:rFonts w:ascii="Poppins" w:hAnsi="Poppins"/>
                <w:b/>
                <w:color w:val="566B56"/>
                <w:sz w:val="18"/>
              </w:rPr>
              <w:t>UNIVERSIDAD PABLO DE OLAVIDE</w:t>
              <w:br/>
            </w:r>
            <w:r>
              <w:rPr>
                <w:rFonts w:ascii="Calibri" w:hAnsi="Calibri"/>
                <w:color w:val="76927A"/>
                <w:sz w:val="17"/>
              </w:rPr>
              <w:t>Facultad de Ciencias del Trabajo · Grado en RRLL y Recursos Humanos</w:t>
              <w:br/>
            </w:r>
            <w:r>
              <w:rPr>
                <w:rFonts w:ascii="Calibri" w:hAnsi="Calibri"/>
                <w:color w:val="2F3A30"/>
                <w:sz w:val="17"/>
              </w:rPr>
              <w:t>Políticas Sociolaborales y de Empleo (Código 102023) | Curso 2026-2027</w:t>
              <w:b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120" w:after="320"/>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br/>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spacing w:after="90" w:line="276" w:lineRule="auto"/>
        <w:ind w:left="0" w:firstLine="0"/>
        <w:jc w:val="both"/>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spacing w:after="90" w:line="276" w:lineRule="auto"/>
        <w:ind w:left="0" w:firstLine="0"/>
        <w:jc w:val="both"/>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spacing w:after="90" w:line="276" w:lineRule="auto"/>
        <w:ind w:left="0" w:firstLine="0"/>
        <w:jc w:val="both"/>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jc w:val="left"/>
      </w:pPr>
      <w:r>
        <w:rPr>
          <w:rFonts w:ascii="Poppins" w:hAnsi="Poppins"/>
          <w:b/>
          <w:color w:val="76927A"/>
          <w:sz w:val="25"/>
        </w:rPr>
        <w:t>1.2. Indicadores básicos del mercado de trabajo</w:t>
      </w:r>
    </w:p>
    <w:p>
      <w:pPr>
        <w:keepNext/>
        <w:spacing w:before="160" w:after="60"/>
        <w:jc w:val="center"/>
      </w:pPr>
      <w:r>
        <w:drawing>
          <wp:inline xmlns:a="http://schemas.openxmlformats.org/drawingml/2006/main" xmlns:pic="http://schemas.openxmlformats.org/drawingml/2006/picture">
            <wp:extent cx="5669280" cy="2872435"/>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2872435"/>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jc w:val="left"/>
      </w:pPr>
      <w:r>
        <w:rPr>
          <w:rFonts w:ascii="Poppins" w:hAnsi="Poppins"/>
          <w:b/>
          <w:color w:val="566B56"/>
          <w:sz w:val="22"/>
        </w:rPr>
        <w:t>1.2.1. Tasa de actividad: concepto y determinantes</w:t>
      </w:r>
    </w:p>
    <w:p>
      <w:pPr>
        <w:spacing w:after="90" w:line="276" w:lineRule="auto"/>
        <w:ind w:left="0" w:firstLine="0"/>
        <w:jc w:val="both"/>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spacing w:after="90" w:line="276" w:lineRule="auto"/>
        <w:ind w:left="0" w:firstLine="0"/>
        <w:jc w:val="both"/>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80"/>
              <w:jc w:val="left"/>
            </w:pPr>
            <w:r>
              <w:rPr>
                <w:rFonts w:ascii="Poppins" w:hAnsi="Poppins"/>
                <w:b/>
                <w:color w:val="566B56"/>
                <w:sz w:val="20"/>
              </w:rPr>
              <w:t>💭  PARADA REFLEXIVA: LÍMITES Y RANGOS DE VARIACIÓN DE LA TASA DE ACTIVIDAD</w:t>
              <w:br/>
            </w:r>
          </w:p>
          <w:p>
            <w:pPr>
              <w:spacing w:before="0" w:after="40" w:line="276" w:lineRule="auto"/>
              <w:jc w:val="both"/>
            </w:pPr>
            <w:r>
              <w:rPr>
                <w:rFonts w:ascii="Calibri" w:hAnsi="Calibri"/>
                <w:b/>
                <w:color w:val="566B56"/>
                <w:sz w:val="19"/>
              </w:rPr>
              <w:t>• ¿Puede ser negativa?</w:t>
              <w:br/>
            </w:r>
            <w:r>
              <w:rPr>
                <w:rFonts w:ascii="Calibri" w:hAnsi="Calibri"/>
                <w:color w:val="2F3A30"/>
                <w:sz w:val="19"/>
              </w:rPr>
              <w:t xml:space="preserve">  Teóricamente, la tasa de actividad no puede asumir valores negativos, ya que una población activa negativa carece de sentido práctico.</w:t>
            </w:r>
          </w:p>
          <w:p>
            <w:pPr>
              <w:spacing w:before="80" w:after="40" w:line="276" w:lineRule="auto"/>
              <w:jc w:val="both"/>
            </w:pPr>
            <w:r>
              <w:rPr>
                <w:rFonts w:ascii="Calibri" w:hAnsi="Calibri"/>
                <w:b/>
                <w:color w:val="566B56"/>
                <w:sz w:val="19"/>
              </w:rPr>
              <w:t>• ¿Es razonable que sea cero?</w:t>
              <w:br/>
            </w:r>
            <w:r>
              <w:rPr>
                <w:rFonts w:ascii="Calibri" w:hAnsi="Calibri"/>
                <w:color w:val="2F3A30"/>
                <w:sz w:val="19"/>
              </w:rPr>
              <w:t xml:space="preserve">  Una tasa de actividad del 0% indicaría que ninguna persona en edad de trabajar está buscando empleo ni trabajando, lo cual sería un escenario extremadamente raro y poco realista en cualquier economía moderna.</w:t>
            </w:r>
          </w:p>
          <w:p>
            <w:pPr>
              <w:spacing w:before="80" w:after="40" w:line="276" w:lineRule="auto"/>
              <w:jc w:val="both"/>
            </w:pPr>
            <w:r>
              <w:rPr>
                <w:rFonts w:ascii="Calibri" w:hAnsi="Calibri"/>
                <w:b/>
                <w:color w:val="566B56"/>
                <w:sz w:val="19"/>
              </w:rPr>
              <w:t>• ¿Es razonable que sea del 20%?</w:t>
              <w:br/>
            </w:r>
            <w:r>
              <w:rPr>
                <w:rFonts w:ascii="Calibri" w:hAnsi="Calibri"/>
                <w:color w:val="2F3A30"/>
                <w:sz w:val="19"/>
              </w:rPr>
              <w:t xml:space="preserve">  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spacing w:after="90" w:line="276" w:lineRule="auto"/>
        <w:ind w:left="0" w:firstLine="0"/>
        <w:jc w:val="both"/>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spacing w:after="90" w:line="276" w:lineRule="auto"/>
        <w:ind w:left="0" w:firstLine="0"/>
        <w:jc w:val="both"/>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spacing w:after="90" w:line="276" w:lineRule="auto"/>
        <w:ind w:left="0" w:firstLine="0"/>
        <w:jc w:val="both"/>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b/>
          <w:color w:val="566B56"/>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spacing w:after="90" w:line="276" w:lineRule="auto"/>
        <w:ind w:left="0" w:firstLine="0"/>
        <w:jc w:val="both"/>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spacing w:after="90" w:line="276" w:lineRule="auto"/>
        <w:ind w:left="0" w:firstLine="0"/>
        <w:jc w:val="both"/>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spacing w:after="90" w:line="276" w:lineRule="auto"/>
        <w:ind w:left="0" w:firstLine="0"/>
        <w:jc w:val="both"/>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jc w:val="left"/>
      </w:pPr>
      <w:r>
        <w:rPr>
          <w:rFonts w:ascii="Poppins" w:hAnsi="Poppins"/>
          <w:b/>
          <w:color w:val="76927A"/>
          <w:sz w:val="25"/>
        </w:rPr>
        <w:t>2.1. El PIB como medida de la actividad económica</w:t>
      </w:r>
    </w:p>
    <w:p>
      <w:pPr>
        <w:spacing w:after="90" w:line="276" w:lineRule="auto"/>
        <w:ind w:left="0" w:firstLine="0"/>
        <w:jc w:val="both"/>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spacing w:after="90" w:line="276" w:lineRule="auto"/>
        <w:ind w:left="0" w:firstLine="0"/>
        <w:jc w:val="both"/>
      </w:pPr>
      <w:r>
        <w:rPr>
          <w:rFonts w:ascii="Calibri" w:hAnsi="Calibri"/>
          <w:b/>
          <w:color w:val="566B56"/>
          <w:sz w:val="21"/>
        </w:rPr>
        <w:t>El valor añadido en cada etapa de producción</w:t>
      </w:r>
    </w:p>
    <w:p>
      <w:pPr>
        <w:spacing w:after="90" w:line="276" w:lineRule="auto"/>
        <w:ind w:left="0" w:firstLine="0"/>
        <w:jc w:val="both"/>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spacing w:after="90" w:line="276" w:lineRule="auto"/>
        <w:ind w:left="0" w:firstLine="0"/>
        <w:jc w:val="both"/>
      </w:pPr>
      <w:r>
        <w:rPr>
          <w:rFonts w:ascii="Calibri" w:hAnsi="Calibri"/>
          <w:b/>
          <w:color w:val="566B56"/>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566B56"/>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spacing w:after="90" w:line="276" w:lineRule="auto"/>
        <w:ind w:left="0" w:firstLine="0"/>
        <w:jc w:val="both"/>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b/>
          <w:color w:val="566B56"/>
          <w:sz w:val="21"/>
        </w:rPr>
        <w:t>VAB es el Valor Agregado Bruto</w:t>
      </w:r>
    </w:p>
    <w:p>
      <w:pPr>
        <w:spacing w:after="90" w:line="276" w:lineRule="auto"/>
        <w:ind w:left="0" w:firstLine="0"/>
        <w:jc w:val="both"/>
      </w:pPr>
      <w:r>
        <w:rPr>
          <w:rFonts w:ascii="Calibri" w:hAnsi="Calibri"/>
          <w:b/>
          <w:color w:val="566B56"/>
          <w:sz w:val="21"/>
        </w:rPr>
        <w:t>Impuestos son aquellos aplicados a los productos</w:t>
      </w:r>
    </w:p>
    <w:p>
      <w:pPr>
        <w:spacing w:after="90" w:line="276" w:lineRule="auto"/>
        <w:ind w:left="0" w:firstLine="0"/>
        <w:jc w:val="both"/>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spacing w:after="90" w:line="276" w:lineRule="auto"/>
        <w:ind w:left="0" w:firstLine="0"/>
        <w:jc w:val="both"/>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b/>
          <w:color w:val="566B56"/>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spacing w:after="90" w:line="276" w:lineRule="auto"/>
        <w:ind w:left="0" w:firstLine="0"/>
        <w:jc w:val="both"/>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spacing w:after="90" w:line="276" w:lineRule="auto"/>
        <w:ind w:left="0" w:firstLine="0"/>
        <w:jc w:val="both"/>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566B56"/>
          <w:sz w:val="21"/>
        </w:rPr>
        <w:t>Limitaciones importantes:</w:t>
      </w:r>
    </w:p>
    <w:p>
      <w:pPr>
        <w:spacing w:after="90" w:line="276" w:lineRule="auto"/>
        <w:ind w:left="0" w:firstLine="0"/>
        <w:jc w:val="both"/>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spacing w:after="90" w:line="276" w:lineRule="auto"/>
        <w:ind w:left="0" w:firstLine="0"/>
        <w:jc w:val="both"/>
      </w:pPr>
      <w:r>
        <w:rPr>
          <w:rFonts w:ascii="Calibri" w:hAnsi="Calibri"/>
          <w:b/>
          <w:color w:val="566B56"/>
          <w:sz w:val="21"/>
        </w:rPr>
        <w:t>No captura la economía informal</w:t>
      </w:r>
    </w:p>
    <w:p>
      <w:pPr>
        <w:pStyle w:val="Heading2"/>
        <w:jc w:val="left"/>
      </w:pPr>
      <w:r>
        <w:rPr>
          <w:rFonts w:ascii="Poppins" w:hAnsi="Poppins"/>
          <w:b/>
          <w:color w:val="76927A"/>
          <w:sz w:val="25"/>
        </w:rPr>
        <w:t>2.2. Productividad y mercado de trabajo</w:t>
      </w:r>
    </w:p>
    <w:p>
      <w:pPr>
        <w:spacing w:after="90" w:line="276" w:lineRule="auto"/>
        <w:ind w:left="0" w:firstLine="0"/>
        <w:jc w:val="both"/>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566B56"/>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spacing w:after="90" w:line="276" w:lineRule="auto"/>
        <w:ind w:left="0" w:firstLine="0"/>
        <w:jc w:val="both"/>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spacing w:after="90" w:line="276" w:lineRule="auto"/>
        <w:ind w:left="0" w:firstLine="0"/>
        <w:jc w:val="both"/>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spacing w:after="90" w:line="276" w:lineRule="auto"/>
        <w:ind w:left="0" w:firstLine="0"/>
        <w:jc w:val="both"/>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spacing w:after="90" w:line="276" w:lineRule="auto"/>
        <w:ind w:left="0" w:firstLine="0"/>
        <w:jc w:val="both"/>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566B56"/>
          <w:sz w:val="21"/>
        </w:rPr>
        <w:t>Características del empleo de alto valor añadido:</w:t>
      </w:r>
    </w:p>
    <w:p>
      <w:pPr>
        <w:spacing w:after="90" w:line="276" w:lineRule="auto"/>
        <w:ind w:left="0" w:firstLine="0"/>
        <w:jc w:val="both"/>
      </w:pPr>
      <w:r>
        <w:rPr>
          <w:rFonts w:ascii="Calibri" w:hAnsi="Calibri"/>
          <w:b/>
          <w:color w:val="566B56"/>
          <w:sz w:val="21"/>
        </w:rPr>
        <w:t>Mejores salarios y mayor estabilidad laboral</w:t>
      </w:r>
    </w:p>
    <w:p>
      <w:pPr>
        <w:spacing w:after="90" w:line="276" w:lineRule="auto"/>
        <w:ind w:left="0" w:firstLine="0"/>
        <w:jc w:val="both"/>
      </w:pPr>
      <w:r>
        <w:rPr>
          <w:rFonts w:ascii="Calibri" w:hAnsi="Calibri"/>
          <w:b/>
          <w:color w:val="566B56"/>
          <w:sz w:val="21"/>
        </w:rPr>
        <w:t>Habilidades demandadas menos manuales y repetitivas</w:t>
      </w:r>
    </w:p>
    <w:p>
      <w:pPr>
        <w:spacing w:after="90" w:line="276" w:lineRule="auto"/>
        <w:ind w:left="0" w:firstLine="0"/>
        <w:jc w:val="both"/>
      </w:pPr>
      <w:r>
        <w:rPr>
          <w:rFonts w:ascii="Calibri" w:hAnsi="Calibri"/>
          <w:b/>
          <w:color w:val="566B56"/>
          <w:sz w:val="21"/>
        </w:rPr>
        <w:t>Menor grado de sustitución de trabajadores</w:t>
      </w:r>
    </w:p>
    <w:p>
      <w:pPr>
        <w:spacing w:after="90" w:line="276" w:lineRule="auto"/>
        <w:ind w:left="0" w:firstLine="0"/>
        <w:jc w:val="both"/>
      </w:pPr>
      <w:r>
        <w:rPr>
          <w:rFonts w:ascii="Calibri" w:hAnsi="Calibri"/>
          <w:b/>
          <w:color w:val="566B56"/>
          <w:sz w:val="21"/>
        </w:rPr>
        <w:t>Tipos de contratos más estables</w:t>
      </w:r>
    </w:p>
    <w:p>
      <w:pPr>
        <w:spacing w:after="90" w:line="276" w:lineRule="auto"/>
        <w:ind w:left="0" w:firstLine="0"/>
        <w:jc w:val="both"/>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spacing w:after="90" w:line="276" w:lineRule="auto"/>
        <w:ind w:left="0" w:firstLine="0"/>
        <w:jc w:val="both"/>
      </w:pPr>
      <w:r>
        <w:rPr>
          <w:rFonts w:ascii="Calibri" w:hAnsi="Calibri"/>
          <w:b/>
          <w:color w:val="566B56"/>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jc w:val="left"/>
      </w:pPr>
      <w:r>
        <w:rPr>
          <w:rFonts w:ascii="Poppins" w:hAnsi="Poppins"/>
          <w:b/>
          <w:color w:val="76927A"/>
          <w:sz w:val="25"/>
        </w:rPr>
        <w:t>2.3. Estructura productiva y empleo de calidad</w:t>
      </w:r>
    </w:p>
    <w:p>
      <w:pPr>
        <w:spacing w:after="90" w:line="276" w:lineRule="auto"/>
        <w:ind w:left="0" w:firstLine="0"/>
        <w:jc w:val="both"/>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spacing w:after="90" w:line="276" w:lineRule="auto"/>
        <w:ind w:left="0" w:firstLine="0"/>
        <w:jc w:val="both"/>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spacing w:after="90" w:line="276" w:lineRule="auto"/>
        <w:ind w:left="0" w:firstLine="0"/>
        <w:jc w:val="both"/>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566B56"/>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spacing w:after="90" w:line="276" w:lineRule="auto"/>
        <w:ind w:left="0" w:firstLine="0"/>
        <w:jc w:val="both"/>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jc w:val="left"/>
      </w:pPr>
      <w:r>
        <w:rPr>
          <w:rFonts w:ascii="Poppins" w:hAnsi="Poppins"/>
          <w:b/>
          <w:color w:val="76927A"/>
          <w:sz w:val="25"/>
        </w:rPr>
        <w:t>3.2. Determinación de salarios</w:t>
      </w:r>
    </w:p>
    <w:p>
      <w:pPr>
        <w:spacing w:after="90" w:line="276" w:lineRule="auto"/>
        <w:ind w:left="0" w:firstLine="0"/>
        <w:jc w:val="both"/>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spacing w:after="90" w:line="276" w:lineRule="auto"/>
        <w:ind w:left="0" w:firstLine="0"/>
        <w:jc w:val="both"/>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jc w:val="left"/>
      </w:pPr>
      <w:r>
        <w:rPr>
          <w:rFonts w:ascii="Poppins" w:hAnsi="Poppins"/>
          <w:b/>
          <w:color w:val="76927A"/>
          <w:sz w:val="25"/>
        </w:rPr>
        <w:t>3.3. El papel de la negociación colectiva</w:t>
      </w:r>
    </w:p>
    <w:p>
      <w:pPr>
        <w:spacing w:after="90" w:line="276" w:lineRule="auto"/>
        <w:ind w:left="0" w:firstLine="0"/>
        <w:jc w:val="both"/>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spacing w:after="90" w:line="276" w:lineRule="auto"/>
        <w:ind w:left="0" w:firstLine="0"/>
        <w:jc w:val="both"/>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spacing w:after="90" w:line="276" w:lineRule="auto"/>
        <w:ind w:left="0" w:firstLine="0"/>
        <w:jc w:val="both"/>
      </w:pPr>
      <w:r>
        <w:rPr>
          <w:rFonts w:ascii="Calibri" w:hAnsi="Calibri"/>
          <w:b/>
          <w:color w:val="566B56"/>
          <w:sz w:val="21"/>
        </w:rPr>
        <w:t>Bienestar social y condiciones de trabajo</w:t>
      </w:r>
    </w:p>
    <w:p>
      <w:pPr>
        <w:spacing w:after="90" w:line="276" w:lineRule="auto"/>
        <w:ind w:left="0" w:firstLine="0"/>
        <w:jc w:val="both"/>
      </w:pPr>
      <w:r>
        <w:rPr>
          <w:rFonts w:ascii="Calibri" w:hAnsi="Calibri"/>
          <w:b/>
          <w:color w:val="566B56"/>
          <w:sz w:val="21"/>
        </w:rPr>
        <w:t>Productividad empresarial y competitividad</w:t>
      </w:r>
    </w:p>
    <w:p>
      <w:pPr>
        <w:spacing w:after="90" w:line="276" w:lineRule="auto"/>
        <w:ind w:left="0" w:firstLine="0"/>
        <w:jc w:val="both"/>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spacing w:after="90" w:line="276" w:lineRule="auto"/>
        <w:ind w:left="0" w:firstLine="0"/>
        <w:jc w:val="both"/>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spacing w:after="90" w:line="276" w:lineRule="auto"/>
        <w:ind w:left="0" w:firstLine="0"/>
        <w:jc w:val="both"/>
      </w:pPr>
      <w:r>
        <w:rPr>
          <w:rFonts w:ascii="Calibri" w:hAnsi="Calibri"/>
          <w:b/>
          <w:color w:val="566B56"/>
          <w:sz w:val="21"/>
        </w:rPr>
        <w:t>Las tradiciones laborales y cultura empresarial</w:t>
      </w:r>
    </w:p>
    <w:p>
      <w:pPr>
        <w:spacing w:after="90" w:line="276" w:lineRule="auto"/>
        <w:ind w:left="0" w:firstLine="0"/>
        <w:jc w:val="both"/>
      </w:pPr>
      <w:r>
        <w:rPr>
          <w:rFonts w:ascii="Calibri" w:hAnsi="Calibri"/>
          <w:b/>
          <w:color w:val="566B56"/>
          <w:sz w:val="21"/>
        </w:rPr>
        <w:t>El marco legal e institucional</w:t>
      </w:r>
    </w:p>
    <w:p>
      <w:pPr>
        <w:spacing w:after="90" w:line="276" w:lineRule="auto"/>
        <w:ind w:left="0" w:firstLine="0"/>
        <w:jc w:val="both"/>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jc w:val="left"/>
      </w:pPr>
      <w:r>
        <w:rPr>
          <w:rFonts w:ascii="Poppins" w:hAnsi="Poppins"/>
          <w:b/>
          <w:color w:val="76927A"/>
          <w:sz w:val="25"/>
        </w:rPr>
        <w:t>3.4. Factores que influyen en el equilibrio laboral</w:t>
      </w:r>
    </w:p>
    <w:p>
      <w:pPr>
        <w:spacing w:after="90" w:line="276" w:lineRule="auto"/>
        <w:ind w:left="0" w:firstLine="0"/>
        <w:jc w:val="both"/>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spacing w:after="90" w:line="276" w:lineRule="auto"/>
        <w:ind w:left="0" w:firstLine="0"/>
        <w:jc w:val="both"/>
      </w:pPr>
      <w:r>
        <w:rPr>
          <w:rFonts w:ascii="Calibri" w:hAnsi="Calibri"/>
          <w:b/>
          <w:color w:val="566B56"/>
          <w:sz w:val="21"/>
        </w:rPr>
        <w:t>Salarios bajos y pobreza laboral</w:t>
      </w:r>
    </w:p>
    <w:p>
      <w:pPr>
        <w:spacing w:after="90" w:line="276" w:lineRule="auto"/>
        <w:ind w:left="0" w:firstLine="0"/>
        <w:jc w:val="both"/>
      </w:pPr>
      <w:r>
        <w:rPr>
          <w:rFonts w:ascii="Calibri" w:hAnsi="Calibri"/>
          <w:b/>
          <w:color w:val="566B56"/>
          <w:sz w:val="21"/>
        </w:rPr>
        <w:t>Desigualdad salarial excesiva</w:t>
      </w:r>
    </w:p>
    <w:p>
      <w:pPr>
        <w:spacing w:after="90" w:line="276" w:lineRule="auto"/>
        <w:ind w:left="0" w:firstLine="0"/>
        <w:jc w:val="both"/>
      </w:pPr>
      <w:r>
        <w:rPr>
          <w:rFonts w:ascii="Calibri" w:hAnsi="Calibri"/>
          <w:b/>
          <w:color w:val="566B56"/>
          <w:sz w:val="21"/>
        </w:rPr>
        <w:t>Exclusión de grupos vulnerables del mercado laboral</w:t>
      </w:r>
    </w:p>
    <w:p>
      <w:pPr>
        <w:spacing w:after="90" w:line="276" w:lineRule="auto"/>
        <w:ind w:left="0" w:firstLine="0"/>
        <w:jc w:val="both"/>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566B56"/>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spacing w:after="90" w:line="276" w:lineRule="auto"/>
        <w:ind w:left="0" w:firstLine="0"/>
        <w:jc w:val="both"/>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jc w:val="left"/>
      </w:pPr>
      <w:r>
        <w:rPr>
          <w:rFonts w:ascii="Poppins" w:hAnsi="Poppins"/>
          <w:b/>
          <w:color w:val="76927A"/>
          <w:sz w:val="25"/>
        </w:rPr>
        <w:t>4.1. Desempleo friccional</w:t>
      </w:r>
    </w:p>
    <w:p>
      <w:pPr>
        <w:pStyle w:val="Heading3"/>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566B56"/>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spacing w:after="90" w:line="276" w:lineRule="auto"/>
        <w:ind w:left="0" w:firstLine="0"/>
        <w:jc w:val="both"/>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spacing w:after="90" w:line="276" w:lineRule="auto"/>
        <w:ind w:left="0" w:firstLine="0"/>
        <w:jc w:val="both"/>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jc w:val="left"/>
      </w:pPr>
      <w:r>
        <w:rPr>
          <w:rFonts w:ascii="Poppins" w:hAnsi="Poppins"/>
          <w:b/>
          <w:color w:val="76927A"/>
          <w:sz w:val="25"/>
        </w:rPr>
        <w:t>4.2. Desempleo estructural</w:t>
      </w:r>
    </w:p>
    <w:p>
      <w:pPr>
        <w:pStyle w:val="Heading3"/>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566B56"/>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566B56"/>
          <w:sz w:val="21"/>
        </w:rPr>
        <w:t>Determinantes principales del paro estructural:</w:t>
      </w:r>
    </w:p>
    <w:p>
      <w:pPr>
        <w:spacing w:after="90" w:line="276" w:lineRule="auto"/>
        <w:ind w:left="0" w:firstLine="0"/>
        <w:jc w:val="both"/>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spacing w:after="90" w:line="276" w:lineRule="auto"/>
        <w:ind w:left="0" w:firstLine="0"/>
        <w:jc w:val="both"/>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spacing w:after="90" w:line="276" w:lineRule="auto"/>
        <w:ind w:left="0" w:firstLine="0"/>
        <w:jc w:val="both"/>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spacing w:after="90" w:line="276" w:lineRule="auto"/>
        <w:ind w:left="0" w:firstLine="0"/>
        <w:jc w:val="both"/>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spacing w:after="90" w:line="276" w:lineRule="auto"/>
        <w:ind w:left="0" w:firstLine="0"/>
        <w:jc w:val="both"/>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spacing w:after="90" w:line="276" w:lineRule="auto"/>
        <w:ind w:left="0" w:firstLine="0"/>
        <w:jc w:val="both"/>
      </w:pPr>
      <w:r>
        <w:rPr>
          <w:rFonts w:ascii="Calibri" w:hAnsi="Calibri"/>
          <w:b/>
          <w:color w:val="566B56"/>
          <w:sz w:val="21"/>
        </w:rPr>
        <w:t>Experimentar deterioro de sus habilidades</w:t>
      </w:r>
    </w:p>
    <w:p>
      <w:pPr>
        <w:spacing w:after="90" w:line="276" w:lineRule="auto"/>
        <w:ind w:left="0" w:firstLine="0"/>
        <w:jc w:val="both"/>
      </w:pPr>
      <w:r>
        <w:rPr>
          <w:rFonts w:ascii="Calibri" w:hAnsi="Calibri"/>
          <w:b/>
          <w:color w:val="566B56"/>
          <w:sz w:val="21"/>
        </w:rPr>
        <w:t>Perder contactos profesionales</w:t>
      </w:r>
    </w:p>
    <w:p>
      <w:pPr>
        <w:spacing w:after="90" w:line="276" w:lineRule="auto"/>
        <w:ind w:left="0" w:firstLine="0"/>
        <w:jc w:val="both"/>
      </w:pPr>
      <w:r>
        <w:rPr>
          <w:rFonts w:ascii="Calibri" w:hAnsi="Calibri"/>
          <w:b/>
          <w:color w:val="566B56"/>
          <w:sz w:val="21"/>
        </w:rPr>
        <w:t>Sufrir estigmatización por parte de los empleadores</w:t>
      </w:r>
    </w:p>
    <w:p>
      <w:pPr>
        <w:spacing w:after="90" w:line="276" w:lineRule="auto"/>
        <w:ind w:left="0" w:firstLine="0"/>
        <w:jc w:val="both"/>
      </w:pPr>
      <w:r>
        <w:rPr>
          <w:rFonts w:ascii="Calibri" w:hAnsi="Calibri"/>
          <w:b/>
          <w:color w:val="566B56"/>
          <w:sz w:val="21"/>
        </w:rPr>
        <w:t>Desarrollar comportamientos de búsqueda menos intensos</w:t>
      </w:r>
    </w:p>
    <w:p>
      <w:pPr>
        <w:spacing w:after="90" w:line="276" w:lineRule="auto"/>
        <w:ind w:left="0" w:firstLine="0"/>
        <w:jc w:val="both"/>
      </w:pPr>
      <w:r>
        <w:rPr>
          <w:rFonts w:ascii="Calibri" w:hAnsi="Calibri"/>
          <w:b/>
          <w:color w:val="566B56"/>
          <w:sz w:val="21"/>
        </w:rPr>
        <w:t>Retirarse completamente de la fuerza laboral</w:t>
      </w:r>
    </w:p>
    <w:p>
      <w:pPr>
        <w:pStyle w:val="Heading3"/>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spacing w:after="90" w:line="276" w:lineRule="auto"/>
        <w:ind w:left="0" w:firstLine="0"/>
        <w:jc w:val="both"/>
      </w:pPr>
      <w:r>
        <w:rPr>
          <w:rFonts w:ascii="Calibri" w:hAnsi="Calibri"/>
          <w:b/>
          <w:color w:val="566B56"/>
          <w:sz w:val="21"/>
        </w:rPr>
        <w:t>Niveles educativos</w:t>
      </w:r>
    </w:p>
    <w:p>
      <w:pPr>
        <w:spacing w:after="90" w:line="276" w:lineRule="auto"/>
        <w:ind w:left="0" w:firstLine="0"/>
        <w:jc w:val="both"/>
      </w:pPr>
      <w:r>
        <w:rPr>
          <w:rFonts w:ascii="Calibri" w:hAnsi="Calibri"/>
          <w:b/>
          <w:color w:val="566B56"/>
          <w:sz w:val="21"/>
        </w:rPr>
        <w:t>Sectores económicos</w:t>
      </w:r>
    </w:p>
    <w:p>
      <w:pPr>
        <w:spacing w:after="90" w:line="276" w:lineRule="auto"/>
        <w:ind w:left="0" w:firstLine="0"/>
        <w:jc w:val="both"/>
      </w:pPr>
      <w:r>
        <w:rPr>
          <w:rFonts w:ascii="Calibri" w:hAnsi="Calibri"/>
          <w:b/>
          <w:color w:val="566B56"/>
          <w:sz w:val="21"/>
        </w:rPr>
        <w:t>Grupos de edad</w:t>
      </w:r>
    </w:p>
    <w:p>
      <w:pPr>
        <w:spacing w:after="90" w:line="276" w:lineRule="auto"/>
        <w:ind w:left="0" w:firstLine="0"/>
        <w:jc w:val="both"/>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spacing w:after="90" w:line="276" w:lineRule="auto"/>
        <w:ind w:left="0" w:firstLine="0"/>
        <w:jc w:val="both"/>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spacing w:after="90" w:line="276" w:lineRule="auto"/>
        <w:ind w:left="0" w:firstLine="0"/>
        <w:jc w:val="both"/>
      </w:pPr>
      <w:r>
        <w:rPr>
          <w:rFonts w:ascii="Calibri" w:hAnsi="Calibri"/>
          <w:b/>
          <w:color w:val="566B56"/>
          <w:sz w:val="21"/>
        </w:rPr>
        <w:t>Promoción de programas de aprendizaje dual</w:t>
      </w:r>
    </w:p>
    <w:p>
      <w:pPr>
        <w:spacing w:after="90" w:line="276" w:lineRule="auto"/>
        <w:ind w:left="0" w:firstLine="0"/>
        <w:jc w:val="both"/>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spacing w:after="90" w:line="276" w:lineRule="auto"/>
        <w:ind w:left="0" w:firstLine="0"/>
        <w:jc w:val="both"/>
      </w:pPr>
      <w:r>
        <w:rPr>
          <w:rFonts w:ascii="Calibri" w:hAnsi="Calibri"/>
          <w:b/>
          <w:color w:val="566B56"/>
          <w:sz w:val="21"/>
        </w:rPr>
        <w:t>Reducción de barreras a la movilidad laboral</w:t>
      </w:r>
    </w:p>
    <w:p>
      <w:pPr>
        <w:pStyle w:val="Heading2"/>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566B56"/>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566B56"/>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566B56"/>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566B56"/>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566B56"/>
          <w:sz w:val="21"/>
        </w:rPr>
        <w:t>Políticas para el desempleo estacional:</w:t>
      </w:r>
    </w:p>
    <w:p>
      <w:pPr>
        <w:spacing w:after="90" w:line="276" w:lineRule="auto"/>
        <w:ind w:left="0" w:firstLine="0"/>
        <w:jc w:val="both"/>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spacing w:after="90" w:line="276" w:lineRule="auto"/>
        <w:ind w:left="0" w:firstLine="0"/>
        <w:jc w:val="both"/>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spacing w:after="90" w:line="276" w:lineRule="auto"/>
        <w:ind w:left="0" w:firstLine="0"/>
        <w:jc w:val="both"/>
      </w:pPr>
      <w:r>
        <w:rPr>
          <w:rFonts w:ascii="Calibri" w:hAnsi="Calibri"/>
          <w:b/>
          <w:color w:val="566B56"/>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b/>
          <w:color w:val="566B56"/>
          <w:sz w:val="21"/>
        </w:rPr>
        <w:t>= Tasa de inflación actual</w:t>
      </w:r>
    </w:p>
    <w:p>
      <w:pPr>
        <w:spacing w:after="90" w:line="276" w:lineRule="auto"/>
        <w:ind w:left="0" w:firstLine="0"/>
        <w:jc w:val="both"/>
      </w:pPr>
      <w:r>
        <w:rPr>
          <w:rFonts w:ascii="Calibri" w:hAnsi="Calibri"/>
          <w:b/>
          <w:color w:val="566B56"/>
          <w:sz w:val="21"/>
        </w:rPr>
        <w:t>= Tasa de inflación esperada</w:t>
      </w:r>
    </w:p>
    <w:p>
      <w:pPr>
        <w:spacing w:after="90" w:line="276" w:lineRule="auto"/>
        <w:ind w:left="0" w:firstLine="0"/>
        <w:jc w:val="both"/>
      </w:pPr>
      <w:r>
        <w:rPr>
          <w:rFonts w:ascii="Calibri" w:hAnsi="Calibri"/>
          <w:b/>
          <w:color w:val="566B56"/>
          <w:sz w:val="21"/>
        </w:rPr>
        <w:t>= Tasa de desempleo actual</w:t>
      </w:r>
    </w:p>
    <w:p>
      <w:pPr>
        <w:spacing w:after="90" w:line="276" w:lineRule="auto"/>
        <w:ind w:left="0" w:firstLine="0"/>
        <w:jc w:val="both"/>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566B56"/>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566B56"/>
          <w:sz w:val="21"/>
        </w:rPr>
        <w:t>Desviaciones de la NAIRU:</w:t>
      </w:r>
    </w:p>
    <w:p>
      <w:pPr>
        <w:spacing w:after="90" w:line="276" w:lineRule="auto"/>
        <w:ind w:left="0" w:firstLine="0"/>
        <w:jc w:val="both"/>
      </w:pPr>
      <w:r>
        <w:rPr>
          <w:rFonts w:ascii="Calibri" w:hAnsi="Calibri"/>
          <w:b/>
          <w:color w:val="566B56"/>
          <w:sz w:val="21"/>
        </w:rPr>
        <w:t>Si , se produce una reducción de la tasa de inflación</w:t>
      </w:r>
    </w:p>
    <w:p>
      <w:pPr>
        <w:spacing w:after="90" w:line="276" w:lineRule="auto"/>
        <w:ind w:left="0" w:firstLine="0"/>
        <w:jc w:val="both"/>
      </w:pPr>
      <w:r>
        <w:rPr>
          <w:rFonts w:ascii="Calibri" w:hAnsi="Calibri"/>
          <w:b/>
          <w:color w:val="566B56"/>
          <w:sz w:val="21"/>
        </w:rPr>
        <w:t>Si , se produce un aumento de la tasa de inflación</w:t>
      </w:r>
    </w:p>
    <w:p>
      <w:pPr>
        <w:spacing w:after="90" w:line="276" w:lineRule="auto"/>
        <w:ind w:left="0" w:firstLine="0"/>
        <w:jc w:val="both"/>
      </w:pPr>
      <w:r>
        <w:rPr>
          <w:rFonts w:ascii="Calibri" w:hAnsi="Calibri"/>
          <w:b/>
          <w:color w:val="566B56"/>
          <w:sz w:val="21"/>
        </w:rPr>
        <w:t>Si , la tasa de inflación no varía</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566B56"/>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566B56"/>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566B56"/>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br/>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jc w:val="left"/>
      </w:pPr>
      <w:r>
        <w:rPr>
          <w:rFonts w:ascii="Poppins" w:hAnsi="Poppins"/>
          <w:b/>
          <w:color w:val="76927A"/>
          <w:sz w:val="25"/>
        </w:rPr>
        <w:t>6.0. Dinámica de Stocks y Flujos: la Ecuación de Equilibrio del Desempleo</w:t>
      </w:r>
    </w:p>
    <w:p>
      <w:pPr>
        <w:keepNext/>
        <w:spacing w:before="160" w:after="60"/>
        <w:jc w:val="center"/>
      </w:pPr>
      <w:r>
        <w:drawing>
          <wp:inline xmlns:a="http://schemas.openxmlformats.org/drawingml/2006/main" xmlns:pic="http://schemas.openxmlformats.org/drawingml/2006/picture">
            <wp:extent cx="5669280" cy="3628339"/>
            <wp:docPr id="3" name="Picture 3"/>
            <wp:cNvGraphicFramePr>
              <a:graphicFrameLocks noChangeAspect="1"/>
            </wp:cNvGraphicFramePr>
            <a:graphic>
              <a:graphicData uri="http://schemas.openxmlformats.org/drawingml/2006/picture">
                <pic:pic>
                  <pic:nvPicPr>
                    <pic:cNvPr id="0" name="beveridge.png"/>
                    <pic:cNvPicPr/>
                  </pic:nvPicPr>
                  <pic:blipFill>
                    <a:blip r:embed="rId11"/>
                    <a:stretch>
                      <a:fillRect/>
                    </a:stretch>
                  </pic:blipFill>
                  <pic:spPr>
                    <a:xfrm>
                      <a:off x="0" y="0"/>
                      <a:ext cx="5669280" cy="3628339"/>
                    </a:xfrm>
                    <a:prstGeom prst="rect"/>
                  </pic:spPr>
                </pic:pic>
              </a:graphicData>
            </a:graphic>
          </wp:inline>
        </w:drawing>
      </w:r>
    </w:p>
    <w:p>
      <w:pPr>
        <w:keepNext/>
        <w:spacing w:before="0" w:after="20"/>
        <w:jc w:val="center"/>
      </w:pPr>
      <w:r>
        <w:rPr>
          <w:rFonts w:ascii="Poppins" w:hAnsi="Poppins"/>
          <w:b/>
          <w:color w:val="566B56"/>
          <w:sz w:val="18"/>
        </w:rPr>
        <w:t>Figura 1.2: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566B56"/>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color w:val="2F3A30"/>
          <w:sz w:val="21"/>
        </w:rPr>
        <w:t>= Número de emparejamientos (contrataciones) por período</w:t>
      </w:r>
    </w:p>
    <w:p>
      <w:pPr>
        <w:spacing w:after="90" w:line="276" w:lineRule="auto"/>
        <w:ind w:left="0" w:firstLine="0"/>
        <w:jc w:val="both"/>
      </w:pPr>
      <w:r>
        <w:rPr>
          <w:rFonts w:ascii="Calibri" w:hAnsi="Calibri"/>
          <w:b/>
          <w:color w:val="566B56"/>
          <w:sz w:val="21"/>
        </w:rPr>
        <w:t>= Número de desempleados al comienzo del período</w:t>
      </w:r>
    </w:p>
    <w:p>
      <w:pPr>
        <w:spacing w:after="90" w:line="276" w:lineRule="auto"/>
        <w:ind w:left="0" w:firstLine="0"/>
        <w:jc w:val="both"/>
      </w:pPr>
      <w:r>
        <w:rPr>
          <w:rFonts w:ascii="Calibri" w:hAnsi="Calibri"/>
          <w:b/>
          <w:color w:val="566B56"/>
          <w:sz w:val="21"/>
        </w:rPr>
        <w:t>= Número de vacantes al comienzo del período</w:t>
      </w:r>
    </w:p>
    <w:p>
      <w:pPr>
        <w:spacing w:after="90" w:line="276" w:lineRule="auto"/>
        <w:ind w:left="0" w:firstLine="0"/>
        <w:jc w:val="both"/>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566B56"/>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566B56"/>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b/>
          <w:color w:val="566B56"/>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566B56"/>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566B56"/>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spacing w:after="90" w:line="276" w:lineRule="auto"/>
        <w:ind w:left="0" w:firstLine="0"/>
        <w:jc w:val="both"/>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566B56"/>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566B56"/>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pPr>
        <w:spacing w:after="90" w:line="276" w:lineRule="auto"/>
        <w:ind w:left="0" w:firstLine="0"/>
        <w:jc w:val="both"/>
      </w:pPr>
      <w:r>
        <w:rPr>
          <w:rFonts w:ascii="Calibri" w:hAnsi="Calibri"/>
          <w:b/>
          <w:color w:val="566B56"/>
          <w:sz w:val="21"/>
        </w:rPr>
        <w:t>Conceptos clave del Tema 1 completo:</w:t>
      </w:r>
    </w:p>
    <w:p>
      <w:pPr>
        <w:spacing w:after="70"/>
        <w:ind w:left="504" w:hanging="259"/>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rPr>
        <w:t>Ámbito de interacción entre oferta y demanda laboral</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Ocupados + desempleados que buscan empleo</w:t>
      </w:r>
    </w:p>
    <w:p>
      <w:pPr>
        <w:spacing w:after="70"/>
        <w:ind w:left="504" w:hanging="259"/>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rPr>
        <w:t>Proporción de población que participa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rPr>
        <w:t>Proporción de población activa sin empleo que busca trabajo</w:t>
      </w:r>
    </w:p>
    <w:p>
      <w:pPr>
        <w:spacing w:after="70"/>
        <w:ind w:left="504" w:hanging="259"/>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rPr>
        <w:t>Proporción de población en edad de trabajar que está empleada</w:t>
      </w:r>
    </w:p>
    <w:p>
      <w:pPr>
        <w:spacing w:after="70"/>
        <w:ind w:left="504" w:hanging="259"/>
        <w:jc w:val="both"/>
      </w:pPr>
      <w:r>
        <w:rPr>
          <w:rFonts w:ascii="Calibri" w:hAnsi="Calibri"/>
          <w:b/>
          <w:color w:val="76927A"/>
        </w:rPr>
        <w:t xml:space="preserve">•  </w:t>
      </w:r>
      <w:r>
        <w:rPr>
          <w:rFonts w:ascii="Calibri" w:hAnsi="Calibri"/>
          <w:b/>
          <w:color w:val="566B56"/>
        </w:rPr>
        <w:t xml:space="preserve">PIB: </w:t>
      </w:r>
      <w:r>
        <w:rPr>
          <w:rFonts w:ascii="Calibri" w:hAnsi="Calibri"/>
          <w:color w:val="2F3A30"/>
        </w:rPr>
        <w:t>Valor monetario total de bienes y servicios finales producidos en un país</w:t>
      </w:r>
    </w:p>
    <w:p>
      <w:pPr>
        <w:spacing w:after="70"/>
        <w:ind w:left="504" w:hanging="259"/>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rPr>
        <w:t>Valor agregado en cada etapa de producción</w:t>
      </w:r>
    </w:p>
    <w:p>
      <w:pPr>
        <w:spacing w:after="70"/>
        <w:ind w:left="504" w:hanging="259"/>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rPr>
        <w:t>Eficiencia en el uso de factores productivos</w:t>
      </w:r>
    </w:p>
    <w:p>
      <w:pPr>
        <w:spacing w:after="70"/>
        <w:ind w:left="504" w:hanging="259"/>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rPr>
        <w:t>Relación entre producción y factor trabajo</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Formación, experiencia y habilidades de los trabajadores</w:t>
      </w:r>
    </w:p>
    <w:p>
      <w:pPr>
        <w:spacing w:after="70"/>
        <w:ind w:left="504" w:hanging="259"/>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rPr>
        <w:t>Cantidad de trabajo que los individuos están dispuestos a ofrecer</w:t>
      </w:r>
    </w:p>
    <w:p>
      <w:pPr>
        <w:spacing w:after="70"/>
        <w:ind w:left="504" w:hanging="259"/>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rPr>
        <w:t>Cantidad de trabajo que las empresas desean contratar</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rPr>
        <w:t>Aumento de oferta laboral ante subidas salariales (salarios bajos)</w:t>
      </w:r>
    </w:p>
    <w:p>
      <w:pPr>
        <w:spacing w:after="70"/>
        <w:ind w:left="504" w:hanging="259"/>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rPr>
        <w:t>Disminución de oferta laboral ante subidas salariales (salarios altos)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rPr>
        <w:t>Proceso de negociación entre empleadores y sindicatos</w:t>
      </w:r>
    </w:p>
    <w:p>
      <w:pPr>
        <w:spacing w:after="70"/>
        <w:ind w:left="504" w:hanging="259"/>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rPr>
        <w:t>Salario mínimo aceptable por los trabajadores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rPr>
        <w:t>Situaciones donde el mercado no produce resultados eficientes</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rPr>
        <w:t>Desempleo temporal debido a procesos de búsqueda y emparejamiento</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Desempleo por desajuste entre habilidades ofrecidas y demandadas</w:t>
      </w:r>
    </w:p>
    <w:p>
      <w:pPr>
        <w:spacing w:after="70"/>
        <w:ind w:left="504" w:hanging="259"/>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rPr>
        <w:t>Desempleo vinculado a fluctuaciones del ciclo económico</w:t>
      </w:r>
    </w:p>
    <w:p>
      <w:pPr>
        <w:spacing w:after="70"/>
        <w:ind w:left="504" w:hanging="259"/>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rPr>
        <w:t>Desempleo por variaciones regulares en demanda sectorial</w:t>
      </w:r>
    </w:p>
    <w:p>
      <w:pPr>
        <w:spacing w:after="70"/>
        <w:ind w:left="504" w:hanging="259"/>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rPr>
        <w:t>Desajuste entre cualificaciones demandadas y ofrecidas</w:t>
      </w:r>
    </w:p>
    <w:p>
      <w:pPr>
        <w:spacing w:after="70"/>
        <w:ind w:left="504" w:hanging="259"/>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rPr>
        <w:t>Tendencia del desempleo a persistir tras desaparecer sus causas originales</w:t>
      </w:r>
    </w:p>
    <w:p>
      <w:pPr>
        <w:spacing w:after="70"/>
        <w:ind w:left="504" w:hanging="259"/>
        <w:jc w:val="both"/>
      </w:pPr>
      <w:r>
        <w:rPr>
          <w:rFonts w:ascii="Calibri" w:hAnsi="Calibri"/>
          <w:b/>
          <w:color w:val="76927A"/>
        </w:rPr>
        <w:t xml:space="preserve">•  </w:t>
      </w:r>
      <w:r>
        <w:rPr>
          <w:rFonts w:ascii="Calibri" w:hAnsi="Calibri"/>
          <w:b/>
          <w:color w:val="566B56"/>
        </w:rPr>
        <w:t xml:space="preserve">NAIRU: </w:t>
      </w:r>
      <w:r>
        <w:rPr>
          <w:rFonts w:ascii="Calibri" w:hAnsi="Calibri"/>
          <w:color w:val="2F3A30"/>
        </w:rPr>
        <w:t>Tasa de desempleo no aceleradora de la inflación (tasa natural)</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rPr>
        <w:t>Relación entre desempleo e inflación</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Relación entre tasa de vacantes y tasa de desempleo</w:t>
      </w:r>
    </w:p>
    <w:p>
      <w:pPr>
        <w:spacing w:after="70"/>
        <w:ind w:left="504" w:hanging="259"/>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rPr>
        <w:t>Relación entre contrataciones, desempleados, vacantes y eficiencia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rPr>
        <w:t>Capacidad del mercado laboral para conectar trabajadores con empleos</w:t>
      </w:r>
    </w:p>
    <w:p>
      <w:pPr>
        <w:pStyle w:val="Heading1"/>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2"/>
      <w:footerReference w:type="default" r:id="rId13"/>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