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6912"/>
        <w:gridCol w:w="2592"/>
      </w:tblGrid>
      <w:tr>
        <w:trPr>
          <w:cantSplit/>
        </w:trPr>
        <w:tc>
          <w:tcPr>
            <w:tcW w:type="dxa" w:w="6912"/>
          </w:tcPr>
          <w:p>
            <w:pPr>
              <w:spacing w:before="0" w:after="30"/>
              <w:jc w:val="left"/>
            </w:pPr>
            <w:r>
              <w:rPr>
                <w:rFonts w:ascii="Outfit" w:hAnsi="Outfit"/>
                <w:b/>
                <w:color w:val="113927"/>
                <w:sz w:val="18"/>
              </w:rPr>
              <w:t>UNIVERSIDAD PABLO DE OLAVIDE</w:t>
            </w:r>
          </w:p>
          <w:p>
            <w:pPr>
              <w:spacing w:before="0" w:after="30"/>
              <w:jc w:val="left"/>
            </w:pPr>
            <w:r>
              <w:rPr>
                <w:rFonts w:ascii="Calibri" w:hAnsi="Calibri"/>
                <w:color w:val="76927A"/>
                <w:sz w:val="17"/>
              </w:rPr>
              <w:t>Facultad de Ciencias del Trabajo · Grado en RRLL y Recursos Humanos</w:t>
            </w:r>
          </w:p>
          <w:p>
            <w:pPr>
              <w:spacing w:before="0" w:after="30"/>
              <w:jc w:val="left"/>
            </w:pPr>
            <w:r>
              <w:rPr>
                <w:rFonts w:ascii="Calibri" w:hAnsi="Calibri"/>
                <w:color w:val="2F3A30"/>
                <w:sz w:val="17"/>
              </w:rPr>
              <w:t>Políticas Sociolaborales y de Empleo (Código 102023) | Curso 2026-2027</w:t>
            </w:r>
          </w:p>
          <w:p>
            <w:pPr>
              <w:spacing w:before="0" w:after="0"/>
              <w:jc w:val="left"/>
            </w:pPr>
            <w:r>
              <w:rPr>
                <w:rFonts w:ascii="Calibri" w:hAnsi="Calibri"/>
                <w:color w:val="2F3A30"/>
                <w:sz w:val="17"/>
              </w:rPr>
              <w:t>Prof. Manuel A. Hidalgo Pérez</w:t>
            </w:r>
          </w:p>
        </w:tc>
        <w:tc>
          <w:tcPr>
            <w:tcW w:type="dxa" w:w="2592"/>
          </w:tcPr>
          <w:p>
            <w:pPr>
              <w:spacing w:before="0" w:after="0"/>
              <w:jc w:val="right"/>
            </w:pPr>
            <w:r>
              <w:drawing>
                <wp:inline xmlns:a="http://schemas.openxmlformats.org/drawingml/2006/main" xmlns:pic="http://schemas.openxmlformats.org/drawingml/2006/picture">
                  <wp:extent cx="1645920" cy="897775"/>
                  <wp:docPr id="1" name="Picture 1"/>
                  <wp:cNvGraphicFramePr>
                    <a:graphicFrameLocks noChangeAspect="1"/>
                  </wp:cNvGraphicFramePr>
                  <a:graphic>
                    <a:graphicData uri="http://schemas.openxmlformats.org/drawingml/2006/picture">
                      <pic:pic>
                        <pic:nvPicPr>
                          <pic:cNvPr id="0" name="logo_psll_upo.png"/>
                          <pic:cNvPicPr/>
                        </pic:nvPicPr>
                        <pic:blipFill>
                          <a:blip r:embed="rId9"/>
                          <a:stretch>
                            <a:fillRect/>
                          </a:stretch>
                        </pic:blipFill>
                        <pic:spPr>
                          <a:xfrm>
                            <a:off x="0" y="0"/>
                            <a:ext cx="1645920" cy="897775"/>
                          </a:xfrm>
                          <a:prstGeom prst="rect"/>
                        </pic:spPr>
                      </pic:pic>
                    </a:graphicData>
                  </a:graphic>
                </wp:inline>
              </w:drawing>
            </w:r>
          </w:p>
        </w:tc>
      </w:tr>
    </w:tbl>
    <w:p>
      <w:pPr>
        <w:spacing w:before="80" w:after="320"/>
        <w:jc w:val="left"/>
      </w:pPr>
      <w:r>
        <w:rPr>
          <w:rFonts w:ascii="Outfit" w:hAnsi="Outfit"/>
          <w:color w:val="76927A"/>
          <w:sz w:val="20"/>
        </w:rPr>
        <w:t>――――――――――――――――――――――――――――――――――――――――――――――――</w:t>
      </w:r>
    </w:p>
    <w:p>
      <w:pPr>
        <w:keepNext/>
        <w:spacing w:before="160" w:after="280"/>
        <w:jc w:val="left"/>
      </w:pPr>
      <w:r>
        <w:rPr>
          <w:rFonts w:ascii="Outfit" w:hAnsi="Outfit"/>
          <w:b/>
          <w:color w:val="113927"/>
          <w:sz w:val="40"/>
        </w:rPr>
        <w:t>TEMA 2: POLÍTICAS ACTIVAS DEL MERCADO DE TRABAJO</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CÓMO LEER ESTOS APUNTES</w:t>
            </w:r>
          </w:p>
          <w:p>
            <w:pPr>
              <w:keepNext/>
              <w:spacing w:before="0" w:after="0" w:line="276" w:lineRule="auto"/>
              <w:jc w:val="both"/>
            </w:pPr>
            <w:r>
              <w:rPr>
                <w:rFonts w:ascii="Calibri" w:hAnsi="Calibri"/>
                <w:color w:val="2F3A30"/>
                <w:sz w:val="19"/>
              </w:rPr>
              <w:t>Cada bloque del tema va precedido de una caja de encuadre que indica en qué sesión presencial se explica y qué partes quedan como lectura autónoma. Las sesiones siguen la numeración del cronograma de la asignatura (Sesiones 6, 7 y 8). Los epígrafes marcados como lectura autónoma no se desarrollan en clase, pero forman parte de la materia evaluable.</w:t>
            </w:r>
          </w:p>
        </w:tc>
      </w:tr>
    </w:tbl>
    <w:p>
      <w:pPr>
        <w:spacing w:before="0" w:after="80"/>
      </w:pP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6 (SEMANA 3) — QUÉ SON LAS POLÍTICAS ACTIVAS Y QUÉ INSTRUMENTOS UTILIZAN</w:t>
            </w:r>
          </w:p>
          <w:p>
            <w:pPr>
              <w:keepNext/>
              <w:spacing w:before="0" w:after="0" w:line="276" w:lineRule="auto"/>
              <w:jc w:val="both"/>
            </w:pPr>
            <w:r>
              <w:rPr>
                <w:rFonts w:ascii="Calibri" w:hAnsi="Calibri"/>
                <w:color w:val="2F3A30"/>
                <w:sz w:val="19"/>
              </w:rPr>
              <w:t>Línea 1: miércoles 30/09, 11:30-13:00 (90 min). Línea 2: viernes 02/10, 17:30-19:30 (120 min). Núcleo común: epígrafes 1.1 a 1.4 (definición, diferencias con las políticas pasivas, objetivos y colectivos, y lectura de las políticas activas sobre la curva de Beveridge de la Sesión 5) y epígrafe 3 como panorámica de instrumentos. Ampliación de 30 min en Línea 2: epígrafe 2 (marco institucional). En Línea 1, los epígrafes 2.1 y 2.2 son de lectura autónoma y el 2.3 se trata en la Sesión 8.</w:t>
            </w:r>
          </w:p>
        </w:tc>
      </w:tr>
    </w:tbl>
    <w:p>
      <w:pPr>
        <w:spacing w:before="0" w:after="80"/>
      </w:pPr>
    </w:p>
    <w:p>
      <w:pPr>
        <w:pStyle w:val="Heading1"/>
        <w:keepNext/>
        <w:spacing w:before="520" w:after="120"/>
        <w:jc w:val="left"/>
      </w:pPr>
      <w:r>
        <w:rPr>
          <w:rFonts w:ascii="Outfit" w:hAnsi="Outfit"/>
          <w:b/>
          <w:color w:val="113927"/>
          <w:sz w:val="30"/>
        </w:rPr>
        <w:t>1. INTRODUCCIÓN Y CONCEPTOS BÁSICOS</w:t>
      </w:r>
    </w:p>
    <w:p>
      <w:pPr>
        <w:spacing w:after="90" w:line="276" w:lineRule="auto"/>
        <w:jc w:val="both"/>
      </w:pPr>
      <w:r>
        <w:rPr>
          <w:rFonts w:ascii="Calibri" w:hAnsi="Calibri"/>
          <w:color w:val="2F3A30"/>
          <w:sz w:val="21"/>
        </w:rPr>
        <w:t>Las políticas activas de empleo (PAE) se han convertido en uno de los principales instrumentos de lucha contra el desempleo y de mejora de la empleabilidad en España y en el resto de países desarrollados. Para comprender su funcionamiento es necesario definirlas, precisar sus objetivos y diferenciarlas de las políticas pasivas de empleo.</w:t>
      </w:r>
    </w:p>
    <w:p>
      <w:pPr>
        <w:pStyle w:val="Heading2"/>
        <w:keepNext/>
        <w:spacing w:before="360" w:after="100"/>
        <w:jc w:val="left"/>
      </w:pPr>
      <w:r>
        <w:rPr>
          <w:rFonts w:ascii="Outfit" w:hAnsi="Outfit"/>
          <w:b/>
          <w:color w:val="76927A"/>
          <w:sz w:val="25"/>
        </w:rPr>
        <w:t>1.1. Definición de las políticas activas de empleo</w:t>
      </w:r>
    </w:p>
    <w:p>
      <w:pPr>
        <w:spacing w:after="90" w:line="276" w:lineRule="auto"/>
        <w:jc w:val="both"/>
      </w:pPr>
      <w:r>
        <w:rPr>
          <w:rFonts w:ascii="Calibri" w:hAnsi="Calibri"/>
          <w:color w:val="2F3A30"/>
          <w:sz w:val="21"/>
        </w:rPr>
        <w:t>Las políticas activas de empleo son el conjunto de servicios y programas de orientación, empleo y formación que tienen por objeto mejorar las posibilidades de acceso al empleo de las personas desempleadas, por cuenta ajena o propia, y la adaptación de la formación y recualificación de los trabajadores. También se orientan a fomentar el espíritu empresarial y la economía social.</w:t>
      </w:r>
    </w:p>
    <w:p>
      <w:pPr>
        <w:spacing w:after="90" w:line="276" w:lineRule="auto"/>
        <w:jc w:val="both"/>
      </w:pPr>
      <w:r>
        <w:rPr>
          <w:rFonts w:ascii="Calibri" w:hAnsi="Calibri"/>
          <w:color w:val="2F3A30"/>
          <w:sz w:val="21"/>
        </w:rPr>
        <w:t xml:space="preserve">La </w:t>
      </w:r>
      <w:r>
        <w:rPr>
          <w:rFonts w:ascii="Calibri" w:hAnsi="Calibri"/>
          <w:b/>
          <w:color w:val="113927"/>
          <w:sz w:val="21"/>
        </w:rPr>
        <w:t>Ley 3/2023, de 28 de febrero, de Empleo</w:t>
      </w:r>
      <w:r>
        <w:rPr>
          <w:rFonts w:ascii="Calibri" w:hAnsi="Calibri"/>
          <w:color w:val="2F3A30"/>
          <w:sz w:val="21"/>
        </w:rPr>
        <w:t xml:space="preserve"> las define como «el conjunto de decisiones, medidas, servicios y programas de orientación, intermediación, empleo, formación en el trabajo y asesoramiento para el autoempleo y el emprendimiento, dirigidos a impulsar la creación de empleo; mejorar la empleabilidad de las personas demandantes de los servicios de empleo y elevar sus posibilidades de acceso a un empleo, por cuenta ajena o por cuenta propia; al pleno desarrollo del derecho al empleo digno, estable y de calidad; a la generación de trabajo decente; así como, a la consecución del objetivo de pleno empleo».</w:t>
      </w:r>
    </w:p>
    <w:p>
      <w:pPr>
        <w:spacing w:after="90" w:line="276" w:lineRule="auto"/>
        <w:jc w:val="both"/>
      </w:pPr>
      <w:r>
        <w:rPr>
          <w:rFonts w:ascii="Calibri" w:hAnsi="Calibri"/>
          <w:color w:val="2F3A30"/>
          <w:sz w:val="21"/>
        </w:rPr>
        <w:t>De esta definición se desprenden seis objetivos:</w:t>
      </w:r>
    </w:p>
    <w:p>
      <w:pPr>
        <w:spacing w:after="90" w:line="276" w:lineRule="auto" w:before="40"/>
        <w:jc w:val="both"/>
      </w:pPr>
      <w:r>
        <w:rPr>
          <w:rFonts w:ascii="Calibri" w:hAnsi="Calibri"/>
          <w:b/>
          <w:color w:val="113927"/>
          <w:sz w:val="21"/>
        </w:rPr>
        <w:t xml:space="preserve">1. Mejorar la empleabilidad de los trabajadores: </w:t>
      </w:r>
      <w:r>
        <w:rPr>
          <w:rFonts w:ascii="Calibri" w:hAnsi="Calibri"/>
          <w:color w:val="2F3A30"/>
          <w:sz w:val="21"/>
        </w:rPr>
        <w:t>mediante programas de formación y capacitación que permiten adquirir las competencias que demanda el mercado de trabajo.</w:t>
      </w:r>
    </w:p>
    <w:p>
      <w:pPr>
        <w:spacing w:after="90" w:line="276" w:lineRule="auto" w:before="40"/>
        <w:jc w:val="both"/>
      </w:pPr>
      <w:r>
        <w:rPr>
          <w:rFonts w:ascii="Calibri" w:hAnsi="Calibri"/>
          <w:b/>
          <w:color w:val="113927"/>
          <w:sz w:val="21"/>
        </w:rPr>
        <w:t xml:space="preserve">2. Facilitar la inserción laboral: </w:t>
      </w:r>
      <w:r>
        <w:rPr>
          <w:rFonts w:ascii="Calibri" w:hAnsi="Calibri"/>
          <w:color w:val="2F3A30"/>
          <w:sz w:val="21"/>
        </w:rPr>
        <w:t>a través de servicios de orientación, intermediación y acompañamiento en la búsqueda de empleo.</w:t>
      </w:r>
    </w:p>
    <w:p>
      <w:pPr>
        <w:spacing w:after="90" w:line="276" w:lineRule="auto" w:before="40"/>
        <w:jc w:val="both"/>
      </w:pPr>
      <w:r>
        <w:rPr>
          <w:rFonts w:ascii="Calibri" w:hAnsi="Calibri"/>
          <w:b/>
          <w:color w:val="113927"/>
          <w:sz w:val="21"/>
        </w:rPr>
        <w:t xml:space="preserve">3. Fomentar la creación de empleo: </w:t>
      </w:r>
      <w:r>
        <w:rPr>
          <w:rFonts w:ascii="Calibri" w:hAnsi="Calibri"/>
          <w:color w:val="2F3A30"/>
          <w:sz w:val="21"/>
        </w:rPr>
        <w:t>con incentivos a la contratación y apoyo al emprendimiento y al autoempleo.</w:t>
      </w:r>
    </w:p>
    <w:p>
      <w:pPr>
        <w:spacing w:after="90" w:line="276" w:lineRule="auto" w:before="40"/>
        <w:jc w:val="both"/>
      </w:pPr>
      <w:r>
        <w:rPr>
          <w:rFonts w:ascii="Calibri" w:hAnsi="Calibri"/>
          <w:b/>
          <w:color w:val="113927"/>
          <w:sz w:val="21"/>
        </w:rPr>
        <w:t xml:space="preserve">4. Promover la igualdad de oportunidades: </w:t>
      </w:r>
      <w:r>
        <w:rPr>
          <w:rFonts w:ascii="Calibri" w:hAnsi="Calibri"/>
          <w:color w:val="2F3A30"/>
          <w:sz w:val="21"/>
        </w:rPr>
        <w:t>prestando atención preferente a los colectivos con más dificultades de inserción.</w:t>
      </w:r>
    </w:p>
    <w:p>
      <w:pPr>
        <w:spacing w:after="90" w:line="276" w:lineRule="auto" w:before="40"/>
        <w:jc w:val="both"/>
      </w:pPr>
      <w:r>
        <w:rPr>
          <w:rFonts w:ascii="Calibri" w:hAnsi="Calibri"/>
          <w:b/>
          <w:color w:val="113927"/>
          <w:sz w:val="21"/>
        </w:rPr>
        <w:t xml:space="preserve">5. Ajustar la oferta y la demanda de trabajo: </w:t>
      </w:r>
      <w:r>
        <w:rPr>
          <w:rFonts w:ascii="Calibri" w:hAnsi="Calibri"/>
          <w:color w:val="2F3A30"/>
          <w:sz w:val="21"/>
        </w:rPr>
        <w:t>analizando el mercado laboral y adecuando la formación a las necesidades de las empresas.</w:t>
      </w:r>
    </w:p>
    <w:p>
      <w:pPr>
        <w:spacing w:after="90" w:line="276" w:lineRule="auto" w:before="40"/>
        <w:jc w:val="both"/>
      </w:pPr>
      <w:r>
        <w:rPr>
          <w:rFonts w:ascii="Calibri" w:hAnsi="Calibri"/>
          <w:b/>
          <w:color w:val="113927"/>
          <w:sz w:val="21"/>
        </w:rPr>
        <w:t xml:space="preserve">6. Mejorar el funcionamiento del mercado de trabajo: </w:t>
      </w:r>
      <w:r>
        <w:rPr>
          <w:rFonts w:ascii="Calibri" w:hAnsi="Calibri"/>
          <w:color w:val="2F3A30"/>
          <w:sz w:val="21"/>
        </w:rPr>
        <w:t>aumentando la transparencia y la eficiencia de los procesos de intermediación.</w:t>
      </w:r>
    </w:p>
    <w:p>
      <w:pPr>
        <w:spacing w:after="90" w:line="276" w:lineRule="auto"/>
        <w:jc w:val="both"/>
      </w:pPr>
      <w:r>
        <w:rPr>
          <w:rFonts w:ascii="Calibri" w:hAnsi="Calibri"/>
          <w:color w:val="2F3A30"/>
          <w:sz w:val="21"/>
        </w:rPr>
        <w:t xml:space="preserve">Estas políticas se caracterizan por su </w:t>
      </w:r>
      <w:r>
        <w:rPr>
          <w:rFonts w:ascii="Calibri" w:hAnsi="Calibri"/>
          <w:b/>
          <w:color w:val="113927"/>
          <w:sz w:val="21"/>
        </w:rPr>
        <w:t>enfoque preventivo</w:t>
      </w:r>
      <w:r>
        <w:rPr>
          <w:rFonts w:ascii="Calibri" w:hAnsi="Calibri"/>
          <w:color w:val="2F3A30"/>
          <w:sz w:val="21"/>
        </w:rPr>
        <w:t xml:space="preserve"> y por su </w:t>
      </w:r>
      <w:r>
        <w:rPr>
          <w:rFonts w:ascii="Calibri" w:hAnsi="Calibri"/>
          <w:b/>
          <w:color w:val="113927"/>
          <w:sz w:val="21"/>
        </w:rPr>
        <w:t>orientación a la activación</w:t>
      </w:r>
      <w:r>
        <w:rPr>
          <w:rFonts w:ascii="Calibri" w:hAnsi="Calibri"/>
          <w:color w:val="2F3A30"/>
          <w:sz w:val="21"/>
        </w:rPr>
        <w:t>: buscan que la persona desempleada participe en la mejora de su propia situación laboral.</w:t>
      </w:r>
    </w:p>
    <w:p>
      <w:pPr>
        <w:pStyle w:val="Heading2"/>
        <w:keepNext/>
        <w:spacing w:before="360" w:after="100"/>
        <w:jc w:val="left"/>
      </w:pPr>
      <w:r>
        <w:rPr>
          <w:rFonts w:ascii="Outfit" w:hAnsi="Outfit"/>
          <w:b/>
          <w:color w:val="76927A"/>
          <w:sz w:val="25"/>
        </w:rPr>
        <w:t>1.2. Diferenciación con las políticas pasivas</w:t>
      </w:r>
    </w:p>
    <w:p>
      <w:pPr>
        <w:spacing w:after="90" w:line="276" w:lineRule="auto"/>
        <w:jc w:val="both"/>
      </w:pPr>
      <w:r>
        <w:rPr>
          <w:rFonts w:ascii="Calibri" w:hAnsi="Calibri"/>
          <w:color w:val="2F3A30"/>
          <w:sz w:val="21"/>
        </w:rPr>
        <w:t xml:space="preserve">Mientras las políticas activas buscan la activación y la mejora de la empleabilidad, las </w:t>
      </w:r>
      <w:r>
        <w:rPr>
          <w:rFonts w:ascii="Calibri" w:hAnsi="Calibri"/>
          <w:b/>
          <w:color w:val="113927"/>
          <w:sz w:val="21"/>
        </w:rPr>
        <w:t>políticas pasivas</w:t>
      </w:r>
      <w:r>
        <w:rPr>
          <w:rFonts w:ascii="Calibri" w:hAnsi="Calibri"/>
          <w:color w:val="2F3A30"/>
          <w:sz w:val="21"/>
        </w:rPr>
        <w:t xml:space="preserve"> proporcionan una red de seguridad económica a quienes han perdido su empleo (se estudian en el Tema 3). La tabla siguiente resume las diferencias entre ambas a partir de seis criterios.</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2160"/>
            <w:shd w:val="clear" w:color="auto" w:fill="113927"/>
            <w:tcMar>
              <w:top w:w="100" w:type="dxa"/>
              <w:left w:w="120" w:type="dxa"/>
              <w:bottom w:w="100" w:type="dxa"/>
              <w:right w:w="120" w:type="dxa"/>
            </w:tcMar>
          </w:tcPr>
          <w:p>
            <w:pPr>
              <w:spacing w:after="0"/>
              <w:jc w:val="left"/>
            </w:pPr>
            <w:r>
              <w:rPr>
                <w:rFonts w:ascii="Outfit" w:hAnsi="Outfit"/>
                <w:b/>
                <w:color w:val="FFFFFF"/>
                <w:sz w:val="19"/>
              </w:rPr>
              <w:t>Criterio</w:t>
            </w:r>
          </w:p>
        </w:tc>
        <w:tc>
          <w:tcPr>
            <w:tcW w:type="dxa" w:w="3600"/>
            <w:shd w:val="clear" w:color="auto" w:fill="113927"/>
            <w:tcMar>
              <w:top w:w="100" w:type="dxa"/>
              <w:left w:w="120" w:type="dxa"/>
              <w:bottom w:w="100" w:type="dxa"/>
              <w:right w:w="120" w:type="dxa"/>
            </w:tcMar>
          </w:tcPr>
          <w:p>
            <w:pPr>
              <w:spacing w:after="0"/>
              <w:jc w:val="left"/>
            </w:pPr>
            <w:r>
              <w:rPr>
                <w:rFonts w:ascii="Outfit" w:hAnsi="Outfit"/>
                <w:b/>
                <w:color w:val="FFFFFF"/>
                <w:sz w:val="19"/>
              </w:rPr>
              <w:t>Políticas activas</w:t>
            </w:r>
          </w:p>
        </w:tc>
        <w:tc>
          <w:tcPr>
            <w:tcW w:type="dxa" w:w="3600"/>
            <w:shd w:val="clear" w:color="auto" w:fill="113927"/>
            <w:tcMar>
              <w:top w:w="100" w:type="dxa"/>
              <w:left w:w="120" w:type="dxa"/>
              <w:bottom w:w="100" w:type="dxa"/>
              <w:right w:w="120" w:type="dxa"/>
            </w:tcMar>
          </w:tcPr>
          <w:p>
            <w:pPr>
              <w:spacing w:after="0"/>
              <w:jc w:val="left"/>
            </w:pPr>
            <w:r>
              <w:rPr>
                <w:rFonts w:ascii="Outfit" w:hAnsi="Outfit"/>
                <w:b/>
                <w:color w:val="FFFFFF"/>
                <w:sz w:val="19"/>
              </w:rPr>
              <w:t>Políticas pasivas</w:t>
            </w:r>
          </w:p>
        </w:tc>
      </w:tr>
      <w:tr>
        <w:trPr>
          <w:cantSplit/>
        </w:trPr>
        <w:tc>
          <w:tcPr>
            <w:tcW w:type="dxa" w:w="216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Objetivo</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Mejorar la empleabilidad y facilitar la inserción laboral</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Mantener un nivel de ingresos durante el desempleo</w:t>
            </w:r>
          </w:p>
        </w:tc>
      </w:tr>
      <w:tr>
        <w:trPr>
          <w:cantSplit/>
        </w:trPr>
        <w:tc>
          <w:tcPr>
            <w:tcW w:type="dxa" w:w="216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Enfoque</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Preventivo, orientado a la activación</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Paliativo, orientado a la protección</w:t>
            </w:r>
          </w:p>
        </w:tc>
      </w:tr>
      <w:tr>
        <w:trPr>
          <w:cantSplit/>
        </w:trPr>
        <w:tc>
          <w:tcPr>
            <w:tcW w:type="dxa" w:w="216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Instrumentos</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Formación, orientación, intermediación, incentivos a la contratación</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Prestaciones y subsidios por desempleo, jubilaciones anticipadas</w:t>
            </w:r>
          </w:p>
        </w:tc>
      </w:tr>
      <w:tr>
        <w:trPr>
          <w:cantSplit/>
        </w:trPr>
        <w:tc>
          <w:tcPr>
            <w:tcW w:type="dxa" w:w="216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Horizonte</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Medio y largo plazo</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Duración limitada</w:t>
            </w:r>
          </w:p>
        </w:tc>
      </w:tr>
      <w:tr>
        <w:trPr>
          <w:cantSplit/>
        </w:trPr>
        <w:tc>
          <w:tcPr>
            <w:tcW w:type="dxa" w:w="2160"/>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Papel del beneficiario</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Participación activa</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Participación más pasiva</w:t>
            </w:r>
          </w:p>
        </w:tc>
      </w:tr>
      <w:tr>
        <w:trPr>
          <w:cantSplit/>
        </w:trPr>
        <w:tc>
          <w:tcPr>
            <w:tcW w:type="dxa" w:w="2160"/>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Impacto en el mercado</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Buscan mejorar su funcionamiento</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Sin impacto directo sobre su funcionamiento</w:t>
            </w:r>
          </w:p>
        </w:tc>
      </w:tr>
    </w:tbl>
    <w:p>
      <w:pPr>
        <w:spacing w:after="120"/>
      </w:pPr>
    </w:p>
    <w:p>
      <w:pPr>
        <w:spacing w:after="90" w:line="276" w:lineRule="auto"/>
        <w:jc w:val="both"/>
      </w:pPr>
      <w:r>
        <w:rPr>
          <w:rFonts w:ascii="Calibri" w:hAnsi="Calibri"/>
          <w:color w:val="2F3A30"/>
          <w:sz w:val="21"/>
        </w:rPr>
        <w:t xml:space="preserve">Aunque diferentes, </w:t>
      </w:r>
      <w:r>
        <w:rPr>
          <w:rFonts w:ascii="Calibri" w:hAnsi="Calibri"/>
          <w:b/>
          <w:color w:val="113927"/>
          <w:sz w:val="21"/>
        </w:rPr>
        <w:t>las políticas activas y pasivas no son excluyentes</w:t>
      </w:r>
      <w:r>
        <w:rPr>
          <w:rFonts w:ascii="Calibri" w:hAnsi="Calibri"/>
          <w:color w:val="2F3A30"/>
          <w:sz w:val="21"/>
        </w:rPr>
        <w:t xml:space="preserve"> y en la práctica se complementan. La percepción de una prestación por desempleo, por ejemplo, puede estar condicionada a participar en programas de formación o de búsqueda activa de empleo. En España, la evolución reciente ha ido en la dirección de reforzar las políticas activas sin abandonar las pasivas, al constatarse que las primeras pueden tener un efecto más duradero sobre la empleabilidad y sobre el desempleo estructural.</w:t>
      </w:r>
    </w:p>
    <w:p>
      <w:pPr>
        <w:pStyle w:val="Heading2"/>
        <w:keepNext/>
        <w:spacing w:before="360" w:after="100"/>
        <w:jc w:val="left"/>
      </w:pPr>
      <w:r>
        <w:rPr>
          <w:rFonts w:ascii="Outfit" w:hAnsi="Outfit"/>
          <w:b/>
          <w:color w:val="76927A"/>
          <w:sz w:val="25"/>
        </w:rPr>
        <w:t>1.3. Objetivos de las PAE: corto y medio plazo</w:t>
      </w:r>
    </w:p>
    <w:p>
      <w:pPr>
        <w:spacing w:after="90" w:line="276" w:lineRule="auto"/>
        <w:jc w:val="both"/>
      </w:pPr>
      <w:r>
        <w:rPr>
          <w:rFonts w:ascii="Calibri" w:hAnsi="Calibri"/>
          <w:color w:val="2F3A30"/>
          <w:sz w:val="21"/>
        </w:rPr>
        <w:t xml:space="preserve">Los objetivos de las PAE se ordenan en dos </w:t>
      </w:r>
      <w:r>
        <w:rPr>
          <w:rFonts w:ascii="Calibri" w:hAnsi="Calibri"/>
          <w:b/>
          <w:color w:val="113927"/>
          <w:sz w:val="21"/>
        </w:rPr>
        <w:t>horizontes temporales</w:t>
      </w:r>
      <w:r>
        <w:rPr>
          <w:rFonts w:ascii="Calibri" w:hAnsi="Calibri"/>
          <w:color w:val="2F3A30"/>
          <w:sz w:val="21"/>
        </w:rPr>
        <w:t xml:space="preserve">. A corto plazo buscan soluciones inmediatas para trabajadores y empresas: la </w:t>
      </w:r>
      <w:r>
        <w:rPr>
          <w:rFonts w:ascii="Calibri" w:hAnsi="Calibri"/>
          <w:b/>
          <w:color w:val="113927"/>
          <w:sz w:val="21"/>
        </w:rPr>
        <w:t>intermediación laboral</w:t>
      </w:r>
      <w:r>
        <w:rPr>
          <w:rFonts w:ascii="Calibri" w:hAnsi="Calibri"/>
          <w:color w:val="2F3A30"/>
          <w:sz w:val="21"/>
        </w:rPr>
        <w:t xml:space="preserve">, que conecta a los demandantes de empleo con las ofertas disponibles; la </w:t>
      </w:r>
      <w:r>
        <w:rPr>
          <w:rFonts w:ascii="Calibri" w:hAnsi="Calibri"/>
          <w:b/>
          <w:color w:val="113927"/>
          <w:sz w:val="21"/>
        </w:rPr>
        <w:t>orientación profesional</w:t>
      </w:r>
      <w:r>
        <w:rPr>
          <w:rFonts w:ascii="Calibri" w:hAnsi="Calibri"/>
          <w:color w:val="2F3A30"/>
          <w:sz w:val="21"/>
        </w:rPr>
        <w:t xml:space="preserve">, que ayuda a identificar habilidades, intereses y oportunidades; y los </w:t>
      </w:r>
      <w:r>
        <w:rPr>
          <w:rFonts w:ascii="Calibri" w:hAnsi="Calibri"/>
          <w:b/>
          <w:color w:val="113927"/>
          <w:sz w:val="21"/>
        </w:rPr>
        <w:t>incentivos a la contratación</w:t>
      </w:r>
      <w:r>
        <w:rPr>
          <w:rFonts w:ascii="Calibri" w:hAnsi="Calibri"/>
          <w:color w:val="2F3A30"/>
          <w:sz w:val="21"/>
        </w:rPr>
        <w:t>, que animan a las empresas a crear puestos o a contratar a personas de colectivos con dificultades de inserción.</w:t>
      </w:r>
    </w:p>
    <w:p>
      <w:pPr>
        <w:spacing w:after="90" w:line="276" w:lineRule="auto"/>
        <w:jc w:val="both"/>
      </w:pPr>
      <w:r>
        <w:rPr>
          <w:rFonts w:ascii="Calibri" w:hAnsi="Calibri"/>
          <w:color w:val="2F3A30"/>
          <w:sz w:val="21"/>
        </w:rPr>
        <w:t xml:space="preserve">A medio plazo, el objetivo es mejorar la empleabilidad de forma estructural. Aquí se sitúan los </w:t>
      </w:r>
      <w:r>
        <w:rPr>
          <w:rFonts w:ascii="Calibri" w:hAnsi="Calibri"/>
          <w:b/>
          <w:color w:val="113927"/>
          <w:sz w:val="21"/>
        </w:rPr>
        <w:t>programas de formación y recualificación</w:t>
      </w:r>
      <w:r>
        <w:rPr>
          <w:rFonts w:ascii="Calibri" w:hAnsi="Calibri"/>
          <w:color w:val="2F3A30"/>
          <w:sz w:val="21"/>
        </w:rPr>
        <w:t xml:space="preserve">, con un papel destacado de la formación profesional para el empleo; el </w:t>
      </w:r>
      <w:r>
        <w:rPr>
          <w:rFonts w:ascii="Calibri" w:hAnsi="Calibri"/>
          <w:b/>
          <w:color w:val="113927"/>
          <w:sz w:val="21"/>
        </w:rPr>
        <w:t>fomento del emprendimiento y el autoempleo</w:t>
      </w:r>
      <w:r>
        <w:rPr>
          <w:rFonts w:ascii="Calibri" w:hAnsi="Calibri"/>
          <w:color w:val="2F3A30"/>
          <w:sz w:val="21"/>
        </w:rPr>
        <w:t>, con asesoramiento, formación y apoyo financiero; y la preparación de la fuerza de trabajo para la digitalización y la transición ecológica.</w:t>
      </w:r>
    </w:p>
    <w:p>
      <w:pPr>
        <w:pStyle w:val="Heading3"/>
        <w:keepNext/>
        <w:spacing w:before="240" w:after="60"/>
        <w:jc w:val="left"/>
      </w:pPr>
      <w:r>
        <w:rPr>
          <w:rFonts w:ascii="Outfit" w:hAnsi="Outfit"/>
          <w:b/>
          <w:color w:val="113927"/>
          <w:sz w:val="22"/>
        </w:rPr>
        <w:t>Colectivos prioritarios</w:t>
      </w:r>
    </w:p>
    <w:p>
      <w:pPr>
        <w:spacing w:after="90" w:line="276" w:lineRule="auto"/>
        <w:jc w:val="both"/>
      </w:pPr>
      <w:r>
        <w:rPr>
          <w:rFonts w:ascii="Calibri" w:hAnsi="Calibri"/>
          <w:color w:val="2F3A30"/>
          <w:sz w:val="21"/>
        </w:rPr>
        <w:t xml:space="preserve">En ambos horizontes, las PAE se concentran en </w:t>
      </w:r>
      <w:r>
        <w:rPr>
          <w:rFonts w:ascii="Calibri" w:hAnsi="Calibri"/>
          <w:b/>
          <w:color w:val="113927"/>
          <w:sz w:val="21"/>
        </w:rPr>
        <w:t>colectivos prioritarios</w:t>
      </w:r>
      <w:r>
        <w:rPr>
          <w:rFonts w:ascii="Calibri" w:hAnsi="Calibri"/>
          <w:color w:val="2F3A30"/>
          <w:sz w:val="21"/>
        </w:rPr>
        <w:t>: jóvenes, personas desempleadas de larga duración, mayores de 45 años, mujeres, personas con discapacidad y otros grupos con barreras específicas de acceso al empleo. Para cada uno se intenta diseñar intervenciones adaptadas a sus necesidades.</w:t>
      </w:r>
    </w:p>
    <w:p>
      <w:pPr>
        <w:pStyle w:val="Heading3"/>
        <w:keepNext/>
        <w:spacing w:before="240" w:after="60"/>
        <w:jc w:val="left"/>
      </w:pPr>
      <w:r>
        <w:rPr>
          <w:rFonts w:ascii="Outfit" w:hAnsi="Outfit"/>
          <w:b/>
          <w:color w:val="113927"/>
          <w:sz w:val="22"/>
        </w:rPr>
        <w:t>Flexibilidad y adaptación</w:t>
      </w:r>
    </w:p>
    <w:p>
      <w:pPr>
        <w:spacing w:after="90" w:line="276" w:lineRule="auto"/>
        <w:jc w:val="both"/>
      </w:pPr>
      <w:r>
        <w:rPr>
          <w:rFonts w:ascii="Calibri" w:hAnsi="Calibri"/>
          <w:color w:val="2F3A30"/>
          <w:sz w:val="21"/>
        </w:rPr>
        <w:t xml:space="preserve">La eficacia de las PAE depende de su capacidad para adaptarse a las condiciones cambiantes del mercado laboral y a las necesidades de cada territorio, lo que exige </w:t>
      </w:r>
      <w:r>
        <w:rPr>
          <w:rFonts w:ascii="Calibri" w:hAnsi="Calibri"/>
          <w:b/>
          <w:color w:val="113927"/>
          <w:sz w:val="21"/>
        </w:rPr>
        <w:t>coordinación entre los niveles estatal, autonómico y local</w:t>
      </w:r>
      <w:r>
        <w:rPr>
          <w:rFonts w:ascii="Calibri" w:hAnsi="Calibri"/>
          <w:color w:val="2F3A30"/>
          <w:sz w:val="21"/>
        </w:rPr>
        <w:t>. En un contexto de cambio tecnológico rápido, las PAE deben además anticipar nuevas demandas: la promoción de competencias digitales, el apoyo a la transición hacia empleos verdes y la preparación para una economía intensiva en conocimiento.</w:t>
      </w:r>
    </w:p>
    <w:p>
      <w:pPr>
        <w:pStyle w:val="Heading2"/>
        <w:keepNext/>
        <w:spacing w:before="360" w:after="100"/>
        <w:jc w:val="left"/>
      </w:pPr>
      <w:r>
        <w:rPr>
          <w:rFonts w:ascii="Outfit" w:hAnsi="Outfit"/>
          <w:b/>
          <w:color w:val="76927A"/>
          <w:sz w:val="25"/>
        </w:rPr>
        <w:t>1.4. Las políticas activas vistas desde la curva de Beveridge</w:t>
      </w:r>
    </w:p>
    <w:p>
      <w:pPr>
        <w:spacing w:after="90" w:line="276" w:lineRule="auto"/>
        <w:jc w:val="both"/>
      </w:pPr>
      <w:r>
        <w:rPr>
          <w:rFonts w:ascii="Calibri" w:hAnsi="Calibri"/>
          <w:color w:val="2F3A30"/>
          <w:sz w:val="21"/>
        </w:rPr>
        <w:t>El Tema 1 cerró con la función de emparejamiento, que relaciona las contrataciones de cada periodo con el número de desempleados, el de vacantes y la eficiencia del proceso de búsqueda:</w:t>
      </w:r>
    </w:p>
    <w:p>
      <w:pPr>
        <w:spacing w:before="120" w:after="120"/>
        <w:jc w:val="center"/>
      </w:pPr>
      <w:r>
        <w:rPr>
          <w:rFonts w:ascii="Calibri" w:hAnsi="Calibri"/>
          <w:b/>
          <w:color w:val="113927"/>
          <w:sz w:val="22"/>
        </w:rPr>
        <w:t>m = A · U^α · V^(1−α)</w:t>
      </w:r>
    </w:p>
    <w:p>
      <w:pPr>
        <w:spacing w:after="90" w:line="276" w:lineRule="auto"/>
        <w:jc w:val="both"/>
      </w:pPr>
      <w:r>
        <w:rPr>
          <w:rFonts w:ascii="Calibri" w:hAnsi="Calibri"/>
          <w:color w:val="2F3A30"/>
          <w:sz w:val="21"/>
        </w:rPr>
        <w:t xml:space="preserve">Esta expresión permite ordenar las políticas activas según la palanca sobre la que actúan. Un primer grupo intenta </w:t>
      </w:r>
      <w:r>
        <w:rPr>
          <w:rFonts w:ascii="Calibri" w:hAnsi="Calibri"/>
          <w:b/>
          <w:color w:val="113927"/>
          <w:sz w:val="21"/>
        </w:rPr>
        <w:t>elevar la eficiencia del emparejamiento (A)</w:t>
      </w:r>
      <w:r>
        <w:rPr>
          <w:rFonts w:ascii="Calibri" w:hAnsi="Calibri"/>
          <w:color w:val="2F3A30"/>
          <w:sz w:val="21"/>
        </w:rPr>
        <w:t>: la orientación, la intermediación y la mejora de la información sobre vacantes reducen el tiempo que tardan en encontrarse un desempleado y un puesto. Si tienen éxito, la curva de Beveridge se desplaza hacia el origen: con el mismo número de vacantes, la economía convive con menos paro.</w:t>
      </w:r>
    </w:p>
    <w:p>
      <w:pPr>
        <w:spacing w:after="90" w:line="276" w:lineRule="auto"/>
        <w:jc w:val="both"/>
      </w:pPr>
      <w:r>
        <w:rPr>
          <w:rFonts w:ascii="Calibri" w:hAnsi="Calibri"/>
          <w:color w:val="2F3A30"/>
          <w:sz w:val="21"/>
        </w:rPr>
        <w:t xml:space="preserve">Un segundo grupo actúa sobre el </w:t>
      </w:r>
      <w:r>
        <w:rPr>
          <w:rFonts w:ascii="Calibri" w:hAnsi="Calibri"/>
          <w:b/>
          <w:color w:val="113927"/>
          <w:sz w:val="21"/>
        </w:rPr>
        <w:t>desajuste entre lo que ofrecen los trabajadores y lo que piden las empresas</w:t>
      </w:r>
      <w:r>
        <w:rPr>
          <w:rFonts w:ascii="Calibri" w:hAnsi="Calibri"/>
          <w:color w:val="2F3A30"/>
          <w:sz w:val="21"/>
        </w:rPr>
        <w:t>. La formación y la recualificación atacan el desajuste de cualificaciones (</w:t>
      </w:r>
      <w:r>
        <w:rPr>
          <w:rFonts w:ascii="Calibri" w:hAnsi="Calibri"/>
          <w:i/>
          <w:color w:val="2F3A30"/>
          <w:sz w:val="21"/>
        </w:rPr>
        <w:t>mismatch</w:t>
      </w:r>
      <w:r>
        <w:rPr>
          <w:rFonts w:ascii="Calibri" w:hAnsi="Calibri"/>
          <w:color w:val="2F3A30"/>
          <w:sz w:val="21"/>
        </w:rPr>
        <w:t>) que, como se vio en la Sesión 5, desplazó la curva de Beveridge española hacia fuera tras la crisis de 2008.</w:t>
      </w:r>
    </w:p>
    <w:p>
      <w:pPr>
        <w:spacing w:after="90" w:line="276" w:lineRule="auto"/>
        <w:jc w:val="both"/>
      </w:pPr>
      <w:r>
        <w:rPr>
          <w:rFonts w:ascii="Calibri" w:hAnsi="Calibri"/>
          <w:color w:val="2F3A30"/>
          <w:sz w:val="21"/>
        </w:rPr>
        <w:t xml:space="preserve">Un tercer grupo actúa sobre la </w:t>
      </w:r>
      <w:r>
        <w:rPr>
          <w:rFonts w:ascii="Calibri" w:hAnsi="Calibri"/>
          <w:b/>
          <w:color w:val="113927"/>
          <w:sz w:val="21"/>
        </w:rPr>
        <w:t>demanda de trabajo de colectivos concretos</w:t>
      </w:r>
      <w:r>
        <w:rPr>
          <w:rFonts w:ascii="Calibri" w:hAnsi="Calibri"/>
          <w:color w:val="2F3A30"/>
          <w:sz w:val="21"/>
        </w:rPr>
        <w:t xml:space="preserve">: los incentivos a la contratación abaratan la contratación de determinados trabajadores y la creación directa de empleo público añade puestos. Aquí aparece una cautela que se desarrolla en el epígrafe 4: si el incentivo solo cambia </w:t>
      </w:r>
      <w:r>
        <w:rPr>
          <w:rFonts w:ascii="Calibri" w:hAnsi="Calibri"/>
          <w:i/>
          <w:color w:val="2F3A30"/>
          <w:sz w:val="21"/>
        </w:rPr>
        <w:t>quién</w:t>
      </w:r>
      <w:r>
        <w:rPr>
          <w:rFonts w:ascii="Calibri" w:hAnsi="Calibri"/>
          <w:color w:val="2F3A30"/>
          <w:sz w:val="21"/>
        </w:rPr>
        <w:t xml:space="preserve"> ocupa las vacantes que iban a cubrirse de todos modos, reordena la cola de desempleados sin reducir el paro agregado.</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2736"/>
            <w:shd w:val="clear" w:color="auto" w:fill="113927"/>
            <w:tcMar>
              <w:top w:w="100" w:type="dxa"/>
              <w:left w:w="120" w:type="dxa"/>
              <w:bottom w:w="100" w:type="dxa"/>
              <w:right w:w="120" w:type="dxa"/>
            </w:tcMar>
          </w:tcPr>
          <w:p>
            <w:pPr>
              <w:spacing w:after="0"/>
              <w:jc w:val="left"/>
            </w:pPr>
            <w:r>
              <w:rPr>
                <w:rFonts w:ascii="Outfit" w:hAnsi="Outfit"/>
                <w:b/>
                <w:color w:val="FFFFFF"/>
                <w:sz w:val="19"/>
              </w:rPr>
              <w:t>Instrumento</w:t>
            </w:r>
          </w:p>
        </w:tc>
        <w:tc>
          <w:tcPr>
            <w:tcW w:type="dxa" w:w="3024"/>
            <w:shd w:val="clear" w:color="auto" w:fill="113927"/>
            <w:tcMar>
              <w:top w:w="100" w:type="dxa"/>
              <w:left w:w="120" w:type="dxa"/>
              <w:bottom w:w="100" w:type="dxa"/>
              <w:right w:w="120" w:type="dxa"/>
            </w:tcMar>
          </w:tcPr>
          <w:p>
            <w:pPr>
              <w:spacing w:after="0"/>
              <w:jc w:val="left"/>
            </w:pPr>
            <w:r>
              <w:rPr>
                <w:rFonts w:ascii="Outfit" w:hAnsi="Outfit"/>
                <w:b/>
                <w:color w:val="FFFFFF"/>
                <w:sz w:val="19"/>
              </w:rPr>
              <w:t>Palanca principal</w:t>
            </w:r>
          </w:p>
        </w:tc>
        <w:tc>
          <w:tcPr>
            <w:tcW w:type="dxa" w:w="3600"/>
            <w:shd w:val="clear" w:color="auto" w:fill="113927"/>
            <w:tcMar>
              <w:top w:w="100" w:type="dxa"/>
              <w:left w:w="120" w:type="dxa"/>
              <w:bottom w:w="100" w:type="dxa"/>
              <w:right w:w="120" w:type="dxa"/>
            </w:tcMar>
          </w:tcPr>
          <w:p>
            <w:pPr>
              <w:spacing w:after="0"/>
              <w:jc w:val="left"/>
            </w:pPr>
            <w:r>
              <w:rPr>
                <w:rFonts w:ascii="Outfit" w:hAnsi="Outfit"/>
                <w:b/>
                <w:color w:val="FFFFFF"/>
                <w:sz w:val="19"/>
              </w:rPr>
              <w:t>Efecto esperado</w:t>
            </w:r>
          </w:p>
        </w:tc>
      </w:tr>
      <w:tr>
        <w:trPr>
          <w:cantSplit/>
        </w:trPr>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Orientación e intermediación</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Eficiencia del emparejamiento (A)</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Curva de Beveridge más cerca del origen</w:t>
            </w:r>
          </w:p>
        </w:tc>
      </w:tr>
      <w:tr>
        <w:trPr>
          <w:cantSplit/>
        </w:trPr>
        <w:tc>
          <w:tcPr>
            <w:tcW w:type="dxa" w:w="2736"/>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Formación y recualificación</w:t>
            </w:r>
          </w:p>
        </w:tc>
        <w:tc>
          <w:tcPr>
            <w:tcW w:type="dxa" w:w="302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Desajuste de cualificaciones</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Reduce el paro estructural</w:t>
            </w:r>
          </w:p>
        </w:tc>
      </w:tr>
      <w:tr>
        <w:trPr>
          <w:cantSplit/>
        </w:trPr>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Incentivos a la contratación</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Demanda de trabajo de un colectivo</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Más contrataciones del colectivo; el efecto agregado depende del diseño</w:t>
            </w:r>
          </w:p>
        </w:tc>
      </w:tr>
      <w:tr>
        <w:trPr>
          <w:cantSplit/>
        </w:trPr>
        <w:tc>
          <w:tcPr>
            <w:tcW w:type="dxa" w:w="2736"/>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Empleo público directo</w:t>
            </w:r>
          </w:p>
        </w:tc>
        <w:tc>
          <w:tcPr>
            <w:tcW w:type="dxa" w:w="3024"/>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Número de puestos</w:t>
            </w:r>
          </w:p>
        </w:tc>
        <w:tc>
          <w:tcPr>
            <w:tcW w:type="dxa" w:w="3600"/>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Empleo temporal y mantenimiento del contacto con el mercado</w:t>
            </w:r>
          </w:p>
        </w:tc>
      </w:tr>
      <w:tr>
        <w:trPr>
          <w:cantSplit/>
        </w:trPr>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Fomento del emprendimiento</w:t>
            </w:r>
          </w:p>
        </w:tc>
        <w:tc>
          <w:tcPr>
            <w:tcW w:type="dxa" w:w="3024"/>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Creación de puestos propios</w:t>
            </w:r>
          </w:p>
        </w:tc>
        <w:tc>
          <w:tcPr>
            <w:tcW w:type="dxa" w:w="3600"/>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Autoempleo y, en su caso, nuevas vacantes</w:t>
            </w:r>
          </w:p>
        </w:tc>
      </w:tr>
    </w:tbl>
    <w:p>
      <w:pPr>
        <w:spacing w:after="120"/>
      </w:pP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DE PLANIFICACIÓN · EPÍGRAFE 2 (DISTINTO EN CADA LÍNEA)</w:t>
            </w:r>
          </w:p>
          <w:p>
            <w:pPr>
              <w:keepNext/>
              <w:spacing w:before="0" w:after="0" w:line="276" w:lineRule="auto"/>
              <w:jc w:val="both"/>
            </w:pPr>
            <w:r>
              <w:rPr>
                <w:rFonts w:ascii="Calibri" w:hAnsi="Calibri"/>
                <w:color w:val="2F3A30"/>
                <w:sz w:val="19"/>
              </w:rPr>
              <w:t>Línea 2: se explica en la ampliación de 30 minutos de la Sesión 6. Línea 1: los epígrafes 2.1 y 2.2 son de lectura autónoma y el 2.3 (Sistema Nacional de Empleo y Estrategia 2025-2028) se trata en la Sesión 8.</w:t>
            </w:r>
          </w:p>
        </w:tc>
      </w:tr>
    </w:tbl>
    <w:p>
      <w:pPr>
        <w:spacing w:before="0" w:after="80"/>
      </w:pPr>
    </w:p>
    <w:p>
      <w:pPr>
        <w:pStyle w:val="Heading1"/>
        <w:keepNext/>
        <w:spacing w:before="520" w:after="120"/>
        <w:jc w:val="left"/>
      </w:pPr>
      <w:r>
        <w:rPr>
          <w:rFonts w:ascii="Outfit" w:hAnsi="Outfit"/>
          <w:b/>
          <w:color w:val="113927"/>
          <w:sz w:val="30"/>
        </w:rPr>
        <w:t>2. MARCO INSTITUCIONAL Y NORMATIVO</w:t>
      </w:r>
    </w:p>
    <w:p>
      <w:pPr>
        <w:spacing w:after="90" w:line="276" w:lineRule="auto"/>
        <w:jc w:val="both"/>
      </w:pPr>
      <w:r>
        <w:rPr>
          <w:rFonts w:ascii="Calibri" w:hAnsi="Calibri"/>
          <w:color w:val="2F3A30"/>
          <w:sz w:val="21"/>
        </w:rPr>
        <w:t>El marco normativo de las políticas activas en España ha cambiado de forma notable en los últimos años, en paralelo a las directrices europeas. La aprobación de la Estrategia Española de Apoyo Activo al Empleo 2025-2028 mediante el Real Decreto 633/2025, de 15 de julio, consolida un proceso de reforma iniciado con la Ley 3/2023 de Empleo.</w:t>
      </w:r>
    </w:p>
    <w:p>
      <w:pPr>
        <w:pStyle w:val="Heading2"/>
        <w:keepNext/>
        <w:spacing w:before="360" w:after="100"/>
        <w:jc w:val="left"/>
      </w:pPr>
      <w:r>
        <w:rPr>
          <w:rFonts w:ascii="Outfit" w:hAnsi="Outfit"/>
          <w:b/>
          <w:color w:val="76927A"/>
          <w:sz w:val="25"/>
        </w:rPr>
        <w:t>2.1. Legislación nacional vigente</w:t>
      </w:r>
    </w:p>
    <w:p>
      <w:pPr>
        <w:spacing w:after="90" w:line="276" w:lineRule="auto"/>
        <w:jc w:val="both"/>
      </w:pPr>
      <w:r>
        <w:rPr>
          <w:rFonts w:ascii="Calibri" w:hAnsi="Calibri"/>
          <w:color w:val="2F3A30"/>
          <w:sz w:val="21"/>
        </w:rPr>
        <w:t>La base constitucional de las políticas activas se encuentra en el artículo 40 de la Constitución Española, que obliga a los poderes públicos a realizar una política orientada al pleno empleo. Este mandato se ha desarrollado a través de sucesivas leyes que han adaptado el marco normativo a cada momento histórico.</w:t>
      </w:r>
    </w:p>
    <w:p>
      <w:pPr>
        <w:spacing w:after="90" w:line="276" w:lineRule="auto"/>
        <w:jc w:val="both"/>
      </w:pPr>
      <w:r>
        <w:rPr>
          <w:rFonts w:ascii="Calibri" w:hAnsi="Calibri"/>
          <w:color w:val="2F3A30"/>
          <w:sz w:val="21"/>
        </w:rPr>
        <w:t xml:space="preserve">La </w:t>
      </w:r>
      <w:r>
        <w:rPr>
          <w:rFonts w:ascii="Calibri" w:hAnsi="Calibri"/>
          <w:b/>
          <w:color w:val="113927"/>
          <w:sz w:val="21"/>
        </w:rPr>
        <w:t>Ley 3/2023, de 28 de febrero, de Empleo</w:t>
      </w:r>
      <w:r>
        <w:rPr>
          <w:rFonts w:ascii="Calibri" w:hAnsi="Calibri"/>
          <w:color w:val="2F3A30"/>
          <w:sz w:val="21"/>
        </w:rPr>
        <w:t xml:space="preserve"> es hoy la pieza central del sistema. Supone un cambio de enfoque al considerar las políticas activas como </w:t>
      </w:r>
      <w:r>
        <w:rPr>
          <w:rFonts w:ascii="Calibri" w:hAnsi="Calibri"/>
          <w:b/>
          <w:color w:val="113927"/>
          <w:sz w:val="21"/>
        </w:rPr>
        <w:t>políticas públicas asociadas al ejercicio de derechos garantizados</w:t>
      </w:r>
      <w:r>
        <w:rPr>
          <w:rFonts w:ascii="Calibri" w:hAnsi="Calibri"/>
          <w:color w:val="2F3A30"/>
          <w:sz w:val="21"/>
        </w:rPr>
        <w:t xml:space="preserve"> para la ciudadanía y las empresas. Establece tres instrumentos de planificación y coordinación: la Estrategia Española de Apoyo Activo al Empleo (marco plurianual de objetivos), los Planes Anuales para el Fomento del Empleo Digno o PAFED (que concretan objetivos anuales por territorios) y el Sistema Público Integrado de Información de los Servicios de Empleo o SISPE (red de información común).</w:t>
      </w:r>
    </w:p>
    <w:p>
      <w:pPr>
        <w:spacing w:after="90" w:line="276" w:lineRule="auto"/>
        <w:jc w:val="both"/>
      </w:pPr>
      <w:r>
        <w:rPr>
          <w:rFonts w:ascii="Calibri" w:hAnsi="Calibri"/>
          <w:color w:val="2F3A30"/>
          <w:sz w:val="21"/>
        </w:rPr>
        <w:t xml:space="preserve">El </w:t>
      </w:r>
      <w:r>
        <w:rPr>
          <w:rFonts w:ascii="Calibri" w:hAnsi="Calibri"/>
          <w:b/>
          <w:color w:val="113927"/>
          <w:sz w:val="21"/>
        </w:rPr>
        <w:t>Real Decreto 438/2024, de 30 de abril</w:t>
      </w:r>
      <w:r>
        <w:rPr>
          <w:rFonts w:ascii="Calibri" w:hAnsi="Calibri"/>
          <w:color w:val="2F3A30"/>
          <w:sz w:val="21"/>
        </w:rPr>
        <w:t>, desarrolla la Cartera Común de Servicios del Sistema Nacional de Empleo. Regula los servicios garantizados que establece la Ley de Empleo, tanto para personas como para empresas, con un enfoque de acompañamiento a lo largo de toda la vida laboral. Su principal novedad es que convierte las políticas activas en derechos exigibles, frente a la concepción anterior de prestaciones discrecionales.</w:t>
      </w:r>
    </w:p>
    <w:p>
      <w:pPr>
        <w:spacing w:after="90" w:line="276" w:lineRule="auto"/>
        <w:jc w:val="both"/>
      </w:pPr>
      <w:r>
        <w:rPr>
          <w:rFonts w:ascii="Calibri" w:hAnsi="Calibri"/>
          <w:color w:val="2F3A30"/>
          <w:sz w:val="21"/>
        </w:rPr>
        <w:t xml:space="preserve">La ley prevé además la creación de la </w:t>
      </w:r>
      <w:r>
        <w:rPr>
          <w:rFonts w:ascii="Calibri" w:hAnsi="Calibri"/>
          <w:b/>
          <w:color w:val="113927"/>
          <w:sz w:val="21"/>
        </w:rPr>
        <w:t>Agencia Española de Empleo</w:t>
      </w:r>
      <w:r>
        <w:rPr>
          <w:rFonts w:ascii="Calibri" w:hAnsi="Calibri"/>
          <w:color w:val="2F3A30"/>
          <w:sz w:val="21"/>
        </w:rPr>
        <w:t>, llamada a sustituir al Servicio Público de Empleo Estatal (SEPE) para modernizar la gestión de los servicios públicos de empleo. En el momento de redactar estos apuntes, su puesta en marcha efectiva seguía pendiente.</w:t>
      </w:r>
    </w:p>
    <w:p>
      <w:pPr>
        <w:pStyle w:val="Heading2"/>
        <w:keepNext/>
        <w:spacing w:before="360" w:after="100"/>
        <w:jc w:val="left"/>
      </w:pPr>
      <w:r>
        <w:rPr>
          <w:rFonts w:ascii="Outfit" w:hAnsi="Outfit"/>
          <w:b/>
          <w:color w:val="76927A"/>
          <w:sz w:val="25"/>
        </w:rPr>
        <w:t>2.2. Directrices europeas</w:t>
      </w:r>
    </w:p>
    <w:p>
      <w:pPr>
        <w:spacing w:after="90" w:line="276" w:lineRule="auto"/>
        <w:jc w:val="both"/>
      </w:pPr>
      <w:r>
        <w:rPr>
          <w:rFonts w:ascii="Calibri" w:hAnsi="Calibri"/>
          <w:color w:val="2F3A30"/>
          <w:sz w:val="21"/>
        </w:rPr>
        <w:t xml:space="preserve">Las políticas activas españolas están muy influidas por las directrices de la Unión Europea, en especial por el </w:t>
      </w:r>
      <w:r>
        <w:rPr>
          <w:rFonts w:ascii="Calibri" w:hAnsi="Calibri"/>
          <w:b/>
          <w:color w:val="113927"/>
          <w:sz w:val="21"/>
        </w:rPr>
        <w:t>Pilar Europeo de Derechos Sociales</w:t>
      </w:r>
      <w:r>
        <w:rPr>
          <w:rFonts w:ascii="Calibri" w:hAnsi="Calibri"/>
          <w:color w:val="2F3A30"/>
          <w:sz w:val="21"/>
        </w:rPr>
        <w:t xml:space="preserve"> y su Plan de Acción de 2021, que fija tres objetivos para 2030: una tasa de empleo del 78% en la población de 20 a 64 años, que el 60% de los adultos participe cada año en actividades de formación y una reducción de 15 millones en el número de personas en riesgo de pobreza o exclusión social.</w:t>
      </w:r>
    </w:p>
    <w:p>
      <w:pPr>
        <w:spacing w:after="90" w:line="276" w:lineRule="auto"/>
        <w:jc w:val="both"/>
      </w:pPr>
      <w:r>
        <w:rPr>
          <w:rFonts w:ascii="Calibri" w:hAnsi="Calibri"/>
          <w:color w:val="2F3A30"/>
          <w:sz w:val="21"/>
        </w:rPr>
        <w:t>La Estrategia 2025-2028 se alinea con estas metas y con las recomendaciones específicas para España, que insisten en mejorar la eficacia de las políticas activas para los colectivos vulnerables (jóvenes y desempleados de larga duración), reforzar la coordinación entre servicios de empleo, servicios sociales y empresas, y abordar la segmentación del mercado laboral asociada a la temporalidad.</w:t>
      </w:r>
    </w:p>
    <w:p>
      <w:pPr>
        <w:pStyle w:val="Heading2"/>
        <w:keepNext/>
        <w:spacing w:before="360" w:after="100"/>
        <w:jc w:val="left"/>
      </w:pPr>
      <w:r>
        <w:rPr>
          <w:rFonts w:ascii="Outfit" w:hAnsi="Outfit"/>
          <w:b/>
          <w:color w:val="76927A"/>
          <w:sz w:val="25"/>
        </w:rPr>
        <w:t>2.3. Sistema Nacional de Empleo y gobernanza</w:t>
      </w:r>
    </w:p>
    <w:p>
      <w:pPr>
        <w:spacing w:after="90" w:line="276" w:lineRule="auto"/>
        <w:jc w:val="both"/>
      </w:pPr>
      <w:r>
        <w:rPr>
          <w:rFonts w:ascii="Calibri" w:hAnsi="Calibri"/>
          <w:color w:val="2F3A30"/>
          <w:sz w:val="21"/>
        </w:rPr>
        <w:t>El Sistema Nacional de Empleo está formado por el Servicio Público de Empleo Estatal y los servicios públicos de empleo de las diecisiete comunidades autónomas. Esta estructura descentralizada permite adaptar las políticas a mercados laborales muy heterogéneos. La Ley 3/2023 refuerza además el papel de las administraciones locales en la ejecución de las políticas activas.</w:t>
      </w:r>
    </w:p>
    <w:p>
      <w:pPr>
        <w:spacing w:after="90" w:line="276" w:lineRule="auto"/>
        <w:jc w:val="both"/>
      </w:pPr>
      <w:r>
        <w:rPr>
          <w:rFonts w:ascii="Calibri" w:hAnsi="Calibri"/>
          <w:color w:val="2F3A30"/>
          <w:sz w:val="21"/>
        </w:rPr>
        <w:t xml:space="preserve">La gobernanza se articula en dos órganos. La </w:t>
      </w:r>
      <w:r>
        <w:rPr>
          <w:rFonts w:ascii="Calibri" w:hAnsi="Calibri"/>
          <w:b/>
          <w:color w:val="113927"/>
          <w:sz w:val="21"/>
        </w:rPr>
        <w:t>Conferencia Sectorial de Empleo y Asuntos Laborales</w:t>
      </w:r>
      <w:r>
        <w:rPr>
          <w:rFonts w:ascii="Calibri" w:hAnsi="Calibri"/>
          <w:color w:val="2F3A30"/>
          <w:sz w:val="21"/>
        </w:rPr>
        <w:t xml:space="preserve"> canaliza la cooperación entre el Estado y las comunidades autónomas en la planificación y el seguimiento de las políticas. El </w:t>
      </w:r>
      <w:r>
        <w:rPr>
          <w:rFonts w:ascii="Calibri" w:hAnsi="Calibri"/>
          <w:b/>
          <w:color w:val="113927"/>
          <w:sz w:val="21"/>
        </w:rPr>
        <w:t>Consejo General del Sistema Nacional de Empleo</w:t>
      </w:r>
      <w:r>
        <w:rPr>
          <w:rFonts w:ascii="Calibri" w:hAnsi="Calibri"/>
          <w:color w:val="2F3A30"/>
          <w:sz w:val="21"/>
        </w:rPr>
        <w:t xml:space="preserve"> es el órgano tripartito en el que participan la Administración, los sindicatos y la patronal. La participación de los interlocutores sociales ha pesado tanto en el diseño como en la evaluación de las políticas, como reflejó el Acuerdo por la reactivación económica y el empleo de 2020.</w:t>
      </w:r>
    </w:p>
    <w:p>
      <w:pPr>
        <w:spacing w:after="90" w:line="276" w:lineRule="auto"/>
        <w:jc w:val="both"/>
      </w:pPr>
      <w:r>
        <w:rPr>
          <w:rFonts w:ascii="Calibri" w:hAnsi="Calibri"/>
          <w:color w:val="2F3A30"/>
          <w:sz w:val="21"/>
        </w:rPr>
        <w:t xml:space="preserve">La </w:t>
      </w:r>
      <w:r>
        <w:rPr>
          <w:rFonts w:ascii="Calibri" w:hAnsi="Calibri"/>
          <w:b/>
          <w:color w:val="113927"/>
          <w:sz w:val="21"/>
        </w:rPr>
        <w:t>Red COE</w:t>
      </w:r>
      <w:r>
        <w:rPr>
          <w:rFonts w:ascii="Calibri" w:hAnsi="Calibri"/>
          <w:color w:val="2F3A30"/>
          <w:sz w:val="21"/>
        </w:rPr>
        <w:t xml:space="preserve"> (Red de Centros Públicos de Orientación, Emprendimiento, Acompañamiento e Innovación para el Empleo) actúa como soporte especializado del sistema para promover la innovación y la experimentación en políticas activas.</w:t>
      </w:r>
    </w:p>
    <w:p>
      <w:pPr>
        <w:spacing w:after="90" w:line="276" w:lineRule="auto"/>
        <w:jc w:val="both"/>
      </w:pPr>
      <w:r>
        <w:rPr>
          <w:rFonts w:ascii="Calibri" w:hAnsi="Calibri"/>
          <w:color w:val="2F3A30"/>
          <w:sz w:val="21"/>
        </w:rPr>
        <w:t xml:space="preserve">La </w:t>
      </w:r>
      <w:r>
        <w:rPr>
          <w:rFonts w:ascii="Calibri" w:hAnsi="Calibri"/>
          <w:b/>
          <w:color w:val="113927"/>
          <w:sz w:val="21"/>
        </w:rPr>
        <w:t>Estrategia Española de Apoyo Activo al Empleo 2025-2028</w:t>
      </w:r>
      <w:r>
        <w:rPr>
          <w:rFonts w:ascii="Calibri" w:hAnsi="Calibri"/>
          <w:color w:val="2F3A30"/>
          <w:sz w:val="21"/>
        </w:rPr>
        <w:t xml:space="preserve"> es la primera planificación plurianual aprobada bajo la Ley 3/2023. A diferencia de la anterior, que priorizaba las reformas normativas, se centra en garantizar el ejercicio efectivo de los derechos de las personas usuarias mediante el despliegue de la Cartera Común de Servicios. Fija ocho objetivos estratégicos articulados en siete ejes (orientación, formación, oportunidades de empleo, oportunidades para personas con discapacidad, igualdad de oportunidades, emprendimiento y mejora del marco institucional) y es la primera que parte de una evaluación previa de las políticas del periodo anterior.</w:t>
      </w:r>
    </w:p>
    <w:p>
      <w:pPr>
        <w:pStyle w:val="Heading1"/>
        <w:keepNext/>
        <w:spacing w:before="520" w:after="120"/>
        <w:jc w:val="left"/>
      </w:pPr>
      <w:r>
        <w:rPr>
          <w:rFonts w:ascii="Outfit" w:hAnsi="Outfit"/>
          <w:b/>
          <w:color w:val="113927"/>
          <w:sz w:val="30"/>
        </w:rPr>
        <w:t>3. TIPOLOGÍA DE POLÍTICAS ACTIVAS</w:t>
      </w:r>
    </w:p>
    <w:p>
      <w:pPr>
        <w:spacing w:after="90" w:line="276" w:lineRule="auto"/>
        <w:jc w:val="both"/>
      </w:pPr>
      <w:r>
        <w:rPr>
          <w:rFonts w:ascii="Calibri" w:hAnsi="Calibri"/>
          <w:color w:val="2F3A30"/>
          <w:sz w:val="21"/>
        </w:rPr>
        <w:t>Las políticas activas forman un conjunto diverso de programas que tradicionalmente se agrupan en cinco categorías. Aunque difieren en su naturaleza, comparten el propósito de activar a las personas desempleadas y mejorar su empleabilidad. Su eficacia depende de su diseño, de su ejecución y de su capacidad para combinarse entre sí y adaptarse a cada colectivo y territorio.</w:t>
      </w:r>
    </w:p>
    <w:p>
      <w:pPr>
        <w:pStyle w:val="Heading2"/>
        <w:keepNext/>
        <w:spacing w:before="360" w:after="100"/>
        <w:jc w:val="left"/>
      </w:pPr>
      <w:r>
        <w:rPr>
          <w:rFonts w:ascii="Outfit" w:hAnsi="Outfit"/>
          <w:b/>
          <w:color w:val="76927A"/>
          <w:sz w:val="25"/>
        </w:rPr>
        <w:t>3.1. Orientación laboral</w:t>
      </w:r>
    </w:p>
    <w:p>
      <w:pPr>
        <w:spacing w:after="90" w:line="276" w:lineRule="auto"/>
        <w:jc w:val="both"/>
      </w:pPr>
      <w:r>
        <w:rPr>
          <w:rFonts w:ascii="Calibri" w:hAnsi="Calibri"/>
          <w:color w:val="2F3A30"/>
          <w:sz w:val="21"/>
        </w:rPr>
        <w:t xml:space="preserve">La orientación laboral es la puerta de entrada de los desempleados al sistema de servicios de empleo. Su objetivo es proporcionar a los demandantes las herramientas, la información y el asesoramiento necesarios para mejorar su empleabilidad. Se caracteriza por su enfoque personalizado: parte de un </w:t>
      </w:r>
      <w:r>
        <w:rPr>
          <w:rFonts w:ascii="Calibri" w:hAnsi="Calibri"/>
          <w:b/>
          <w:color w:val="113927"/>
          <w:sz w:val="21"/>
        </w:rPr>
        <w:t>diagnóstico individualizado</w:t>
      </w:r>
      <w:r>
        <w:rPr>
          <w:rFonts w:ascii="Calibri" w:hAnsi="Calibri"/>
          <w:color w:val="2F3A30"/>
          <w:sz w:val="21"/>
        </w:rPr>
        <w:t xml:space="preserve"> del perfil profesional (habilidades, experiencia, formación y objetivos) que permite diseñar </w:t>
      </w:r>
      <w:r>
        <w:rPr>
          <w:rFonts w:ascii="Calibri" w:hAnsi="Calibri"/>
          <w:b/>
          <w:color w:val="113927"/>
          <w:sz w:val="21"/>
        </w:rPr>
        <w:t>itinerarios personalizados</w:t>
      </w:r>
      <w:r>
        <w:rPr>
          <w:rFonts w:ascii="Calibri" w:hAnsi="Calibri"/>
          <w:color w:val="2F3A30"/>
          <w:sz w:val="21"/>
        </w:rPr>
        <w:t>, que pueden incluir formación específica, búsqueda activa de empleo u otros servicios. Proporciona también información sobre el mercado laboral y enseña técnicas de búsqueda como la elaboración del currículum o la preparación de entrevistas.</w:t>
      </w:r>
    </w:p>
    <w:p>
      <w:pPr>
        <w:spacing w:after="90" w:line="276" w:lineRule="auto"/>
        <w:jc w:val="both"/>
      </w:pPr>
      <w:r>
        <w:rPr>
          <w:rFonts w:ascii="Calibri" w:hAnsi="Calibri"/>
          <w:color w:val="2F3A30"/>
          <w:sz w:val="21"/>
        </w:rPr>
        <w:t>Su valor reside en el acompañamiento continuo durante todo el proceso de búsqueda. En España la prestan sobre todo los servicios públicos de empleo, con participación de entidades colaboradoras, y resulta especialmente relevante para jóvenes sin experiencia, desempleados de larga duración y trabajadores de sectores en declive que necesitan reconvertir sus competencias.</w:t>
      </w:r>
    </w:p>
    <w:p>
      <w:pPr>
        <w:pStyle w:val="Heading2"/>
        <w:keepNext/>
        <w:spacing w:before="360" w:after="100"/>
        <w:jc w:val="left"/>
      </w:pPr>
      <w:r>
        <w:rPr>
          <w:rFonts w:ascii="Outfit" w:hAnsi="Outfit"/>
          <w:b/>
          <w:color w:val="76927A"/>
          <w:sz w:val="25"/>
        </w:rPr>
        <w:t>3.2. Formación profesional</w:t>
      </w:r>
    </w:p>
    <w:p>
      <w:pPr>
        <w:spacing w:after="90" w:line="276" w:lineRule="auto"/>
        <w:jc w:val="both"/>
      </w:pPr>
      <w:r>
        <w:rPr>
          <w:rFonts w:ascii="Calibri" w:hAnsi="Calibri"/>
          <w:color w:val="2F3A30"/>
          <w:sz w:val="21"/>
        </w:rPr>
        <w:t xml:space="preserve">La formación y la capacitación buscan mejorar las competencias de trabajadores desempleados y ocupados para facilitar su adaptación a un mercado que exige competencias actualizadas. Los programas de formación profesional para el empleo van desde cursos orientados a una profesión concreta hasta competencias transversales (digitales, idiomas o habilidades como la comunicación y el trabajo en equipo). Tienen especial relevancia los </w:t>
      </w:r>
      <w:r>
        <w:rPr>
          <w:rFonts w:ascii="Calibri" w:hAnsi="Calibri"/>
          <w:b/>
          <w:color w:val="113927"/>
          <w:sz w:val="21"/>
        </w:rPr>
        <w:t>programas de recualificación</w:t>
      </w:r>
      <w:r>
        <w:rPr>
          <w:rFonts w:ascii="Calibri" w:hAnsi="Calibri"/>
          <w:color w:val="2F3A30"/>
          <w:sz w:val="21"/>
        </w:rPr>
        <w:t xml:space="preserve"> para trabajadores de sectores en declive o afectados por el cambio tecnológico.</w:t>
      </w:r>
    </w:p>
    <w:p>
      <w:pPr>
        <w:spacing w:after="90" w:line="276" w:lineRule="auto"/>
        <w:jc w:val="both"/>
      </w:pPr>
      <w:r>
        <w:rPr>
          <w:rFonts w:ascii="Calibri" w:hAnsi="Calibri"/>
          <w:color w:val="2F3A30"/>
          <w:sz w:val="21"/>
        </w:rPr>
        <w:t xml:space="preserve">La </w:t>
      </w:r>
      <w:r>
        <w:rPr>
          <w:rFonts w:ascii="Calibri" w:hAnsi="Calibri"/>
          <w:b/>
          <w:color w:val="113927"/>
          <w:sz w:val="21"/>
        </w:rPr>
        <w:t>formación dual</w:t>
      </w:r>
      <w:r>
        <w:rPr>
          <w:rFonts w:ascii="Calibri" w:hAnsi="Calibri"/>
          <w:color w:val="2F3A30"/>
          <w:sz w:val="21"/>
        </w:rPr>
        <w:t xml:space="preserve">, que combina enseñanza teórica y práctica en empresas, facilita la adquisición de experiencia y mejora las posibilidades de inserción. Los </w:t>
      </w:r>
      <w:r>
        <w:rPr>
          <w:rFonts w:ascii="Calibri" w:hAnsi="Calibri"/>
          <w:b/>
          <w:color w:val="113927"/>
          <w:sz w:val="21"/>
        </w:rPr>
        <w:t>certificados de profesionalidad</w:t>
      </w:r>
      <w:r>
        <w:rPr>
          <w:rFonts w:ascii="Calibri" w:hAnsi="Calibri"/>
          <w:color w:val="2F3A30"/>
          <w:sz w:val="21"/>
        </w:rPr>
        <w:t xml:space="preserve"> acreditan oficialmente las competencias adquiridas. La eficacia de estos programas depende de que respondan a las necesidades reales del mercado, lo que exige colaboración entre administraciones, centros formativos y empresas, y de que lleguen a los colectivos con más dificultades.</w:t>
      </w:r>
    </w:p>
    <w:p>
      <w:pPr>
        <w:pStyle w:val="Heading2"/>
        <w:keepNext/>
        <w:spacing w:before="360" w:after="100"/>
        <w:jc w:val="left"/>
      </w:pPr>
      <w:r>
        <w:rPr>
          <w:rFonts w:ascii="Outfit" w:hAnsi="Outfit"/>
          <w:b/>
          <w:color w:val="76927A"/>
          <w:sz w:val="25"/>
        </w:rPr>
        <w:t>3.3. Incentivos a la contratación</w:t>
      </w:r>
    </w:p>
    <w:p>
      <w:pPr>
        <w:spacing w:after="90" w:line="276" w:lineRule="auto"/>
        <w:jc w:val="both"/>
      </w:pPr>
      <w:r>
        <w:rPr>
          <w:rFonts w:ascii="Calibri" w:hAnsi="Calibri"/>
          <w:color w:val="2F3A30"/>
          <w:sz w:val="21"/>
        </w:rPr>
        <w:t>Los incentivos a la contratación estimulan la creación de empleo por parte de las empresas, especialmente para colectivos con dificultades de inserción. Su objetivo es reducir el coste laboral del empleador para hacer más atractiva la contratación de perfiles que, de otro modo, quedarían excluidos del mercado.</w:t>
      </w:r>
    </w:p>
    <w:p>
      <w:pPr>
        <w:spacing w:after="90" w:line="276" w:lineRule="auto"/>
        <w:jc w:val="both"/>
      </w:pPr>
      <w:r>
        <w:rPr>
          <w:rFonts w:ascii="Calibri" w:hAnsi="Calibri"/>
          <w:color w:val="2F3A30"/>
          <w:sz w:val="21"/>
        </w:rPr>
        <w:t xml:space="preserve">Pueden adoptar varias formas: </w:t>
      </w:r>
      <w:r>
        <w:rPr>
          <w:rFonts w:ascii="Calibri" w:hAnsi="Calibri"/>
          <w:b/>
          <w:color w:val="113927"/>
          <w:sz w:val="21"/>
        </w:rPr>
        <w:t>bonificaciones en las cuotas a la Seguridad Social</w:t>
      </w:r>
      <w:r>
        <w:rPr>
          <w:rFonts w:ascii="Calibri" w:hAnsi="Calibri"/>
          <w:color w:val="2F3A30"/>
          <w:sz w:val="21"/>
        </w:rPr>
        <w:t xml:space="preserve">, que reducen las cotizaciones empresariales; </w:t>
      </w:r>
      <w:r>
        <w:rPr>
          <w:rFonts w:ascii="Calibri" w:hAnsi="Calibri"/>
          <w:b/>
          <w:color w:val="113927"/>
          <w:sz w:val="21"/>
        </w:rPr>
        <w:t>subvenciones directas</w:t>
      </w:r>
      <w:r>
        <w:rPr>
          <w:rFonts w:ascii="Calibri" w:hAnsi="Calibri"/>
          <w:color w:val="2F3A30"/>
          <w:sz w:val="21"/>
        </w:rPr>
        <w:t xml:space="preserve">, que conceden una cantidad por cada contrato que cumpla determinadas condiciones; y </w:t>
      </w:r>
      <w:r>
        <w:rPr>
          <w:rFonts w:ascii="Calibri" w:hAnsi="Calibri"/>
          <w:b/>
          <w:color w:val="113927"/>
          <w:sz w:val="21"/>
        </w:rPr>
        <w:t>deducciones fiscales</w:t>
      </w:r>
      <w:r>
        <w:rPr>
          <w:rFonts w:ascii="Calibri" w:hAnsi="Calibri"/>
          <w:color w:val="2F3A30"/>
          <w:sz w:val="21"/>
        </w:rPr>
        <w:t>. Existen también incentivos a la conversión de contratos temporales en indefinidos y ayudas dirigidas a colectivos prioritarios como jóvenes, mayores de 45 años, desempleados de larga duración o personas con discapacidad.</w:t>
      </w:r>
    </w:p>
    <w:p>
      <w:pPr>
        <w:spacing w:after="90" w:line="276" w:lineRule="auto"/>
        <w:jc w:val="both"/>
      </w:pPr>
      <w:r>
        <w:rPr>
          <w:rFonts w:ascii="Calibri" w:hAnsi="Calibri"/>
          <w:color w:val="2F3A30"/>
          <w:sz w:val="21"/>
        </w:rPr>
        <w:t xml:space="preserve">En España estos incentivos se han utilizado ampliamente, sobre todo en periodos de crisis, y en los últimos años han tendido a focalizarse en colectivos prioritarios y a vincularse a la calidad del empleo. Su eficacia es objeto de un intenso debate, porque pueden generar efectos no deseados que reducen mucho el empleo neto que crean. El diseño de estos incentivos y sus efectos se estudian en detalle en el </w:t>
      </w:r>
      <w:r>
        <w:rPr>
          <w:rFonts w:ascii="Calibri" w:hAnsi="Calibri"/>
          <w:b/>
          <w:color w:val="113927"/>
          <w:sz w:val="21"/>
        </w:rPr>
        <w:t>epígrafe 4</w:t>
      </w:r>
      <w:r>
        <w:rPr>
          <w:rFonts w:ascii="Calibri" w:hAnsi="Calibri"/>
          <w:color w:val="2F3A30"/>
          <w:sz w:val="21"/>
        </w:rPr>
        <w:t>.</w:t>
      </w:r>
    </w:p>
    <w:p>
      <w:pPr>
        <w:pStyle w:val="Heading2"/>
        <w:keepNext/>
        <w:spacing w:before="360" w:after="100"/>
        <w:jc w:val="left"/>
      </w:pPr>
      <w:r>
        <w:rPr>
          <w:rFonts w:ascii="Outfit" w:hAnsi="Outfit"/>
          <w:b/>
          <w:color w:val="76927A"/>
          <w:sz w:val="25"/>
        </w:rPr>
        <w:t>3.4. Fomento del emprendimiento</w:t>
      </w:r>
    </w:p>
    <w:p>
      <w:pPr>
        <w:spacing w:after="90" w:line="276" w:lineRule="auto"/>
        <w:jc w:val="both"/>
      </w:pPr>
      <w:r>
        <w:rPr>
          <w:rFonts w:ascii="Calibri" w:hAnsi="Calibri"/>
          <w:color w:val="2F3A30"/>
          <w:sz w:val="21"/>
        </w:rPr>
        <w:t xml:space="preserve">El fomento del emprendimiento promueve el autoempleo y la creación de empresas como vía de generación de empleo, reconociendo el papel de los emprendedores en la innovación y el crecimiento. Incluye programas de asesoramiento y formación en aspectos legales, financieros y de gestión; apoyo financiero mediante subvenciones, préstamos en condiciones favorables y microcréditos; incubadoras y viveros de empresas; simplificación administrativa; incentivos fiscales; programas de </w:t>
      </w:r>
      <w:r>
        <w:rPr>
          <w:rFonts w:ascii="Calibri" w:hAnsi="Calibri"/>
          <w:i/>
          <w:color w:val="2F3A30"/>
          <w:sz w:val="21"/>
        </w:rPr>
        <w:t>mentoring</w:t>
      </w:r>
      <w:r>
        <w:rPr>
          <w:rFonts w:ascii="Calibri" w:hAnsi="Calibri"/>
          <w:color w:val="2F3A30"/>
          <w:sz w:val="21"/>
        </w:rPr>
        <w:t xml:space="preserve"> con empresarios experimentados; e iniciativas educativas para fomentar la cultura emprendedora.</w:t>
      </w:r>
    </w:p>
    <w:p>
      <w:pPr>
        <w:spacing w:after="90" w:line="276" w:lineRule="auto"/>
        <w:jc w:val="both"/>
      </w:pPr>
      <w:r>
        <w:rPr>
          <w:rFonts w:ascii="Calibri" w:hAnsi="Calibri"/>
          <w:color w:val="2F3A30"/>
          <w:sz w:val="21"/>
        </w:rPr>
        <w:t>En España, el emprendimiento ganó peso tras la crisis de 2008, con normas como la Ley de Emprendedores de 2013. Sus principales desafíos son que el apoyo llegue a emprendedores diversos, no solo tecnológicos, y que se mantenga más allá de la fase inicial, dado que muchas empresas nuevas fracasan en sus primeros años.</w:t>
      </w:r>
    </w:p>
    <w:p>
      <w:pPr>
        <w:pStyle w:val="Heading2"/>
        <w:keepNext/>
        <w:spacing w:before="360" w:after="100"/>
        <w:jc w:val="left"/>
      </w:pPr>
      <w:r>
        <w:rPr>
          <w:rFonts w:ascii="Outfit" w:hAnsi="Outfit"/>
          <w:b/>
          <w:color w:val="76927A"/>
          <w:sz w:val="25"/>
        </w:rPr>
        <w:t>3.5. Creación directa de empleo público</w:t>
      </w:r>
    </w:p>
    <w:p>
      <w:pPr>
        <w:spacing w:after="90" w:line="276" w:lineRule="auto"/>
        <w:jc w:val="both"/>
      </w:pPr>
      <w:r>
        <w:rPr>
          <w:rFonts w:ascii="Calibri" w:hAnsi="Calibri"/>
          <w:color w:val="2F3A30"/>
          <w:sz w:val="21"/>
        </w:rPr>
        <w:t>En los programas de creación directa de empleo, el sector público genera puestos de trabajo, sobre todo en periodos de paro elevado o para colectivos con especiales dificultades. Adoptan modalidades como la contratación temporal para obras o servicios de interés general, los planes de empleo local, los programas de primera experiencia profesional, los programas mixtos de empleo y formación (como las Escuelas Taller) o las iniciativas de empleo social y verde.</w:t>
      </w:r>
    </w:p>
    <w:p>
      <w:pPr>
        <w:spacing w:after="90" w:line="276" w:lineRule="auto"/>
        <w:jc w:val="both"/>
      </w:pPr>
      <w:r>
        <w:rPr>
          <w:rFonts w:ascii="Calibri" w:hAnsi="Calibri"/>
          <w:color w:val="2F3A30"/>
          <w:sz w:val="21"/>
        </w:rPr>
        <w:t>Su objetivo es proporcionar empleo a corto plazo y mantener el contacto de los desempleados con el mercado, evitando la pérdida de habilidades y la desmotivación. Sin embargo, la evidencia de los metaanálisis internacionales indica que suelen ser menos eficaces que la formación o la asistencia en la búsqueda para lograr una inserción duradera en el empleo privado (véase el epígrafe 7). En España se han usado sobre todo en crisis, con ejemplos recientes financiados por los fondos Next Generation EU. Su evaluación debe medir no solo los empleos creados, sino su calidad, su duración y su efecto sobre las trayectorias posteriores de los participantes.</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7 (SEMANA 4) — INCENTIVOS A LA CONTRATACIÓN: DISEÑO Y EFECTOS NO DESEADOS</w:t>
            </w:r>
          </w:p>
          <w:p>
            <w:pPr>
              <w:keepNext/>
              <w:spacing w:before="0" w:after="0" w:line="276" w:lineRule="auto"/>
              <w:jc w:val="both"/>
            </w:pPr>
            <w:r>
              <w:rPr>
                <w:rFonts w:ascii="Calibri" w:hAnsi="Calibri"/>
                <w:color w:val="2F3A30"/>
                <w:sz w:val="19"/>
              </w:rPr>
              <w:t>Línea 1: martes 06/10, 09:30-11:30. Línea 2: viernes 09/10, 17:30-19:30. En ambas líneas, la sesión precede inmediatamente a la EPD 1. Contenido: epígrafe 4 completo (lógica económica de los incentivos, instrumentos, variables de diseño, efectos no deseados y el caso del Programa Emplea-T) y epígrafes 5.1 y 5.2. Lectura autónoma: epígrafe 5.3.</w:t>
            </w:r>
          </w:p>
        </w:tc>
      </w:tr>
    </w:tbl>
    <w:p>
      <w:pPr>
        <w:spacing w:before="0" w:after="80"/>
      </w:pPr>
    </w:p>
    <w:p>
      <w:pPr>
        <w:pStyle w:val="Heading1"/>
        <w:keepNext/>
        <w:spacing w:before="520" w:after="120"/>
        <w:jc w:val="left"/>
      </w:pPr>
      <w:r>
        <w:rPr>
          <w:rFonts w:ascii="Outfit" w:hAnsi="Outfit"/>
          <w:b/>
          <w:color w:val="113927"/>
          <w:sz w:val="30"/>
        </w:rPr>
        <w:t>4. EL DISEÑO DE LOS INCENTIVOS A LA CONTRATACIÓN Y SUS EFECTOS</w:t>
      </w:r>
    </w:p>
    <w:p>
      <w:pPr>
        <w:spacing w:after="90" w:line="276" w:lineRule="auto"/>
        <w:jc w:val="both"/>
      </w:pPr>
      <w:r>
        <w:rPr>
          <w:rFonts w:ascii="Calibri" w:hAnsi="Calibri"/>
          <w:color w:val="2F3A30"/>
          <w:sz w:val="21"/>
        </w:rPr>
        <w:t>Un incentivo a la contratación puede parecer sencillo: la Administración paga parte del coste de un contrato y la empresa contrata. Detrás de esa sencillez hay decisiones de diseño que determinan si el dinero público crea empleo que no habría existido o si financia contrataciones que se iban a producir de todos modos. Este epígrafe ofrece las herramientas para analizar esa diferencia y es la base teórica del Caso 1 de las EPD.</w:t>
      </w:r>
    </w:p>
    <w:p>
      <w:pPr>
        <w:pStyle w:val="Heading2"/>
        <w:keepNext/>
        <w:spacing w:before="360" w:after="100"/>
        <w:jc w:val="left"/>
      </w:pPr>
      <w:r>
        <w:rPr>
          <w:rFonts w:ascii="Outfit" w:hAnsi="Outfit"/>
          <w:b/>
          <w:color w:val="76927A"/>
          <w:sz w:val="25"/>
        </w:rPr>
        <w:t>4.1. Por qué subvencionar la contratación</w:t>
      </w:r>
    </w:p>
    <w:p>
      <w:pPr>
        <w:spacing w:after="90" w:line="276" w:lineRule="auto"/>
        <w:jc w:val="both"/>
      </w:pPr>
      <w:r>
        <w:rPr>
          <w:rFonts w:ascii="Calibri" w:hAnsi="Calibri"/>
          <w:color w:val="2F3A30"/>
          <w:sz w:val="21"/>
        </w:rPr>
        <w:t>Una empresa contrata a un trabajador si espera que su productividad cubra su coste laboral, es decir, el salario más las cotizaciones sociales (Tema 1, epígrafe 3). Para algunos colectivos esa comparación resulta desfavorable aunque el trabajador pudiera ser productivo, por varias razones.</w:t>
      </w:r>
    </w:p>
    <w:p>
      <w:pPr>
        <w:spacing w:after="90" w:line="276" w:lineRule="auto"/>
        <w:jc w:val="both"/>
      </w:pPr>
      <w:r>
        <w:rPr>
          <w:rFonts w:ascii="Calibri" w:hAnsi="Calibri"/>
          <w:color w:val="2F3A30"/>
          <w:sz w:val="21"/>
        </w:rPr>
        <w:t xml:space="preserve">La primera es la </w:t>
      </w:r>
      <w:r>
        <w:rPr>
          <w:rFonts w:ascii="Calibri" w:hAnsi="Calibri"/>
          <w:b/>
          <w:color w:val="113927"/>
          <w:sz w:val="21"/>
        </w:rPr>
        <w:t>información imperfecta</w:t>
      </w:r>
      <w:r>
        <w:rPr>
          <w:rFonts w:ascii="Calibri" w:hAnsi="Calibri"/>
          <w:color w:val="2F3A30"/>
          <w:sz w:val="21"/>
        </w:rPr>
        <w:t xml:space="preserve">. El empleador no observa directamente la productividad y utiliza señales. Una larga permanencia en el paro se interpreta a menudo como indicio de baja productividad, de modo que el desempleado de larga duración queda filtrado antes de la entrevista. La segunda es la </w:t>
      </w:r>
      <w:r>
        <w:rPr>
          <w:rFonts w:ascii="Calibri" w:hAnsi="Calibri"/>
          <w:b/>
          <w:color w:val="113927"/>
          <w:sz w:val="21"/>
        </w:rPr>
        <w:t>depreciación del capital humano</w:t>
      </w:r>
      <w:r>
        <w:rPr>
          <w:rFonts w:ascii="Calibri" w:hAnsi="Calibri"/>
          <w:color w:val="2F3A30"/>
          <w:sz w:val="21"/>
        </w:rPr>
        <w:t xml:space="preserve">: con el tiempo fuera del empleo se pierden habilidades y hábitos de trabajo. La tercera es el </w:t>
      </w:r>
      <w:r>
        <w:rPr>
          <w:rFonts w:ascii="Calibri" w:hAnsi="Calibri"/>
          <w:b/>
          <w:color w:val="113927"/>
          <w:sz w:val="21"/>
        </w:rPr>
        <w:t>horizonte de amortización</w:t>
      </w:r>
      <w:r>
        <w:rPr>
          <w:rFonts w:ascii="Calibri" w:hAnsi="Calibri"/>
          <w:color w:val="2F3A30"/>
          <w:sz w:val="21"/>
        </w:rPr>
        <w:t>: para un trabajador mayor de 45 años, la empresa espera recuperar durante menos tiempo lo que invierte en su formación. En el caso de los jóvenes, pesa la falta de experiencia.</w:t>
      </w:r>
    </w:p>
    <w:p>
      <w:pPr>
        <w:spacing w:after="90" w:line="276" w:lineRule="auto"/>
        <w:jc w:val="both"/>
      </w:pPr>
      <w:r>
        <w:rPr>
          <w:rFonts w:ascii="Calibri" w:hAnsi="Calibri"/>
          <w:color w:val="2F3A30"/>
          <w:sz w:val="21"/>
        </w:rPr>
        <w:t xml:space="preserve">El incentivo reduce durante un periodo el coste laboral efectivo del trabajador y desplaza hacia arriba la demanda de trabajo de ese colectivo. Si durante ese periodo el trabajador demuestra su productividad y acumula experiencia, el emparejamiento puede mantenerse cuando termina la ayuda: el incentivo habrá corregido un fallo de información. Existe además una justificación social: como se vio con la </w:t>
      </w:r>
      <w:r>
        <w:rPr>
          <w:rFonts w:ascii="Calibri" w:hAnsi="Calibri"/>
          <w:b/>
          <w:color w:val="113927"/>
          <w:sz w:val="21"/>
        </w:rPr>
        <w:t>histéresis</w:t>
      </w:r>
      <w:r>
        <w:rPr>
          <w:rFonts w:ascii="Calibri" w:hAnsi="Calibri"/>
          <w:color w:val="2F3A30"/>
          <w:sz w:val="21"/>
        </w:rPr>
        <w:t xml:space="preserve"> en el Tema 1, el paro de larga duración tiende a perpetuarse, y romper esa dinámica tiene un valor que va más allá del trabajador concreto.</w:t>
      </w:r>
    </w:p>
    <w:p>
      <w:pPr>
        <w:spacing w:after="90" w:line="276" w:lineRule="auto"/>
        <w:jc w:val="both"/>
      </w:pPr>
      <w:r>
        <w:rPr>
          <w:rFonts w:ascii="Calibri" w:hAnsi="Calibri"/>
          <w:color w:val="2F3A30"/>
          <w:sz w:val="21"/>
        </w:rPr>
        <w:t>El razonamiento tiene un límite. Si el incentivo solo cambia quién es contratado, y no cuántos, reordena la cola de desempleados sin crear empleo adicional. Esa posibilidad se analiza en el epígrafe 4.4.</w:t>
      </w:r>
    </w:p>
    <w:p>
      <w:pPr>
        <w:pStyle w:val="Heading2"/>
        <w:keepNext/>
        <w:spacing w:before="360" w:after="100"/>
        <w:jc w:val="left"/>
      </w:pPr>
      <w:r>
        <w:rPr>
          <w:rFonts w:ascii="Outfit" w:hAnsi="Outfit"/>
          <w:b/>
          <w:color w:val="76927A"/>
          <w:sz w:val="25"/>
        </w:rPr>
        <w:t>4.2. Los instrumentos: subvención a tanto alzado frente a bonificación de cuotas</w:t>
      </w:r>
    </w:p>
    <w:p>
      <w:pPr>
        <w:spacing w:after="90" w:line="276" w:lineRule="auto"/>
        <w:jc w:val="both"/>
      </w:pPr>
      <w:r>
        <w:rPr>
          <w:rFonts w:ascii="Calibri" w:hAnsi="Calibri"/>
          <w:color w:val="2F3A30"/>
          <w:sz w:val="21"/>
        </w:rPr>
        <w:t xml:space="preserve">En España conviven dos grandes instrumentos. La </w:t>
      </w:r>
      <w:r>
        <w:rPr>
          <w:rFonts w:ascii="Calibri" w:hAnsi="Calibri"/>
          <w:b/>
          <w:color w:val="113927"/>
          <w:sz w:val="21"/>
        </w:rPr>
        <w:t>subvención a tanto alzado</w:t>
      </w:r>
      <w:r>
        <w:rPr>
          <w:rFonts w:ascii="Calibri" w:hAnsi="Calibri"/>
          <w:color w:val="2F3A30"/>
          <w:sz w:val="21"/>
        </w:rPr>
        <w:t xml:space="preserve"> consiste en una cantidad fija por contrato, abonada en uno o varios pagos. Es la fórmula de muchos programas autonómicos; el Programa Emplea-T de la Junta de Andalucía, por ejemplo, concede 15.000 euros por cada contratación indefinida a jornada completa realizada por una pyme (epígrafe 4.5). La </w:t>
      </w:r>
      <w:r>
        <w:rPr>
          <w:rFonts w:ascii="Calibri" w:hAnsi="Calibri"/>
          <w:b/>
          <w:color w:val="113927"/>
          <w:sz w:val="21"/>
        </w:rPr>
        <w:t>bonificación de cuotas</w:t>
      </w:r>
      <w:r>
        <w:rPr>
          <w:rFonts w:ascii="Calibri" w:hAnsi="Calibri"/>
          <w:color w:val="2F3A30"/>
          <w:sz w:val="21"/>
        </w:rPr>
        <w:t xml:space="preserve"> reduce cada mes la cotización empresarial a la Seguridad Social mientras dura el contrato. Es la fórmula estatal: el Real Decreto-ley 1/2023 establece para la contratación indefinida de personas desempleadas de larga duración una bonificación de 110 euros al mes durante tres años, que sube a 128 euros si se trata de una mujer o de una persona mayor de 45 años.</w:t>
      </w:r>
    </w:p>
    <w:p>
      <w:pPr>
        <w:spacing w:after="90" w:line="276" w:lineRule="auto"/>
        <w:jc w:val="both"/>
      </w:pPr>
      <w:r>
        <w:rPr>
          <w:rFonts w:ascii="Calibri" w:hAnsi="Calibri"/>
          <w:color w:val="2F3A30"/>
          <w:sz w:val="21"/>
        </w:rPr>
        <w:t>Conviene comparar magnitudes. Los tres años de bonificación suman 3.960 euros (4.608 euros en el caso de mujeres o mayores de 45), una cuarta parte de lo que concede el Emplea-T por un contrato de una pyme. Como referencia, el coste laboral anual de un trabajador con el salario mínimo de 2025 (1.184 euros en catorce pagas) ronda los 22.000 euros una vez sumadas las cotizaciones empresariales. Los dos instrumentos difieren también en otros rasgos:</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2304"/>
            <w:shd w:val="clear" w:color="auto" w:fill="113927"/>
            <w:tcMar>
              <w:top w:w="100" w:type="dxa"/>
              <w:left w:w="120" w:type="dxa"/>
              <w:bottom w:w="100" w:type="dxa"/>
              <w:right w:w="120" w:type="dxa"/>
            </w:tcMar>
          </w:tcPr>
          <w:p>
            <w:pPr>
              <w:spacing w:after="0"/>
              <w:jc w:val="left"/>
            </w:pPr>
            <w:r>
              <w:rPr>
                <w:rFonts w:ascii="Outfit" w:hAnsi="Outfit"/>
                <w:b/>
                <w:color w:val="FFFFFF"/>
                <w:sz w:val="19"/>
              </w:rPr>
              <w:t>Rasgo</w:t>
            </w:r>
          </w:p>
        </w:tc>
        <w:tc>
          <w:tcPr>
            <w:tcW w:type="dxa" w:w="3528"/>
            <w:shd w:val="clear" w:color="auto" w:fill="113927"/>
            <w:tcMar>
              <w:top w:w="100" w:type="dxa"/>
              <w:left w:w="120" w:type="dxa"/>
              <w:bottom w:w="100" w:type="dxa"/>
              <w:right w:w="120" w:type="dxa"/>
            </w:tcMar>
          </w:tcPr>
          <w:p>
            <w:pPr>
              <w:spacing w:after="0"/>
              <w:jc w:val="left"/>
            </w:pPr>
            <w:r>
              <w:rPr>
                <w:rFonts w:ascii="Outfit" w:hAnsi="Outfit"/>
                <w:b/>
                <w:color w:val="FFFFFF"/>
                <w:sz w:val="19"/>
              </w:rPr>
              <w:t>Subvención a tanto alzado</w:t>
            </w:r>
          </w:p>
        </w:tc>
        <w:tc>
          <w:tcPr>
            <w:tcW w:type="dxa" w:w="3528"/>
            <w:shd w:val="clear" w:color="auto" w:fill="113927"/>
            <w:tcMar>
              <w:top w:w="100" w:type="dxa"/>
              <w:left w:w="120" w:type="dxa"/>
              <w:bottom w:w="100" w:type="dxa"/>
              <w:right w:w="120" w:type="dxa"/>
            </w:tcMar>
          </w:tcPr>
          <w:p>
            <w:pPr>
              <w:spacing w:after="0"/>
              <w:jc w:val="left"/>
            </w:pPr>
            <w:r>
              <w:rPr>
                <w:rFonts w:ascii="Outfit" w:hAnsi="Outfit"/>
                <w:b/>
                <w:color w:val="FFFFFF"/>
                <w:sz w:val="19"/>
              </w:rPr>
              <w:t>Bonificación de cuotas</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Forma de percepción</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Pago monetario en uno o varios plazos</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Menor cotización cada mes</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Momento</w:t>
            </w:r>
          </w:p>
        </w:tc>
        <w:tc>
          <w:tcPr>
            <w:tcW w:type="dxa" w:w="3528"/>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Concentrado al inicio del contrato: aporta liquidez</w:t>
            </w:r>
          </w:p>
        </w:tc>
        <w:tc>
          <w:tcPr>
            <w:tcW w:type="dxa" w:w="3528"/>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Repartido a lo largo del contrato</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Vínculo con la permanencia</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Débil: si el contrato se extingue, hay que reclamar el reintegro</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Automático: si el contrato termina, la ayuda deja de percibirse</w:t>
            </w:r>
          </w:p>
        </w:tc>
      </w:tr>
      <w:tr>
        <w:trPr>
          <w:cantSplit/>
        </w:trPr>
        <w:tc>
          <w:tcPr>
            <w:tcW w:type="dxa" w:w="2304"/>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Gestión</w:t>
            </w:r>
          </w:p>
        </w:tc>
        <w:tc>
          <w:tcPr>
            <w:tcW w:type="dxa" w:w="3528"/>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Convocatoria, solicitud, resolución y comprobación</w:t>
            </w:r>
          </w:p>
        </w:tc>
        <w:tc>
          <w:tcPr>
            <w:tcW w:type="dxa" w:w="3528"/>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Se aplica en la liquidación de cuotas</w:t>
            </w:r>
          </w:p>
        </w:tc>
      </w:tr>
      <w:tr>
        <w:trPr>
          <w:cantSplit/>
        </w:trPr>
        <w:tc>
          <w:tcPr>
            <w:tcW w:type="dxa" w:w="2304"/>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Visibilidad</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Alta, sobre todo para pymes y autónomos</w:t>
            </w:r>
          </w:p>
        </w:tc>
        <w:tc>
          <w:tcPr>
            <w:tcW w:type="dxa" w:w="3528"/>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Baja: importe mensual reducido</w:t>
            </w:r>
          </w:p>
        </w:tc>
      </w:tr>
    </w:tbl>
    <w:p>
      <w:pPr>
        <w:spacing w:after="120"/>
      </w:pPr>
    </w:p>
    <w:p>
      <w:pPr>
        <w:spacing w:after="90" w:line="276" w:lineRule="auto"/>
        <w:jc w:val="both"/>
      </w:pPr>
      <w:r>
        <w:rPr>
          <w:rFonts w:ascii="Calibri" w:hAnsi="Calibri"/>
          <w:color w:val="2F3A30"/>
          <w:sz w:val="21"/>
        </w:rPr>
        <w:t xml:space="preserve">Existe una tercera vía, la </w:t>
      </w:r>
      <w:r>
        <w:rPr>
          <w:rFonts w:ascii="Calibri" w:hAnsi="Calibri"/>
          <w:b/>
          <w:color w:val="113927"/>
          <w:sz w:val="21"/>
        </w:rPr>
        <w:t>deducción fiscal</w:t>
      </w:r>
      <w:r>
        <w:rPr>
          <w:rFonts w:ascii="Calibri" w:hAnsi="Calibri"/>
          <w:color w:val="2F3A30"/>
          <w:sz w:val="21"/>
        </w:rPr>
        <w:t xml:space="preserve"> por contratación, menos utilizada en España. Su principal limitación es que solo beneficia a las empresas con beneficios suficientes para aplicarla.</w:t>
      </w:r>
    </w:p>
    <w:p>
      <w:pPr>
        <w:pStyle w:val="Heading2"/>
        <w:keepNext/>
        <w:spacing w:before="360" w:after="100"/>
        <w:jc w:val="left"/>
      </w:pPr>
      <w:r>
        <w:rPr>
          <w:rFonts w:ascii="Outfit" w:hAnsi="Outfit"/>
          <w:b/>
          <w:color w:val="76927A"/>
          <w:sz w:val="25"/>
        </w:rPr>
        <w:t>4.3. Las variables de diseño</w:t>
      </w:r>
    </w:p>
    <w:p>
      <w:pPr>
        <w:spacing w:after="90" w:line="276" w:lineRule="auto"/>
        <w:jc w:val="both"/>
      </w:pPr>
      <w:r>
        <w:rPr>
          <w:rFonts w:ascii="Calibri" w:hAnsi="Calibri"/>
          <w:color w:val="2F3A30"/>
          <w:sz w:val="21"/>
        </w:rPr>
        <w:t xml:space="preserve">Cualquier incentivo a la contratación se define por un conjunto reducido de decisiones. La primera es el </w:t>
      </w:r>
      <w:r>
        <w:rPr>
          <w:rFonts w:ascii="Calibri" w:hAnsi="Calibri"/>
          <w:b/>
          <w:color w:val="113927"/>
          <w:sz w:val="21"/>
        </w:rPr>
        <w:t>colectivo diana</w:t>
      </w:r>
      <w:r>
        <w:rPr>
          <w:rFonts w:ascii="Calibri" w:hAnsi="Calibri"/>
          <w:color w:val="2F3A30"/>
          <w:sz w:val="21"/>
        </w:rPr>
        <w:t xml:space="preserve">. Cuanto más amplio sea, más probable es subvencionar contrataciones que se habrían producido igualmente: no es lo mismo incentivar la contratación de cualquier menor de 30 años que la de jóvenes sin cualificación que llevan más de un año en paro. La segunda es la </w:t>
      </w:r>
      <w:r>
        <w:rPr>
          <w:rFonts w:ascii="Calibri" w:hAnsi="Calibri"/>
          <w:b/>
          <w:color w:val="113927"/>
          <w:sz w:val="21"/>
        </w:rPr>
        <w:t>cuantía</w:t>
      </w:r>
      <w:r>
        <w:rPr>
          <w:rFonts w:ascii="Calibri" w:hAnsi="Calibri"/>
          <w:color w:val="2F3A30"/>
          <w:sz w:val="21"/>
        </w:rPr>
        <w:t>, que debe compensar la diferencia entre coste y productividad esperada sin convertirse en una transferencia sin contrapartida.</w:t>
      </w:r>
    </w:p>
    <w:p>
      <w:pPr>
        <w:spacing w:after="90" w:line="276" w:lineRule="auto"/>
        <w:jc w:val="both"/>
      </w:pPr>
      <w:r>
        <w:rPr>
          <w:rFonts w:ascii="Calibri" w:hAnsi="Calibri"/>
          <w:color w:val="2F3A30"/>
          <w:sz w:val="21"/>
        </w:rPr>
        <w:t xml:space="preserve">La tercera es la </w:t>
      </w:r>
      <w:r>
        <w:rPr>
          <w:rFonts w:ascii="Calibri" w:hAnsi="Calibri"/>
          <w:b/>
          <w:color w:val="113927"/>
          <w:sz w:val="21"/>
        </w:rPr>
        <w:t>condicionalidad</w:t>
      </w:r>
      <w:r>
        <w:rPr>
          <w:rFonts w:ascii="Calibri" w:hAnsi="Calibri"/>
          <w:color w:val="2F3A30"/>
          <w:sz w:val="21"/>
        </w:rPr>
        <w:t xml:space="preserve">: el tipo de contrato exigido (indefinido o temporal, jornada completa o parcial) y la </w:t>
      </w:r>
      <w:r>
        <w:rPr>
          <w:rFonts w:ascii="Calibri" w:hAnsi="Calibri"/>
          <w:b/>
          <w:color w:val="113927"/>
          <w:sz w:val="21"/>
        </w:rPr>
        <w:t>obligación de permanencia</w:t>
      </w:r>
      <w:r>
        <w:rPr>
          <w:rFonts w:ascii="Calibri" w:hAnsi="Calibri"/>
          <w:color w:val="2F3A30"/>
          <w:sz w:val="21"/>
        </w:rPr>
        <w:t xml:space="preserve">, es decir, el tiempo mínimo durante el que debe mantenerse el contrato para no tener que devolver la ayuda. La cuarta es la </w:t>
      </w:r>
      <w:r>
        <w:rPr>
          <w:rFonts w:ascii="Calibri" w:hAnsi="Calibri"/>
          <w:b/>
          <w:color w:val="113927"/>
          <w:sz w:val="21"/>
        </w:rPr>
        <w:t>condición de empleo neto</w:t>
      </w:r>
      <w:r>
        <w:rPr>
          <w:rFonts w:ascii="Calibri" w:hAnsi="Calibri"/>
          <w:color w:val="2F3A30"/>
          <w:sz w:val="21"/>
        </w:rPr>
        <w:t xml:space="preserve">, que exige que la contratación aumente la plantilla de la empresa y no sustituya a trabajadores ya existentes. La quinta son las </w:t>
      </w:r>
      <w:r>
        <w:rPr>
          <w:rFonts w:ascii="Calibri" w:hAnsi="Calibri"/>
          <w:b/>
          <w:color w:val="113927"/>
          <w:sz w:val="21"/>
        </w:rPr>
        <w:t>exclusiones</w:t>
      </w:r>
      <w:r>
        <w:rPr>
          <w:rFonts w:ascii="Calibri" w:hAnsi="Calibri"/>
          <w:color w:val="2F3A30"/>
          <w:sz w:val="21"/>
        </w:rPr>
        <w:t xml:space="preserve">, que impiden subvencionar, por ejemplo, la recontratación de personas que acaban de salir de la misma empresa o la contratación de familiares. La sexta es el </w:t>
      </w:r>
      <w:r>
        <w:rPr>
          <w:rFonts w:ascii="Calibri" w:hAnsi="Calibri"/>
          <w:b/>
          <w:color w:val="113927"/>
          <w:sz w:val="21"/>
        </w:rPr>
        <w:t>procedimiento de concesión y pago</w:t>
      </w:r>
      <w:r>
        <w:rPr>
          <w:rFonts w:ascii="Calibri" w:hAnsi="Calibri"/>
          <w:color w:val="2F3A30"/>
          <w:sz w:val="21"/>
        </w:rPr>
        <w:t xml:space="preserve">: la concurrencia no competitiva concede la ayuda a todo solicitante que cumpla los requisitos hasta agotar el presupuesto, mientras que la concurrencia competitiva ordena las solicitudes según criterios de valoración. Por último, el </w:t>
      </w:r>
      <w:r>
        <w:rPr>
          <w:rFonts w:ascii="Calibri" w:hAnsi="Calibri"/>
          <w:b/>
          <w:color w:val="113927"/>
          <w:sz w:val="21"/>
        </w:rPr>
        <w:t>seguimiento y el reintegro</w:t>
      </w:r>
      <w:r>
        <w:rPr>
          <w:rFonts w:ascii="Calibri" w:hAnsi="Calibri"/>
          <w:color w:val="2F3A30"/>
          <w:sz w:val="21"/>
        </w:rPr>
        <w:t xml:space="preserve"> determinan si las condiciones anteriores se cumplen en la práctica.</w:t>
      </w:r>
    </w:p>
    <w:p>
      <w:pPr>
        <w:pStyle w:val="Heading2"/>
        <w:keepNext/>
        <w:spacing w:before="360" w:after="100"/>
        <w:jc w:val="left"/>
      </w:pPr>
      <w:r>
        <w:rPr>
          <w:rFonts w:ascii="Outfit" w:hAnsi="Outfit"/>
          <w:b/>
          <w:color w:val="76927A"/>
          <w:sz w:val="25"/>
        </w:rPr>
        <w:t>4.4. Los efectos no deseados</w:t>
      </w:r>
    </w:p>
    <w:p>
      <w:pPr>
        <w:spacing w:after="90" w:line="276" w:lineRule="auto"/>
        <w:jc w:val="both"/>
      </w:pPr>
      <w:r>
        <w:rPr>
          <w:rFonts w:ascii="Calibri" w:hAnsi="Calibri"/>
          <w:color w:val="2F3A30"/>
          <w:sz w:val="21"/>
        </w:rPr>
        <w:t xml:space="preserve">El resultado que interesa a la política pública no es el número de contratos subvencionados, sino el </w:t>
      </w:r>
      <w:r>
        <w:rPr>
          <w:rFonts w:ascii="Calibri" w:hAnsi="Calibri"/>
          <w:b/>
          <w:color w:val="113927"/>
          <w:sz w:val="21"/>
        </w:rPr>
        <w:t>empleo neto adicional</w:t>
      </w:r>
      <w:r>
        <w:rPr>
          <w:rFonts w:ascii="Calibri" w:hAnsi="Calibri"/>
          <w:color w:val="2F3A30"/>
          <w:sz w:val="21"/>
        </w:rPr>
        <w:t>: los puestos que existen gracias al incentivo y que no existirían sin él. Entre ambas cifras median varios efectos no deseados.</w:t>
      </w:r>
    </w:p>
    <w:p>
      <w:pPr>
        <w:spacing w:after="90" w:line="276" w:lineRule="auto"/>
        <w:jc w:val="both"/>
      </w:pPr>
      <w:r>
        <w:rPr>
          <w:rFonts w:ascii="Calibri" w:hAnsi="Calibri"/>
          <w:color w:val="2F3A30"/>
          <w:sz w:val="21"/>
        </w:rPr>
        <w:t xml:space="preserve">El </w:t>
      </w:r>
      <w:r>
        <w:rPr>
          <w:rFonts w:ascii="Calibri" w:hAnsi="Calibri"/>
          <w:b/>
          <w:color w:val="113927"/>
          <w:sz w:val="21"/>
        </w:rPr>
        <w:t>efecto peso muerto</w:t>
      </w:r>
      <w:r>
        <w:rPr>
          <w:rFonts w:ascii="Calibri" w:hAnsi="Calibri"/>
          <w:color w:val="2F3A30"/>
          <w:sz w:val="21"/>
        </w:rPr>
        <w:t xml:space="preserve"> (</w:t>
      </w:r>
      <w:r>
        <w:rPr>
          <w:rFonts w:ascii="Calibri" w:hAnsi="Calibri"/>
          <w:i/>
          <w:color w:val="2F3A30"/>
          <w:sz w:val="21"/>
        </w:rPr>
        <w:t>deadweight</w:t>
      </w:r>
      <w:r>
        <w:rPr>
          <w:rFonts w:ascii="Calibri" w:hAnsi="Calibri"/>
          <w:color w:val="2F3A30"/>
          <w:sz w:val="21"/>
        </w:rPr>
        <w:t>) recoge las contrataciones subvencionadas que se habrían realizado igualmente sin la ayuda. Es, con diferencia, el más importante en magnitud. Aumenta cuando el colectivo diana es amplio y cuando la ayuda llega a personas con alta probabilidad de ser contratadas. Una revisión de la evidencia internacional (Brown, 2015) recoge, por ejemplo, un programa francés de subvenciones para trabajadores de bajo salario en el que en torno al 84% de las contrataciones se habrían producido sin ayuda, y muestra que los programas limitados a personas desempleadas presentan un peso muerto menor que los programas generales.</w:t>
      </w:r>
    </w:p>
    <w:p>
      <w:pPr>
        <w:spacing w:after="90" w:line="276" w:lineRule="auto"/>
        <w:jc w:val="both"/>
      </w:pPr>
      <w:r>
        <w:rPr>
          <w:rFonts w:ascii="Calibri" w:hAnsi="Calibri"/>
          <w:color w:val="2F3A30"/>
          <w:sz w:val="21"/>
        </w:rPr>
        <w:t xml:space="preserve">El </w:t>
      </w:r>
      <w:r>
        <w:rPr>
          <w:rFonts w:ascii="Calibri" w:hAnsi="Calibri"/>
          <w:b/>
          <w:color w:val="113927"/>
          <w:sz w:val="21"/>
        </w:rPr>
        <w:t>efecto sustitución</w:t>
      </w:r>
      <w:r>
        <w:rPr>
          <w:rFonts w:ascii="Calibri" w:hAnsi="Calibri"/>
          <w:color w:val="2F3A30"/>
          <w:sz w:val="21"/>
        </w:rPr>
        <w:t xml:space="preserve"> se produce cuando la empresa contrata al trabajador subvencionado en lugar de otro no subvencionado al que habría contratado, o cuando reemplaza a un trabajador existente por otro que da derecho a la ayuda. La plantilla de la empresa no crece. Las condiciones de incremento neto de plantilla intentan limitarlo.</w:t>
      </w:r>
    </w:p>
    <w:p>
      <w:pPr>
        <w:spacing w:after="90" w:line="276" w:lineRule="auto"/>
        <w:jc w:val="both"/>
      </w:pPr>
      <w:r>
        <w:rPr>
          <w:rFonts w:ascii="Calibri" w:hAnsi="Calibri"/>
          <w:color w:val="2F3A30"/>
          <w:sz w:val="21"/>
        </w:rPr>
        <w:t xml:space="preserve">El </w:t>
      </w:r>
      <w:r>
        <w:rPr>
          <w:rFonts w:ascii="Calibri" w:hAnsi="Calibri"/>
          <w:b/>
          <w:color w:val="113927"/>
          <w:sz w:val="21"/>
        </w:rPr>
        <w:t>efecto desplazamiento</w:t>
      </w:r>
      <w:r>
        <w:rPr>
          <w:rFonts w:ascii="Calibri" w:hAnsi="Calibri"/>
          <w:color w:val="2F3A30"/>
          <w:sz w:val="21"/>
        </w:rPr>
        <w:t xml:space="preserve"> opera fuera de la empresa: la empresa subvencionada gana ventas y empleo a costa de competidoras que no reciben la ayuda y que reducen su plantilla. No se observa mirando solo a la empresa beneficiaria. Crépon et al. (2013) documentaron en Francia un fenómeno análogo para los programas de ayuda a la búsqueda de empleo: parte de las ganancias de los participantes se producía a costa de los no participantes que competían por los mismos puestos en el mismo mercado local.</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DF4F0"/>
            <w:tcMar>
              <w:top w:w="140" w:type="dxa"/>
              <w:left w:w="200" w:type="dxa"/>
              <w:bottom w:w="140" w:type="dxa"/>
              <w:right w:w="160" w:type="dxa"/>
            </w:tcMar>
            <w:tcBorders>
              <w:top w:val="none"/>
              <w:left w:val="single" w:sz="26" w:space="0" w:color="E98F71"/>
              <w:bottom w:val="none"/>
              <w:right w:val="none"/>
            </w:tcBorders>
          </w:tcPr>
          <w:p>
            <w:pPr>
              <w:keepNext/>
              <w:spacing w:before="0" w:after="40"/>
              <w:jc w:val="left"/>
            </w:pPr>
            <w:r>
              <w:rPr>
                <w:rFonts w:ascii="Outfit" w:hAnsi="Outfit"/>
                <w:b/>
                <w:color w:val="E98F71"/>
                <w:sz w:val="19"/>
              </w:rPr>
              <w:t>⚠️  TRAMPA HABITUAL: LA TERMINOLOGÍA VARÍA</w:t>
            </w:r>
          </w:p>
          <w:p>
            <w:pPr>
              <w:keepNext/>
              <w:spacing w:before="0" w:after="0" w:line="276" w:lineRule="auto"/>
              <w:jc w:val="both"/>
            </w:pPr>
            <w:r>
              <w:rPr>
                <w:rFonts w:ascii="Calibri" w:hAnsi="Calibri"/>
                <w:color w:val="2F3A30"/>
                <w:sz w:val="19"/>
              </w:rPr>
              <w:t>En la literatura anglosajona se llama a menudo «displacement» a lo que aquí denominamos sustitución (reemplazo de trabajadores dentro de la empresa). Lo relevante en un examen no es la etiqueta, sino identificar dónde se pierde el empleo: en una contratación que habría ocurrido igual (peso muerto), dentro de la propia empresa (sustitución) o en otras empresas (desplazamiento).</w:t>
            </w:r>
          </w:p>
        </w:tc>
      </w:tr>
    </w:tbl>
    <w:p>
      <w:pPr>
        <w:spacing w:before="0" w:after="80"/>
      </w:pPr>
    </w:p>
    <w:p>
      <w:pPr>
        <w:spacing w:after="90" w:line="276" w:lineRule="auto"/>
        <w:jc w:val="both"/>
      </w:pPr>
      <w:r>
        <w:rPr>
          <w:rFonts w:ascii="Calibri" w:hAnsi="Calibri"/>
          <w:color w:val="2F3A30"/>
          <w:sz w:val="21"/>
        </w:rPr>
        <w:t xml:space="preserve">A estos tres efectos se añaden otros tres. La </w:t>
      </w:r>
      <w:r>
        <w:rPr>
          <w:rFonts w:ascii="Calibri" w:hAnsi="Calibri"/>
          <w:b/>
          <w:color w:val="113927"/>
          <w:sz w:val="21"/>
        </w:rPr>
        <w:t>selección de los más empleables</w:t>
      </w:r>
      <w:r>
        <w:rPr>
          <w:rFonts w:ascii="Calibri" w:hAnsi="Calibri"/>
          <w:color w:val="2F3A30"/>
          <w:sz w:val="21"/>
        </w:rPr>
        <w:t xml:space="preserve"> (</w:t>
      </w:r>
      <w:r>
        <w:rPr>
          <w:rFonts w:ascii="Calibri" w:hAnsi="Calibri"/>
          <w:i/>
          <w:color w:val="2F3A30"/>
          <w:sz w:val="21"/>
        </w:rPr>
        <w:t>creaming</w:t>
      </w:r>
      <w:r>
        <w:rPr>
          <w:rFonts w:ascii="Calibri" w:hAnsi="Calibri"/>
          <w:color w:val="2F3A30"/>
          <w:sz w:val="21"/>
        </w:rPr>
        <w:t xml:space="preserve">) aparece cuando quien gestiona el programa o la empresa puede elegir a los beneficiarios y escoge a quienes tenían más probabilidades de encontrar empleo, lo que eleva el peso muerto. El </w:t>
      </w:r>
      <w:r>
        <w:rPr>
          <w:rFonts w:ascii="Calibri" w:hAnsi="Calibri"/>
          <w:b/>
          <w:color w:val="113927"/>
          <w:sz w:val="21"/>
        </w:rPr>
        <w:t>efecto rotación</w:t>
      </w:r>
      <w:r>
        <w:rPr>
          <w:rFonts w:ascii="Calibri" w:hAnsi="Calibri"/>
          <w:color w:val="2F3A30"/>
          <w:sz w:val="21"/>
        </w:rPr>
        <w:t xml:space="preserve"> se da cuando la empresa mantiene el contrato solo el tiempo mínimo exigido y lo sustituye después por otro subvencionado; las obligaciones de permanencia y las exclusiones intentan evitarlo. Por último, el </w:t>
      </w:r>
      <w:r>
        <w:rPr>
          <w:rFonts w:ascii="Calibri" w:hAnsi="Calibri"/>
          <w:b/>
          <w:color w:val="113927"/>
          <w:sz w:val="21"/>
        </w:rPr>
        <w:t>efecto estigma</w:t>
      </w:r>
      <w:r>
        <w:rPr>
          <w:rFonts w:ascii="Calibri" w:hAnsi="Calibri"/>
          <w:color w:val="2F3A30"/>
          <w:sz w:val="21"/>
        </w:rPr>
        <w:t>: la condición de trabajador subvencionado puede interpretarse como señal de baja productividad. En un experimento clásico en Dayton (Estados Unidos), los desempleados que presentaban a las empresas un bono de subvención salarial encontraron empleo con menos frecuencia que los que no lo presentaban (Burtless, 1985).</w:t>
      </w:r>
    </w:p>
    <w:p>
      <w:pPr>
        <w:spacing w:after="90" w:line="276" w:lineRule="auto"/>
        <w:jc w:val="both"/>
      </w:pPr>
      <w:r>
        <w:rPr>
          <w:rFonts w:ascii="Calibri" w:hAnsi="Calibri"/>
          <w:color w:val="2F3A30"/>
          <w:sz w:val="21"/>
        </w:rPr>
        <w:t>Si llamamos S al número de contrataciones subvencionadas y pm, s y d a las proporciones que se pierden por peso muerto, sustitución y desplazamiento, el empleo neto y el coste por empleo neto son:</w:t>
      </w:r>
    </w:p>
    <w:p>
      <w:pPr>
        <w:spacing w:before="120" w:after="120"/>
        <w:jc w:val="center"/>
      </w:pPr>
      <w:r>
        <w:rPr>
          <w:rFonts w:ascii="Calibri" w:hAnsi="Calibri"/>
          <w:b/>
          <w:color w:val="113927"/>
          <w:sz w:val="22"/>
        </w:rPr>
        <w:t>Empleo neto = S · (1 − pm − s − d)</w:t>
      </w:r>
    </w:p>
    <w:p>
      <w:pPr>
        <w:spacing w:before="120" w:after="120"/>
        <w:jc w:val="center"/>
      </w:pPr>
      <w:r>
        <w:rPr>
          <w:rFonts w:ascii="Calibri" w:hAnsi="Calibri"/>
          <w:b/>
          <w:color w:val="113927"/>
          <w:sz w:val="22"/>
        </w:rPr>
        <w:t>Coste por empleo neto = subvención por contrato / (1 − pm − s − d)</w:t>
      </w:r>
    </w:p>
    <w:p>
      <w:pPr>
        <w:spacing w:after="90" w:line="276" w:lineRule="auto"/>
        <w:jc w:val="both"/>
      </w:pPr>
      <w:r>
        <w:rPr>
          <w:rFonts w:ascii="Calibri" w:hAnsi="Calibri"/>
          <w:color w:val="2F3A30"/>
          <w:sz w:val="21"/>
        </w:rPr>
        <w:t>La segunda expresión muestra por qué estos efectos importan tanto. Si se pierde el 75% de las contrataciones subvencionadas, cada empleo neto cuesta cuatro veces la subvención nominal. La Figura 2.1 lo ilustra con un ejemplo.</w:t>
      </w:r>
    </w:p>
    <w:p>
      <w:pPr>
        <w:keepNext/>
        <w:spacing w:before="160" w:after="60"/>
        <w:jc w:val="center"/>
      </w:pPr>
      <w:r>
        <w:drawing>
          <wp:inline xmlns:a="http://schemas.openxmlformats.org/drawingml/2006/main" xmlns:pic="http://schemas.openxmlformats.org/drawingml/2006/picture">
            <wp:extent cx="5669280" cy="3008884"/>
            <wp:docPr id="2" name="Picture 2"/>
            <wp:cNvGraphicFramePr>
              <a:graphicFrameLocks noChangeAspect="1"/>
            </wp:cNvGraphicFramePr>
            <a:graphic>
              <a:graphicData uri="http://schemas.openxmlformats.org/drawingml/2006/picture">
                <pic:pic>
                  <pic:nvPicPr>
                    <pic:cNvPr id="0" name="incentivos_empleo_neto.png"/>
                    <pic:cNvPicPr/>
                  </pic:nvPicPr>
                  <pic:blipFill>
                    <a:blip r:embed="rId10"/>
                    <a:stretch>
                      <a:fillRect/>
                    </a:stretch>
                  </pic:blipFill>
                  <pic:spPr>
                    <a:xfrm>
                      <a:off x="0" y="0"/>
                      <a:ext cx="5669280" cy="3008884"/>
                    </a:xfrm>
                    <a:prstGeom prst="rect"/>
                  </pic:spPr>
                </pic:pic>
              </a:graphicData>
            </a:graphic>
          </wp:inline>
        </w:drawing>
      </w:r>
    </w:p>
    <w:p>
      <w:pPr>
        <w:keepNext/>
        <w:spacing w:before="0" w:after="20"/>
        <w:jc w:val="center"/>
      </w:pPr>
      <w:r>
        <w:rPr>
          <w:rFonts w:ascii="Outfit" w:hAnsi="Outfit"/>
          <w:b/>
          <w:color w:val="113927"/>
          <w:sz w:val="18"/>
        </w:rPr>
        <w:t>Figura 2.1: Del contrato subvencionado al empleo neto: descomposición ilustrativa.</w:t>
      </w:r>
    </w:p>
    <w:p>
      <w:pPr>
        <w:spacing w:before="0" w:after="160"/>
        <w:jc w:val="center"/>
      </w:pPr>
      <w:r>
        <w:rPr>
          <w:rFonts w:ascii="Calibri" w:hAnsi="Calibri"/>
          <w:i/>
          <w:color w:val="76927A"/>
          <w:sz w:val="16"/>
        </w:rPr>
        <w:t>Fuente: Elaboración propia para Políticas Sociolaborales (UPO). Cifras hipotéticas con fines docentes.</w:t>
      </w:r>
    </w:p>
    <w:p>
      <w:pPr>
        <w:spacing w:before="80" w:after="160"/>
        <w:jc w:val="both"/>
      </w:pPr>
      <w:r>
        <w:rPr>
          <w:rFonts w:ascii="Calibri" w:hAnsi="Calibri"/>
          <w:i/>
          <w:color w:val="2F3A30"/>
          <w:sz w:val="19"/>
        </w:rPr>
        <w:t>Interpretación de la Figura 2.1: un programa subvenciona 1.000 contratos con 15.000 euros cada uno. Si 600 se habrían firmado igualmente, 100 sustituyen a otros trabajadores de la misma empresa y 50 se compensan con pérdidas de empleo en empresas competidoras, el empleo neto es de 250 puestos y cada uno cuesta 60.000 euros, cuatro veces la subvención nominal.</w:t>
      </w:r>
    </w:p>
    <w:p>
      <w:pPr>
        <w:spacing w:after="90" w:line="276" w:lineRule="auto"/>
        <w:jc w:val="both"/>
      </w:pPr>
      <w:r>
        <w:rPr>
          <w:rFonts w:ascii="Calibri" w:hAnsi="Calibri"/>
          <w:color w:val="2F3A30"/>
          <w:sz w:val="21"/>
        </w:rPr>
        <w:t>En España, la Autoridad Independiente de Responsabilidad Fiscal evaluó en 2020 los incentivos a la contratación y al trabajo autónomo, en los que se gastaron alrededor de 2.000 millones de euros en 2018. Concluyó que facilitan la obtención de empleo en periodos de crisis, pero que sus efectos positivos son modestos y no persisten cuando termina el incentivo. Recomendó reducir el número de incentivos y concentrarlos en colectivos muy específicos de baja empleabilidad (AIReF, 2020). Los estudios académicos sobre subvenciones a la contratación indefinida en España apuntan en la misma dirección, con efectos limitados sobre la estabilidad del empleo a medio plazo (García-Pérez y Rebollo Sanz, 2009a).</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76927A"/>
              <w:bottom w:val="none"/>
              <w:right w:val="none"/>
            </w:tcBorders>
          </w:tcPr>
          <w:p>
            <w:pPr>
              <w:keepNext/>
              <w:spacing w:before="0" w:after="100"/>
              <w:jc w:val="left"/>
            </w:pPr>
            <w:r>
              <w:rPr>
                <w:rFonts w:ascii="Outfit" w:hAnsi="Outfit"/>
                <w:b/>
                <w:color w:val="113927"/>
                <w:sz w:val="20"/>
              </w:rPr>
              <w:t>💭  PARADA REFLEXIVA: ¿UN PROGRAMA DE ÉXITO?</w:t>
            </w:r>
          </w:p>
          <w:p>
            <w:pPr>
              <w:keepNext/>
              <w:spacing w:before="40" w:after="30" w:line="276" w:lineRule="auto"/>
              <w:jc w:val="left"/>
            </w:pPr>
            <w:r>
              <w:rPr>
                <w:rFonts w:ascii="Calibri" w:hAnsi="Calibri"/>
                <w:b/>
                <w:color w:val="76927A"/>
                <w:sz w:val="19"/>
              </w:rPr>
              <w:t xml:space="preserve">•  </w:t>
            </w:r>
            <w:r>
              <w:rPr>
                <w:rFonts w:ascii="Calibri" w:hAnsi="Calibri"/>
                <w:b/>
                <w:color w:val="113927"/>
                <w:sz w:val="19"/>
              </w:rPr>
              <w:t>Una consejería anuncia que el 85% de los contratos subvencionados seguía activo al cabo de dos años. ¿Demuestra eso que el programa funciona?</w:t>
            </w:r>
          </w:p>
          <w:p>
            <w:pPr>
              <w:keepNext/>
              <w:spacing w:before="0" w:after="80" w:line="276" w:lineRule="auto"/>
              <w:ind w:left="259"/>
              <w:jc w:val="both"/>
            </w:pPr>
            <w:r>
              <w:rPr>
                <w:rFonts w:ascii="Calibri" w:hAnsi="Calibri"/>
                <w:color w:val="2F3A30"/>
                <w:sz w:val="19"/>
              </w:rPr>
              <w:t>No necesariamente. La cifra mide cuántos contratos subvencionados se mantienen, no cuántos existen gracias a la ayuda. Si la mayoría se habría firmado igualmente (peso muerto), una alta tasa de permanencia es compatible con un empleo neto muy reducido. Para saberlo hay que estimar qué habría pasado sin el programa (epígrafe 6).</w:t>
            </w:r>
          </w:p>
          <w:p>
            <w:pPr>
              <w:keepNext/>
              <w:spacing w:before="100" w:after="30" w:line="276" w:lineRule="auto"/>
              <w:jc w:val="left"/>
            </w:pPr>
            <w:r>
              <w:rPr>
                <w:rFonts w:ascii="Calibri" w:hAnsi="Calibri"/>
                <w:b/>
                <w:color w:val="76927A"/>
                <w:sz w:val="19"/>
              </w:rPr>
              <w:t xml:space="preserve">•  </w:t>
            </w:r>
            <w:r>
              <w:rPr>
                <w:rFonts w:ascii="Calibri" w:hAnsi="Calibri"/>
                <w:b/>
                <w:color w:val="113927"/>
                <w:sz w:val="19"/>
              </w:rPr>
              <w:t>¿Por qué ampliar el colectivo diana a todos los menores de 30 años puede encarecer cada empleo neto?</w:t>
            </w:r>
          </w:p>
          <w:p>
            <w:pPr>
              <w:keepNext/>
              <w:spacing w:before="0" w:after="80" w:line="276" w:lineRule="auto"/>
              <w:ind w:left="259"/>
              <w:jc w:val="both"/>
            </w:pPr>
            <w:r>
              <w:rPr>
                <w:rFonts w:ascii="Calibri" w:hAnsi="Calibri"/>
                <w:color w:val="2F3A30"/>
                <w:sz w:val="19"/>
              </w:rPr>
              <w:t>Porque entre los menores de 30 hay muchas personas con alta probabilidad de ser contratadas sin ayuda. Cuanto mayor es esa probabilidad, mayor es el peso muerto y, por la fórmula anterior, mayor el coste por empleo neto.</w:t>
            </w:r>
          </w:p>
        </w:tc>
      </w:tr>
    </w:tbl>
    <w:p>
      <w:pPr>
        <w:spacing w:before="0" w:after="80"/>
      </w:pPr>
    </w:p>
    <w:p>
      <w:pPr>
        <w:pStyle w:val="Heading2"/>
        <w:keepNext/>
        <w:spacing w:before="360" w:after="100"/>
        <w:jc w:val="left"/>
      </w:pPr>
      <w:r>
        <w:rPr>
          <w:rFonts w:ascii="Outfit" w:hAnsi="Outfit"/>
          <w:b/>
          <w:color w:val="76927A"/>
          <w:sz w:val="25"/>
        </w:rPr>
        <w:t>4.5. Un caso real: el Programa Emplea-T de la Junta de Andalucía</w:t>
      </w:r>
    </w:p>
    <w:p>
      <w:pPr>
        <w:spacing w:after="90" w:line="276" w:lineRule="auto"/>
        <w:jc w:val="both"/>
      </w:pPr>
      <w:r>
        <w:rPr>
          <w:rFonts w:ascii="Calibri" w:hAnsi="Calibri"/>
          <w:color w:val="2F3A30"/>
          <w:sz w:val="21"/>
        </w:rPr>
        <w:t xml:space="preserve">La </w:t>
      </w:r>
      <w:r>
        <w:rPr>
          <w:rFonts w:ascii="Calibri" w:hAnsi="Calibri"/>
          <w:b/>
          <w:color w:val="113927"/>
          <w:sz w:val="21"/>
        </w:rPr>
        <w:t>Orden de 3 de octubre de 2024</w:t>
      </w:r>
      <w:r>
        <w:rPr>
          <w:rFonts w:ascii="Calibri" w:hAnsi="Calibri"/>
          <w:color w:val="2F3A30"/>
          <w:sz w:val="21"/>
        </w:rPr>
        <w:t xml:space="preserve"> (BOJA núm. 197, de 9 de octubre de 2024) aprueba las bases reguladoras de las subvenciones para la inserción laboral y el fomento de la contratación en Andalucía, Programa Emplea-T. Las ayudas se conceden en régimen de </w:t>
      </w:r>
      <w:r>
        <w:rPr>
          <w:rFonts w:ascii="Calibri" w:hAnsi="Calibri"/>
          <w:b/>
          <w:color w:val="113927"/>
          <w:sz w:val="21"/>
        </w:rPr>
        <w:t>concurrencia no competitiva</w:t>
      </w:r>
      <w:r>
        <w:rPr>
          <w:rFonts w:ascii="Calibri" w:hAnsi="Calibri"/>
          <w:color w:val="2F3A30"/>
          <w:sz w:val="21"/>
        </w:rPr>
        <w:t xml:space="preserve"> a personas trabajadoras autónomas, mutualistas de colegios profesionales y pymes, y pueden cofinanciarse con el Fondo Social Europeo Plus. Los colectivos destinatarios son las personas desempleadas menores de 30 años, las mayores de 45, las personas con discapacidad, las desempleadas de larga duración y los jóvenes inscritos en el Sistema Nacional de Garantía Juvenil. La orden define como persona desempleada de larga duración a quien haya permanecido inscrita como demandante no ocupada durante 360 días en los 18 meses anteriores.</w:t>
      </w:r>
    </w:p>
    <w:p>
      <w:pPr>
        <w:spacing w:after="90" w:line="276" w:lineRule="auto"/>
        <w:jc w:val="both"/>
      </w:pPr>
      <w:r>
        <w:rPr>
          <w:rFonts w:ascii="Calibri" w:hAnsi="Calibri"/>
          <w:color w:val="2F3A30"/>
          <w:sz w:val="21"/>
        </w:rPr>
        <w:t>La orden regula siete líneas. Las dos principales para el análisis son la Línea 1 (primera contratación indefinida por parte de un autónomo: 18.000 euros a jornada completa y 9.000 euros a jornada parcial de al menos el 50%) y la Línea 2 (contrataciones indefinidas por pymes y segundas o sucesivas contrataciones de autónomos: 15.000 y 7.500 euros, respectivamente). En ambas, la cuantía aumenta en 2.000 euros (1.000 euros a jornada parcial) si la persona contratada es mujer. Otras líneas incentivan la contratación de personas con discapacidad (20.000 euros a jornada completa), la conversión de jornadas parciales en completas, la contratación tras prácticas no laborales y el empleo juvenil en corporaciones locales.</w:t>
      </w:r>
    </w:p>
    <w:p>
      <w:pPr>
        <w:spacing w:after="90" w:line="276" w:lineRule="auto"/>
        <w:jc w:val="both"/>
      </w:pPr>
      <w:r>
        <w:rPr>
          <w:rFonts w:ascii="Calibri" w:hAnsi="Calibri"/>
          <w:color w:val="2F3A30"/>
          <w:sz w:val="21"/>
        </w:rPr>
        <w:t>La tabla siguiente relaciona las principales cláusulas de la orden con los efectos del epígrafe anterior:</w:t>
      </w:r>
    </w:p>
    <w:tbl>
      <w:tblPr>
        <w:tblW w:type="auto" w:w="0"/>
        <w:jc w:val="center"/>
        <w:tblLayout w:type="fixed"/>
        <w:tblLook w:firstColumn="1" w:firstRow="1" w:lastColumn="0" w:lastRow="0" w:noHBand="0" w:noVBand="1" w:val="04A0"/>
        <w:tblBorders>
          <w:top w:val="single" w:sz="6" w:space="0" w:color="113927"/>
          <w:bottom w:val="single" w:sz="6" w:space="0" w:color="113927"/>
          <w:insideH w:val="single" w:sz="4" w:space="0" w:color="D0DCD2"/>
          <w:left w:val="none"/>
          <w:right w:val="none"/>
          <w:insideV w:val="none"/>
        </w:tblBorders>
      </w:tblPr>
      <w:tblGrid>
        <w:gridCol w:w="3139"/>
        <w:gridCol w:w="3139"/>
        <w:gridCol w:w="3139"/>
      </w:tblGrid>
      <w:tr>
        <w:trPr>
          <w:tblHeader w:val="true"/>
          <w:cantSplit/>
        </w:trPr>
        <w:tc>
          <w:tcPr>
            <w:tcW w:type="dxa" w:w="3168"/>
            <w:shd w:val="clear" w:color="auto" w:fill="113927"/>
            <w:tcMar>
              <w:top w:w="100" w:type="dxa"/>
              <w:left w:w="120" w:type="dxa"/>
              <w:bottom w:w="100" w:type="dxa"/>
              <w:right w:w="120" w:type="dxa"/>
            </w:tcMar>
          </w:tcPr>
          <w:p>
            <w:pPr>
              <w:spacing w:after="0"/>
              <w:jc w:val="left"/>
            </w:pPr>
            <w:r>
              <w:rPr>
                <w:rFonts w:ascii="Outfit" w:hAnsi="Outfit"/>
                <w:b/>
                <w:color w:val="FFFFFF"/>
                <w:sz w:val="19"/>
              </w:rPr>
              <w:t>Cláusula de la Orden</w:t>
            </w:r>
          </w:p>
        </w:tc>
        <w:tc>
          <w:tcPr>
            <w:tcW w:type="dxa" w:w="2736"/>
            <w:shd w:val="clear" w:color="auto" w:fill="113927"/>
            <w:tcMar>
              <w:top w:w="100" w:type="dxa"/>
              <w:left w:w="120" w:type="dxa"/>
              <w:bottom w:w="100" w:type="dxa"/>
              <w:right w:w="120" w:type="dxa"/>
            </w:tcMar>
          </w:tcPr>
          <w:p>
            <w:pPr>
              <w:spacing w:after="0"/>
              <w:jc w:val="left"/>
            </w:pPr>
            <w:r>
              <w:rPr>
                <w:rFonts w:ascii="Outfit" w:hAnsi="Outfit"/>
                <w:b/>
                <w:color w:val="FFFFFF"/>
                <w:sz w:val="19"/>
              </w:rPr>
              <w:t>Efecto que intenta limitar</w:t>
            </w:r>
          </w:p>
        </w:tc>
        <w:tc>
          <w:tcPr>
            <w:tcW w:type="dxa" w:w="3456"/>
            <w:shd w:val="clear" w:color="auto" w:fill="113927"/>
            <w:tcMar>
              <w:top w:w="100" w:type="dxa"/>
              <w:left w:w="120" w:type="dxa"/>
              <w:bottom w:w="100" w:type="dxa"/>
              <w:right w:w="120" w:type="dxa"/>
            </w:tcMar>
          </w:tcPr>
          <w:p>
            <w:pPr>
              <w:spacing w:after="0"/>
              <w:jc w:val="left"/>
            </w:pPr>
            <w:r>
              <w:rPr>
                <w:rFonts w:ascii="Outfit" w:hAnsi="Outfit"/>
                <w:b/>
                <w:color w:val="FFFFFF"/>
                <w:sz w:val="19"/>
              </w:rPr>
              <w:t>Qué deja abierto</w:t>
            </w:r>
          </w:p>
        </w:tc>
      </w:tr>
      <w:tr>
        <w:trPr>
          <w:cantSplit/>
        </w:trPr>
        <w:tc>
          <w:tcPr>
            <w:tcW w:type="dxa" w:w="3168"/>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Contrato indefinido mantenido al menos 24 meses</w:t>
            </w:r>
          </w:p>
        </w:tc>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Rotación y empleos de corta duración</w:t>
            </w:r>
          </w:p>
        </w:tc>
        <w:tc>
          <w:tcPr>
            <w:tcW w:type="dxa" w:w="345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El segundo pago (50%) se abona tras comprobar 12 meses; el resto depende del reintegro</w:t>
            </w:r>
          </w:p>
        </w:tc>
      </w:tr>
      <w:tr>
        <w:trPr>
          <w:cantSplit/>
        </w:trPr>
        <w:tc>
          <w:tcPr>
            <w:tcW w:type="dxa" w:w="3168"/>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Incremento neto de plantilla fija (sin extinciones de indefinidos imputables a la empresa en los 3 meses previos)</w:t>
            </w:r>
          </w:p>
        </w:tc>
        <w:tc>
          <w:tcPr>
            <w:tcW w:type="dxa" w:w="2736"/>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Sustitución dentro de la empresa</w:t>
            </w:r>
          </w:p>
        </w:tc>
        <w:tc>
          <w:tcPr>
            <w:tcW w:type="dxa" w:w="3456"/>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No impide la sustitución de trabajadores temporales ni el desplazamiento en otras empresas</w:t>
            </w:r>
          </w:p>
        </w:tc>
      </w:tr>
      <w:tr>
        <w:trPr>
          <w:cantSplit/>
        </w:trPr>
        <w:tc>
          <w:tcPr>
            <w:tcW w:type="dxa" w:w="3168"/>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Exclusión de quien tuvo un indefinido en la misma empresa o grupo en los 6 meses anteriores, de familiares y de fijos discontinuos</w:t>
            </w:r>
          </w:p>
        </w:tc>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Recontrataciones oportunistas</w:t>
            </w:r>
          </w:p>
        </w:tc>
        <w:tc>
          <w:tcPr>
            <w:tcW w:type="dxa" w:w="345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No afecta al peso muerto</w:t>
            </w:r>
          </w:p>
        </w:tc>
      </w:tr>
      <w:tr>
        <w:trPr>
          <w:cantSplit/>
        </w:trPr>
        <w:tc>
          <w:tcPr>
            <w:tcW w:type="dxa" w:w="3168"/>
            <w:shd w:val="clear" w:color="auto" w:fill="FFFFFF"/>
            <w:tcMar>
              <w:top w:w="90" w:type="dxa"/>
              <w:left w:w="120" w:type="dxa"/>
              <w:bottom w:w="90" w:type="dxa"/>
              <w:right w:w="120" w:type="dxa"/>
            </w:tcMar>
          </w:tcPr>
          <w:p>
            <w:pPr>
              <w:spacing w:after="0" w:line="264" w:lineRule="auto"/>
              <w:jc w:val="left"/>
            </w:pPr>
            <w:r>
              <w:rPr>
                <w:rFonts w:ascii="Calibri" w:hAnsi="Calibri"/>
                <w:b/>
                <w:color w:val="113927"/>
                <w:sz w:val="18"/>
              </w:rPr>
              <w:t>Colectivos definidos por edad (menores de 30, mayores de 45) o por duración del paro</w:t>
            </w:r>
          </w:p>
        </w:tc>
        <w:tc>
          <w:tcPr>
            <w:tcW w:type="dxa" w:w="2736"/>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Focaliza en grupos con más dificultades</w:t>
            </w:r>
          </w:p>
        </w:tc>
        <w:tc>
          <w:tcPr>
            <w:tcW w:type="dxa" w:w="3456"/>
            <w:shd w:val="clear" w:color="auto" w:fill="FFFFFF"/>
            <w:tcMar>
              <w:top w:w="90" w:type="dxa"/>
              <w:left w:w="120" w:type="dxa"/>
              <w:bottom w:w="90" w:type="dxa"/>
              <w:right w:w="120" w:type="dxa"/>
            </w:tcMar>
          </w:tcPr>
          <w:p>
            <w:pPr>
              <w:spacing w:after="0" w:line="264" w:lineRule="auto"/>
              <w:jc w:val="left"/>
            </w:pPr>
            <w:r>
              <w:rPr>
                <w:rFonts w:ascii="Calibri" w:hAnsi="Calibri"/>
                <w:color w:val="2F3A30"/>
                <w:sz w:val="18"/>
              </w:rPr>
              <w:t>Los colectivos por edad son amplios: riesgo de peso muerto elevado</w:t>
            </w:r>
          </w:p>
        </w:tc>
      </w:tr>
      <w:tr>
        <w:trPr>
          <w:cantSplit/>
        </w:trPr>
        <w:tc>
          <w:tcPr>
            <w:tcW w:type="dxa" w:w="3168"/>
            <w:shd w:val="clear" w:color="auto" w:fill="F7FAF8"/>
            <w:tcMar>
              <w:top w:w="90" w:type="dxa"/>
              <w:left w:w="120" w:type="dxa"/>
              <w:bottom w:w="90" w:type="dxa"/>
              <w:right w:w="120" w:type="dxa"/>
            </w:tcMar>
          </w:tcPr>
          <w:p>
            <w:pPr>
              <w:spacing w:after="0" w:line="264" w:lineRule="auto"/>
              <w:jc w:val="left"/>
            </w:pPr>
            <w:r>
              <w:rPr>
                <w:rFonts w:ascii="Calibri" w:hAnsi="Calibri"/>
                <w:b/>
                <w:color w:val="113927"/>
                <w:sz w:val="18"/>
              </w:rPr>
              <w:t>Concurrencia no competitiva</w:t>
            </w:r>
          </w:p>
        </w:tc>
        <w:tc>
          <w:tcPr>
            <w:tcW w:type="dxa" w:w="273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Simplifica y acelera la concesión</w:t>
            </w:r>
          </w:p>
        </w:tc>
        <w:tc>
          <w:tcPr>
            <w:tcW w:type="dxa" w:w="3456"/>
            <w:shd w:val="clear" w:color="auto" w:fill="F7FAF8"/>
            <w:tcMar>
              <w:top w:w="90" w:type="dxa"/>
              <w:left w:w="120" w:type="dxa"/>
              <w:bottom w:w="90" w:type="dxa"/>
              <w:right w:w="120" w:type="dxa"/>
            </w:tcMar>
          </w:tcPr>
          <w:p>
            <w:pPr>
              <w:spacing w:after="0" w:line="264" w:lineRule="auto"/>
              <w:jc w:val="left"/>
            </w:pPr>
            <w:r>
              <w:rPr>
                <w:rFonts w:ascii="Calibri" w:hAnsi="Calibri"/>
                <w:color w:val="2F3A30"/>
                <w:sz w:val="18"/>
              </w:rPr>
              <w:t>No prioriza a los perfiles de menor empleabilidad</w:t>
            </w:r>
          </w:p>
        </w:tc>
      </w:tr>
    </w:tbl>
    <w:p>
      <w:pPr>
        <w:spacing w:after="120"/>
      </w:pPr>
    </w:p>
    <w:p>
      <w:pPr>
        <w:spacing w:after="90" w:line="276" w:lineRule="auto"/>
        <w:jc w:val="both"/>
      </w:pPr>
      <w:r>
        <w:rPr>
          <w:rFonts w:ascii="Calibri" w:hAnsi="Calibri"/>
          <w:color w:val="2F3A30"/>
          <w:sz w:val="21"/>
        </w:rPr>
        <w:t>La lectura conjunta sugiere que la orden protege bien frente a la rotación y a la sustitución de trabajadores fijos, pero deja abierto el principal riesgo cuantitativo, el peso muerto, al definir colectivos amplios y conceder la ayuda por orden de solicitud. Esa tensión entre sencillez de gestión y focalización es el punto de partida del Caso 1 de las EPD.</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CONEXIÓN CON LAS EPD · CASO 1</w:t>
            </w:r>
          </w:p>
          <w:p>
            <w:pPr>
              <w:keepNext/>
              <w:spacing w:before="0" w:after="0" w:line="276" w:lineRule="auto"/>
              <w:jc w:val="both"/>
            </w:pPr>
            <w:r>
              <w:rPr>
                <w:rFonts w:ascii="Calibri" w:hAnsi="Calibri"/>
                <w:color w:val="2F3A30"/>
                <w:sz w:val="19"/>
              </w:rPr>
              <w:t>En las EPD 1, 2 y 3 se trabaja sobre esta orden. En la EPD 1 se diagnostica el colectivo de parados de larga duración; en la EPD 2 se rediseñan las cuantías y las cláusulas del incentivo; en la EPD 3 se estima el peso muerto y el coste por empleo neto con las herramientas de los epígrafes 4.4 y 6.</w:t>
            </w:r>
          </w:p>
        </w:tc>
      </w:tr>
    </w:tbl>
    <w:p>
      <w:pPr>
        <w:spacing w:before="0" w:after="80"/>
      </w:pPr>
    </w:p>
    <w:p>
      <w:pPr>
        <w:pStyle w:val="Heading1"/>
        <w:keepNext/>
        <w:spacing w:before="520" w:after="120"/>
        <w:jc w:val="left"/>
      </w:pPr>
      <w:r>
        <w:rPr>
          <w:rFonts w:ascii="Outfit" w:hAnsi="Outfit"/>
          <w:b/>
          <w:color w:val="113927"/>
          <w:sz w:val="30"/>
        </w:rPr>
        <w:t>5. POLÍTICAS ESPECÍFICAS Y PROGRAMAS DESTACADOS</w:t>
      </w:r>
    </w:p>
    <w:p>
      <w:pPr>
        <w:spacing w:after="90" w:line="276" w:lineRule="auto"/>
        <w:jc w:val="both"/>
      </w:pPr>
      <w:r>
        <w:rPr>
          <w:rFonts w:ascii="Calibri" w:hAnsi="Calibri"/>
          <w:color w:val="2F3A30"/>
          <w:sz w:val="21"/>
        </w:rPr>
        <w:t>Además de la tipología general, España ha desarrollado programas específicos que merecen atención por su alcance, su financiación o su carácter innovador: el Sistema Nacional de Garantía Juvenil, los programas financiados con fondos europeos y la digitalización de los servicios públicos de empleo.</w:t>
      </w:r>
    </w:p>
    <w:p>
      <w:pPr>
        <w:pStyle w:val="Heading2"/>
        <w:keepNext/>
        <w:spacing w:before="360" w:after="100"/>
        <w:jc w:val="left"/>
      </w:pPr>
      <w:r>
        <w:rPr>
          <w:rFonts w:ascii="Outfit" w:hAnsi="Outfit"/>
          <w:b/>
          <w:color w:val="76927A"/>
          <w:sz w:val="25"/>
        </w:rPr>
        <w:t>5.1. Sistema Nacional de Garantía Juvenil</w:t>
      </w:r>
    </w:p>
    <w:p>
      <w:pPr>
        <w:spacing w:after="90" w:line="276" w:lineRule="auto"/>
        <w:jc w:val="both"/>
      </w:pPr>
      <w:r>
        <w:rPr>
          <w:rFonts w:ascii="Calibri" w:hAnsi="Calibri"/>
          <w:color w:val="2F3A30"/>
          <w:sz w:val="21"/>
        </w:rPr>
        <w:t>El Sistema Nacional de Garantía Juvenil es una de las iniciativas más ambiciosas contra el desempleo juvenil en España. Nace de la Recomendación del Consejo de la Unión Europea de 2013 y pretende que todos los jóvenes reciban una buena oferta de empleo, educación continua, formación de aprendiz o prácticas en un plazo máximo de cuatro meses tras quedar desempleados o terminar su educación formal. Se dirige a jóvenes de 16 a 29 años (el límite inicial era de 25) que no trabajan ni estudian. La inscripción en el sistema da acceso a medidas de intermediación, programas de empleabilidad, apoyo a la contratación e incentivos al emprendimiento; el propio Programa Emplea-T incluye líneas específicas para jóvenes inscritos.</w:t>
      </w:r>
    </w:p>
    <w:p>
      <w:pPr>
        <w:spacing w:after="90" w:line="276" w:lineRule="auto"/>
        <w:jc w:val="both"/>
      </w:pPr>
      <w:r>
        <w:rPr>
          <w:rFonts w:ascii="Calibri" w:hAnsi="Calibri"/>
          <w:color w:val="2F3A30"/>
          <w:sz w:val="21"/>
        </w:rPr>
        <w:t xml:space="preserve">El </w:t>
      </w:r>
      <w:r>
        <w:rPr>
          <w:rFonts w:ascii="Calibri" w:hAnsi="Calibri"/>
          <w:b/>
          <w:color w:val="113927"/>
          <w:sz w:val="21"/>
        </w:rPr>
        <w:t>Plan de Garantía Juvenil Plus 2021-2027</w:t>
      </w:r>
      <w:r>
        <w:rPr>
          <w:rFonts w:ascii="Calibri" w:hAnsi="Calibri"/>
          <w:color w:val="2F3A30"/>
          <w:sz w:val="21"/>
        </w:rPr>
        <w:t>, aprobado en junio de 2021, es la versión más reciente de esta iniciativa: un documento programático de 69 medidas articuladas en seis ejes. Se ejecuta a través de los servicios públicos de empleo autonómicos y entidades colaboradoras, y la Estrategia 2025-2028 prevé reforzar su conexión con los servicios del Sistema Nacional de Empleo, con atención al perfilado de cada joven, su itinerario personalizado y el acompañamiento especializado. El programa cuenta con cuadros de mando que siguen la situación posterior de los beneficiarios y con una evaluación intermedia de la OCDE, con apoyo de la Comisión Europea. La evidencia internacional sobre programas de empleo juvenil muestra efectos positivos, aunque en promedio modestos (Kluve et al., 2019).</w:t>
      </w:r>
    </w:p>
    <w:p>
      <w:pPr>
        <w:pStyle w:val="Heading2"/>
        <w:keepNext/>
        <w:spacing w:before="360" w:after="100"/>
        <w:jc w:val="left"/>
      </w:pPr>
      <w:r>
        <w:rPr>
          <w:rFonts w:ascii="Outfit" w:hAnsi="Outfit"/>
          <w:b/>
          <w:color w:val="76927A"/>
          <w:sz w:val="25"/>
        </w:rPr>
        <w:t>5.2. Programas financiados con fondos europeos</w:t>
      </w:r>
    </w:p>
    <w:p>
      <w:pPr>
        <w:spacing w:after="90" w:line="276" w:lineRule="auto"/>
        <w:jc w:val="both"/>
      </w:pPr>
      <w:r>
        <w:rPr>
          <w:rFonts w:ascii="Calibri" w:hAnsi="Calibri"/>
          <w:color w:val="2F3A30"/>
          <w:sz w:val="21"/>
        </w:rPr>
        <w:t>El Plan de Recuperación, Transformación y Resiliencia, financiado por el Mecanismo de Recuperación y Resiliencia (Next Generation EU), ha supuesto un impulso sin precedentes para las políticas activas en España. Ha permitido intensificar las políticas existentes y financiar programas de creación de empleo en sectores como la transición ecológica y la digitalización, combinados con formación especializada.</w:t>
      </w:r>
    </w:p>
    <w:p>
      <w:pPr>
        <w:spacing w:after="90" w:line="276" w:lineRule="auto"/>
        <w:jc w:val="both"/>
      </w:pPr>
      <w:r>
        <w:rPr>
          <w:rFonts w:ascii="Calibri" w:hAnsi="Calibri"/>
          <w:color w:val="2F3A30"/>
          <w:sz w:val="21"/>
        </w:rPr>
        <w:t xml:space="preserve">Más allá de Next Generation EU, el </w:t>
      </w:r>
      <w:r>
        <w:rPr>
          <w:rFonts w:ascii="Calibri" w:hAnsi="Calibri"/>
          <w:b/>
          <w:color w:val="113927"/>
          <w:sz w:val="21"/>
        </w:rPr>
        <w:t>Fondo Social Europeo Plus</w:t>
      </w:r>
      <w:r>
        <w:rPr>
          <w:rFonts w:ascii="Calibri" w:hAnsi="Calibri"/>
          <w:color w:val="2F3A30"/>
          <w:sz w:val="21"/>
        </w:rPr>
        <w:t xml:space="preserve"> sigue siendo una fuente de financiación principal. La Estrategia Española se nutre además de los Presupuestos Generales del Estado, de las cuotas de formación profesional y desempleo y de los recursos propios de las comunidades autónomas. La gestión de los fondos europeos exige cumplir requisitos de justificación y seguimiento por hitos, y la experiencia acumulada en la ejecución del Plan de Recuperación se ha tenido en cuenta en el diseño de la Estrategia 2025-2028.</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LECTURA AUTÓNOMA · EPÍGRAFE 5.3</w:t>
            </w:r>
          </w:p>
          <w:p>
            <w:pPr>
              <w:keepNext/>
              <w:spacing w:before="0" w:after="0" w:line="276" w:lineRule="auto"/>
              <w:jc w:val="both"/>
            </w:pPr>
            <w:r>
              <w:rPr>
                <w:rFonts w:ascii="Calibri" w:hAnsi="Calibri"/>
                <w:color w:val="2F3A30"/>
                <w:sz w:val="19"/>
              </w:rPr>
              <w:t>El epígrafe 5.3 no se explica en clase. Forma parte de la materia evaluable y se estudia con estos apuntes.</w:t>
            </w:r>
          </w:p>
        </w:tc>
      </w:tr>
    </w:tbl>
    <w:p>
      <w:pPr>
        <w:spacing w:before="0" w:after="80"/>
      </w:pPr>
    </w:p>
    <w:p>
      <w:pPr>
        <w:pStyle w:val="Heading2"/>
        <w:keepNext/>
        <w:spacing w:before="360" w:after="100"/>
        <w:jc w:val="left"/>
      </w:pPr>
      <w:r>
        <w:rPr>
          <w:rFonts w:ascii="Outfit" w:hAnsi="Outfit"/>
          <w:b/>
          <w:color w:val="76927A"/>
          <w:sz w:val="25"/>
        </w:rPr>
        <w:t>5.3. Digitalización y modernización</w:t>
      </w:r>
    </w:p>
    <w:p>
      <w:pPr>
        <w:spacing w:after="90" w:line="276" w:lineRule="auto"/>
        <w:jc w:val="both"/>
      </w:pPr>
      <w:r>
        <w:rPr>
          <w:rFonts w:ascii="Calibri" w:hAnsi="Calibri"/>
          <w:color w:val="2F3A30"/>
          <w:sz w:val="21"/>
        </w:rPr>
        <w:t xml:space="preserve">La transformación digital de los servicios públicos de empleo es uno de los ejes de su modernización. La Estrategia 2021-2024 dedicó un objetivo específico a este fin, y sus medidas continúan en la de 2025-2028. Destaca el </w:t>
      </w:r>
      <w:r>
        <w:rPr>
          <w:rFonts w:ascii="Calibri" w:hAnsi="Calibri"/>
          <w:b/>
          <w:color w:val="113927"/>
          <w:sz w:val="21"/>
        </w:rPr>
        <w:t>Expediente Laboral Personalizado Único</w:t>
      </w:r>
      <w:r>
        <w:rPr>
          <w:rFonts w:ascii="Calibri" w:hAnsi="Calibri"/>
          <w:color w:val="2F3A30"/>
          <w:sz w:val="21"/>
        </w:rPr>
        <w:t>, que permitirá seguir a cada persona usuaria a lo largo de su trayectoria integrando información de distintas fuentes. Los servicios han desarrollado además sistemas multicanal que combinan la atención presencial con plataformas web y aplicaciones, lo que acerca los servicios a jóvenes y a personas en zonas rurales o con dificultades de movilidad.</w:t>
      </w:r>
    </w:p>
    <w:p>
      <w:pPr>
        <w:spacing w:after="90" w:line="276" w:lineRule="auto"/>
        <w:jc w:val="both"/>
      </w:pPr>
      <w:r>
        <w:rPr>
          <w:rFonts w:ascii="Calibri" w:hAnsi="Calibri"/>
          <w:color w:val="2F3A30"/>
          <w:sz w:val="21"/>
        </w:rPr>
        <w:t xml:space="preserve">La </w:t>
      </w:r>
      <w:r>
        <w:rPr>
          <w:rFonts w:ascii="Calibri" w:hAnsi="Calibri"/>
          <w:b/>
          <w:color w:val="113927"/>
          <w:sz w:val="21"/>
        </w:rPr>
        <w:t>Red COE</w:t>
      </w:r>
      <w:r>
        <w:rPr>
          <w:rFonts w:ascii="Calibri" w:hAnsi="Calibri"/>
          <w:color w:val="2F3A30"/>
          <w:sz w:val="21"/>
        </w:rPr>
        <w:t>, creada en el marco del componente 23 del Plan de Recuperación, funciona como repositorio de buenas prácticas, centro de formación continua y laboratorio de innovación para los profesionales de la orientación. Se está implantando también un sistema de intermediación basado en competencias, alineado con la clasificación europea ESCO, que utiliza inteligencia artificial para mejorar el emparejamiento entre demandantes y ofertas bajo supervisión de profesionales, con atención a los riesgos de discriminación en las decisiones automatizadas. Por último, se refuerza el análisis prospectivo del mercado de trabajo a través del Observatorio de las Ocupaciones, para anticipar las necesidades de competencias y ajustar la oferta formativa.</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40" w:type="dxa"/>
              <w:left w:w="200" w:type="dxa"/>
              <w:bottom w:w="140" w:type="dxa"/>
              <w:right w:w="160" w:type="dxa"/>
            </w:tcMar>
            <w:tcBorders>
              <w:top w:val="none"/>
              <w:left w:val="single" w:sz="26" w:space="0" w:color="113927"/>
              <w:bottom w:val="none"/>
              <w:right w:val="none"/>
            </w:tcBorders>
          </w:tcPr>
          <w:p>
            <w:pPr>
              <w:keepNext/>
              <w:spacing w:before="0" w:after="40"/>
              <w:jc w:val="left"/>
            </w:pPr>
            <w:r>
              <w:rPr>
                <w:rFonts w:ascii="Outfit" w:hAnsi="Outfit"/>
                <w:b/>
                <w:color w:val="113927"/>
                <w:sz w:val="19"/>
              </w:rPr>
              <w:t>🗓️  ENCUADRE DOCENTE PRESENCIAL · SESIÓN 8 (SEMANA 5) — ¿FUNCIONAN LAS POLÍTICAS ACTIVAS? EVALUACIÓN Y CIERRE DEL TEMA</w:t>
            </w:r>
          </w:p>
          <w:p>
            <w:pPr>
              <w:keepNext/>
              <w:spacing w:before="0" w:after="0" w:line="276" w:lineRule="auto"/>
              <w:jc w:val="both"/>
            </w:pPr>
            <w:r>
              <w:rPr>
                <w:rFonts w:ascii="Calibri" w:hAnsi="Calibri"/>
                <w:color w:val="2F3A30"/>
                <w:sz w:val="19"/>
              </w:rPr>
              <w:t>Línea 1: martes 13/10, 09:30-11:30. Línea 2: viernes 16/10, 17:30-19:30. Contenido: epígrafe 6 completo (lógica de la evaluación de impacto) y epígrafe 7 (evidencia empírica, comparativa internacional y desafíos). En Línea 1 se incluye además el epígrafe 2.3 (Sistema Nacional de Empleo y Estrategia 2025-2028). Cierre del Tema 2. Es la base de la EPD 3.</w:t>
            </w:r>
          </w:p>
        </w:tc>
      </w:tr>
    </w:tbl>
    <w:p>
      <w:pPr>
        <w:spacing w:before="0" w:after="80"/>
      </w:pPr>
    </w:p>
    <w:p>
      <w:pPr>
        <w:pStyle w:val="Heading1"/>
        <w:keepNext/>
        <w:spacing w:before="520" w:after="120"/>
        <w:jc w:val="left"/>
      </w:pPr>
      <w:r>
        <w:rPr>
          <w:rFonts w:ascii="Outfit" w:hAnsi="Outfit"/>
          <w:b/>
          <w:color w:val="113927"/>
          <w:sz w:val="30"/>
        </w:rPr>
        <w:t>6. ¿FUNCIONAN LAS POLÍTICAS ACTIVAS? LA LÓGICA DE LA EVALUACIÓN DE IMPACTO</w:t>
      </w:r>
    </w:p>
    <w:p>
      <w:pPr>
        <w:spacing w:after="90" w:line="276" w:lineRule="auto"/>
        <w:jc w:val="both"/>
      </w:pPr>
      <w:r>
        <w:rPr>
          <w:rFonts w:ascii="Calibri" w:hAnsi="Calibri"/>
          <w:color w:val="2F3A30"/>
          <w:sz w:val="21"/>
        </w:rPr>
        <w:t>El epígrafe 4 terminó con una pregunta: ¿cuántas de las contrataciones subvencionadas existen gracias al programa? Responderla es el objeto de la evaluación de impacto. Este epígrafe no pretende formar evaluadores, sino ofrecer los criterios para leer con sentido crítico una evaluación y detectar cuándo una cifra no demuestra lo que parece.</w:t>
      </w:r>
    </w:p>
    <w:p>
      <w:pPr>
        <w:pStyle w:val="Heading2"/>
        <w:keepNext/>
        <w:spacing w:before="360" w:after="100"/>
        <w:jc w:val="left"/>
      </w:pPr>
      <w:r>
        <w:rPr>
          <w:rFonts w:ascii="Outfit" w:hAnsi="Outfit"/>
          <w:b/>
          <w:color w:val="76927A"/>
          <w:sz w:val="25"/>
        </w:rPr>
        <w:t>6.1. La pregunta contrafactual</w:t>
      </w:r>
    </w:p>
    <w:p>
      <w:pPr>
        <w:spacing w:after="90" w:line="276" w:lineRule="auto"/>
        <w:jc w:val="both"/>
      </w:pPr>
      <w:r>
        <w:rPr>
          <w:rFonts w:ascii="Calibri" w:hAnsi="Calibri"/>
          <w:color w:val="2F3A30"/>
          <w:sz w:val="21"/>
        </w:rPr>
        <w:t xml:space="preserve">Para una persona que participa en un programa de formación, el efecto del programa es la diferencia entre su situación laboral tras participar y la que habría tenido si no hubiera participado. Si llamamos Y₁ al resultado con programa (por ejemplo, estar empleado a los doce meses) e Y₀ al resultado sin programa, el efecto para esa persona es Y₁ − Y₀. El problema de fondo es que nunca observamos ambos resultados para la misma persona: quien participa solo tiene Y₁. El resultado que no observamos, Y₀, se denomina </w:t>
      </w:r>
      <w:r>
        <w:rPr>
          <w:rFonts w:ascii="Calibri" w:hAnsi="Calibri"/>
          <w:b/>
          <w:color w:val="113927"/>
          <w:sz w:val="21"/>
        </w:rPr>
        <w:t>contrafactual</w:t>
      </w:r>
      <w:r>
        <w:rPr>
          <w:rFonts w:ascii="Calibri" w:hAnsi="Calibri"/>
          <w:color w:val="2F3A30"/>
          <w:sz w:val="21"/>
        </w:rPr>
        <w:t>, y toda evaluación de impacto es, en esencia, un método para aproximarlo.</w:t>
      </w:r>
    </w:p>
    <w:p>
      <w:pPr>
        <w:spacing w:after="90" w:line="276" w:lineRule="auto"/>
        <w:jc w:val="both"/>
      </w:pPr>
      <w:r>
        <w:rPr>
          <w:rFonts w:ascii="Calibri" w:hAnsi="Calibri"/>
          <w:color w:val="2F3A30"/>
          <w:sz w:val="21"/>
        </w:rPr>
        <w:t xml:space="preserve">Lo que suele interesar es el </w:t>
      </w:r>
      <w:r>
        <w:rPr>
          <w:rFonts w:ascii="Calibri" w:hAnsi="Calibri"/>
          <w:b/>
          <w:color w:val="113927"/>
          <w:sz w:val="21"/>
        </w:rPr>
        <w:t>efecto medio sobre los participantes</w:t>
      </w:r>
      <w:r>
        <w:rPr>
          <w:rFonts w:ascii="Calibri" w:hAnsi="Calibri"/>
          <w:color w:val="2F3A30"/>
          <w:sz w:val="21"/>
        </w:rPr>
        <w:t>: cuánto mejoró, en promedio, la situación de quienes pasaron por el programa respecto a la que habrían tenido sin él.</w:t>
      </w:r>
    </w:p>
    <w:p>
      <w:pPr>
        <w:pStyle w:val="Heading2"/>
        <w:keepNext/>
        <w:spacing w:before="360" w:after="100"/>
        <w:jc w:val="left"/>
      </w:pPr>
      <w:r>
        <w:rPr>
          <w:rFonts w:ascii="Outfit" w:hAnsi="Outfit"/>
          <w:b/>
          <w:color w:val="76927A"/>
          <w:sz w:val="25"/>
        </w:rPr>
        <w:t>6.2. Por qué la comparación ingenua engaña: el sesgo de selección</w:t>
      </w:r>
    </w:p>
    <w:p>
      <w:pPr>
        <w:spacing w:after="90" w:line="276" w:lineRule="auto"/>
        <w:jc w:val="both"/>
      </w:pPr>
      <w:r>
        <w:rPr>
          <w:rFonts w:ascii="Calibri" w:hAnsi="Calibri"/>
          <w:color w:val="2F3A30"/>
          <w:sz w:val="21"/>
        </w:rPr>
        <w:t>La forma más intuitiva de aproximar el contrafactual es comparar a los participantes con los no participantes. Supongamos que el 60% de los participantes en un curso de formación tiene empleo al cabo de doce meses, frente al 40% de los no participantes. La diferencia de 20 puntos no mide solo el efecto del curso, porque los dos grupos pueden diferir desde el principio:</w:t>
      </w:r>
    </w:p>
    <w:p>
      <w:pPr>
        <w:spacing w:before="120" w:after="120"/>
        <w:jc w:val="center"/>
      </w:pPr>
      <w:r>
        <w:rPr>
          <w:rFonts w:ascii="Calibri" w:hAnsi="Calibri"/>
          <w:b/>
          <w:color w:val="113927"/>
          <w:sz w:val="22"/>
        </w:rPr>
        <w:t>Diferencia observada = Efecto del programa + Sesgo de selección</w:t>
      </w:r>
    </w:p>
    <w:p>
      <w:pPr>
        <w:spacing w:after="90" w:line="276" w:lineRule="auto"/>
        <w:jc w:val="both"/>
      </w:pPr>
      <w:r>
        <w:rPr>
          <w:rFonts w:ascii="Calibri" w:hAnsi="Calibri"/>
          <w:color w:val="2F3A30"/>
          <w:sz w:val="21"/>
        </w:rPr>
        <w:t xml:space="preserve">El </w:t>
      </w:r>
      <w:r>
        <w:rPr>
          <w:rFonts w:ascii="Calibri" w:hAnsi="Calibri"/>
          <w:b/>
          <w:color w:val="113927"/>
          <w:sz w:val="21"/>
        </w:rPr>
        <w:t>sesgo de selección</w:t>
      </w:r>
      <w:r>
        <w:rPr>
          <w:rFonts w:ascii="Calibri" w:hAnsi="Calibri"/>
          <w:color w:val="2F3A30"/>
          <w:sz w:val="21"/>
        </w:rPr>
        <w:t xml:space="preserve"> aparece porque la participación no es aleatoria. Puede deberse a la </w:t>
      </w:r>
      <w:r>
        <w:rPr>
          <w:rFonts w:ascii="Calibri" w:hAnsi="Calibri"/>
          <w:b/>
          <w:color w:val="113927"/>
          <w:sz w:val="21"/>
        </w:rPr>
        <w:t>autoselección</w:t>
      </w:r>
      <w:r>
        <w:rPr>
          <w:rFonts w:ascii="Calibri" w:hAnsi="Calibri"/>
          <w:color w:val="2F3A30"/>
          <w:sz w:val="21"/>
        </w:rPr>
        <w:t xml:space="preserve">, cuando se apuntan las personas más motivadas o mejor informadas; a la </w:t>
      </w:r>
      <w:r>
        <w:rPr>
          <w:rFonts w:ascii="Calibri" w:hAnsi="Calibri"/>
          <w:b/>
          <w:color w:val="113927"/>
          <w:sz w:val="21"/>
        </w:rPr>
        <w:t>selección por el gestor</w:t>
      </w:r>
      <w:r>
        <w:rPr>
          <w:rFonts w:ascii="Calibri" w:hAnsi="Calibri"/>
          <w:color w:val="2F3A30"/>
          <w:sz w:val="21"/>
        </w:rPr>
        <w:t xml:space="preserve">, cuando los técnicos derivan al programa a quienes creen que aprovecharán mejor la plaza (el </w:t>
      </w:r>
      <w:r>
        <w:rPr>
          <w:rFonts w:ascii="Calibri" w:hAnsi="Calibri"/>
          <w:i/>
          <w:color w:val="2F3A30"/>
          <w:sz w:val="21"/>
        </w:rPr>
        <w:t>creaming</w:t>
      </w:r>
      <w:r>
        <w:rPr>
          <w:rFonts w:ascii="Calibri" w:hAnsi="Calibri"/>
          <w:color w:val="2F3A30"/>
          <w:sz w:val="21"/>
        </w:rPr>
        <w:t xml:space="preserve"> del epígrafe 4.4); o a los propios </w:t>
      </w:r>
      <w:r>
        <w:rPr>
          <w:rFonts w:ascii="Calibri" w:hAnsi="Calibri"/>
          <w:b/>
          <w:color w:val="113927"/>
          <w:sz w:val="21"/>
        </w:rPr>
        <w:t>requisitos de acceso</w:t>
      </w:r>
      <w:r>
        <w:rPr>
          <w:rFonts w:ascii="Calibri" w:hAnsi="Calibri"/>
          <w:color w:val="2F3A30"/>
          <w:sz w:val="21"/>
        </w:rPr>
        <w:t>. Si los participantes habrían encontrado empleo con más facilidad de todos modos, parte de los 20 puntos corresponde a esa ventaja previa y no al curso.</w:t>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DF4F0"/>
            <w:tcMar>
              <w:top w:w="140" w:type="dxa"/>
              <w:left w:w="200" w:type="dxa"/>
              <w:bottom w:w="140" w:type="dxa"/>
              <w:right w:w="160" w:type="dxa"/>
            </w:tcMar>
            <w:tcBorders>
              <w:top w:val="none"/>
              <w:left w:val="single" w:sz="26" w:space="0" w:color="E98F71"/>
              <w:bottom w:val="none"/>
              <w:right w:val="none"/>
            </w:tcBorders>
          </w:tcPr>
          <w:p>
            <w:pPr>
              <w:keepNext/>
              <w:spacing w:before="0" w:after="40"/>
              <w:jc w:val="left"/>
            </w:pPr>
            <w:r>
              <w:rPr>
                <w:rFonts w:ascii="Outfit" w:hAnsi="Outfit"/>
                <w:b/>
                <w:color w:val="E98F71"/>
                <w:sz w:val="19"/>
              </w:rPr>
              <w:t>⚠️  ALERTA DE EXAMEN: TASA DE INSERCIÓN NO ES EFECTO</w:t>
            </w:r>
          </w:p>
          <w:p>
            <w:pPr>
              <w:keepNext/>
              <w:spacing w:before="0" w:after="0" w:line="276" w:lineRule="auto"/>
              <w:jc w:val="both"/>
            </w:pPr>
            <w:r>
              <w:rPr>
                <w:rFonts w:ascii="Calibri" w:hAnsi="Calibri"/>
                <w:color w:val="2F3A30"/>
                <w:sz w:val="19"/>
              </w:rPr>
              <w:t>Que el 70% de los participantes en un programa encuentre empleo no indica que el programa haya generado ese 70%. La tasa de inserción describe lo que les pasó a los participantes; el efecto exige compararlo con lo que les habría pasado sin el programa.</w:t>
            </w:r>
          </w:p>
        </w:tc>
      </w:tr>
    </w:tbl>
    <w:p>
      <w:pPr>
        <w:spacing w:before="0" w:after="80"/>
      </w:pPr>
    </w:p>
    <w:p>
      <w:pPr>
        <w:pStyle w:val="Heading2"/>
        <w:keepNext/>
        <w:spacing w:before="360" w:after="100"/>
        <w:jc w:val="left"/>
      </w:pPr>
      <w:r>
        <w:rPr>
          <w:rFonts w:ascii="Outfit" w:hAnsi="Outfit"/>
          <w:b/>
          <w:color w:val="76927A"/>
          <w:sz w:val="25"/>
        </w:rPr>
        <w:t>6.3. Métodos para aproximar el contrafactual</w:t>
      </w:r>
    </w:p>
    <w:p>
      <w:pPr>
        <w:spacing w:after="90" w:line="276" w:lineRule="auto"/>
        <w:jc w:val="both"/>
      </w:pPr>
      <w:r>
        <w:rPr>
          <w:rFonts w:ascii="Calibri" w:hAnsi="Calibri"/>
          <w:color w:val="2F3A30"/>
          <w:sz w:val="21"/>
        </w:rPr>
        <w:t xml:space="preserve">El </w:t>
      </w:r>
      <w:r>
        <w:rPr>
          <w:rFonts w:ascii="Calibri" w:hAnsi="Calibri"/>
          <w:b/>
          <w:color w:val="113927"/>
          <w:sz w:val="21"/>
        </w:rPr>
        <w:t>experimento aleatorio</w:t>
      </w:r>
      <w:r>
        <w:rPr>
          <w:rFonts w:ascii="Calibri" w:hAnsi="Calibri"/>
          <w:color w:val="2F3A30"/>
          <w:sz w:val="21"/>
        </w:rPr>
        <w:t xml:space="preserve"> es el método de referencia. Entre las personas que cumplen los requisitos, un sorteo decide quién accede al programa. Como el azar no depende de la motivación ni de las características de nadie, los dos grupos son comparables en promedio y la diferencia entre ambos mide el efecto. Sus limitaciones son prácticas y éticas: no siempre es aceptable negar un servicio a una parte de los solicitantes, y los experimentos son costosos.</w:t>
      </w:r>
    </w:p>
    <w:p>
      <w:pPr>
        <w:spacing w:after="90" w:line="276" w:lineRule="auto"/>
        <w:jc w:val="both"/>
      </w:pPr>
      <w:r>
        <w:rPr>
          <w:rFonts w:ascii="Calibri" w:hAnsi="Calibri"/>
          <w:color w:val="2F3A30"/>
          <w:sz w:val="21"/>
        </w:rPr>
        <w:t xml:space="preserve">Cuando no hay sorteo se recurre a </w:t>
      </w:r>
      <w:r>
        <w:rPr>
          <w:rFonts w:ascii="Calibri" w:hAnsi="Calibri"/>
          <w:b/>
          <w:color w:val="113927"/>
          <w:sz w:val="21"/>
        </w:rPr>
        <w:t>métodos cuasiexperimentales</w:t>
      </w:r>
      <w:r>
        <w:rPr>
          <w:rFonts w:ascii="Calibri" w:hAnsi="Calibri"/>
          <w:color w:val="2F3A30"/>
          <w:sz w:val="21"/>
        </w:rPr>
        <w:t xml:space="preserve">. El más utilizado en evaluación de políticas es el de </w:t>
      </w:r>
      <w:r>
        <w:rPr>
          <w:rFonts w:ascii="Calibri" w:hAnsi="Calibri"/>
          <w:b/>
          <w:color w:val="113927"/>
          <w:sz w:val="21"/>
        </w:rPr>
        <w:t>diferencias en diferencias</w:t>
      </w:r>
      <w:r>
        <w:rPr>
          <w:rFonts w:ascii="Calibri" w:hAnsi="Calibri"/>
          <w:color w:val="2F3A30"/>
          <w:sz w:val="21"/>
        </w:rPr>
        <w:t>, que compara la evolución de los participantes antes y después del programa con la evolución de un grupo de comparación en el mismo periodo:</w:t>
      </w:r>
    </w:p>
    <w:p>
      <w:pPr>
        <w:spacing w:before="120" w:after="120"/>
        <w:jc w:val="center"/>
      </w:pPr>
      <w:r>
        <w:rPr>
          <w:rFonts w:ascii="Calibri" w:hAnsi="Calibri"/>
          <w:b/>
          <w:color w:val="113927"/>
          <w:sz w:val="22"/>
        </w:rPr>
        <w:t>Efecto = (Y participantes, después − Y participantes, antes) − (Y comparación, después − Y comparación, antes)</w:t>
      </w:r>
    </w:p>
    <w:p>
      <w:pPr>
        <w:spacing w:after="90" w:line="276" w:lineRule="auto"/>
        <w:jc w:val="both"/>
      </w:pPr>
      <w:r>
        <w:rPr>
          <w:rFonts w:ascii="Calibri" w:hAnsi="Calibri"/>
          <w:color w:val="2F3A30"/>
          <w:sz w:val="21"/>
        </w:rPr>
        <w:t xml:space="preserve">La primera diferencia elimina las características estables de cada grupo; la segunda elimina lo que habría ocurrido en cualquier caso por la evolución del ciclo económico. El método descansa en el </w:t>
      </w:r>
      <w:r>
        <w:rPr>
          <w:rFonts w:ascii="Calibri" w:hAnsi="Calibri"/>
          <w:b/>
          <w:color w:val="113927"/>
          <w:sz w:val="21"/>
        </w:rPr>
        <w:t>supuesto de tendencias paralelas</w:t>
      </w:r>
      <w:r>
        <w:rPr>
          <w:rFonts w:ascii="Calibri" w:hAnsi="Calibri"/>
          <w:color w:val="2F3A30"/>
          <w:sz w:val="21"/>
        </w:rPr>
        <w:t>: en ausencia del programa, ambos grupos habrían evolucionado igual. La Figura 2.2 compara este método con la comparación ingenua.</w:t>
      </w:r>
    </w:p>
    <w:p>
      <w:pPr>
        <w:keepNext/>
        <w:spacing w:before="160" w:after="60"/>
        <w:jc w:val="center"/>
      </w:pPr>
      <w:r>
        <w:drawing>
          <wp:inline xmlns:a="http://schemas.openxmlformats.org/drawingml/2006/main" xmlns:pic="http://schemas.openxmlformats.org/drawingml/2006/picture">
            <wp:extent cx="5669280" cy="2459930"/>
            <wp:docPr id="3" name="Picture 3"/>
            <wp:cNvGraphicFramePr>
              <a:graphicFrameLocks noChangeAspect="1"/>
            </wp:cNvGraphicFramePr>
            <a:graphic>
              <a:graphicData uri="http://schemas.openxmlformats.org/drawingml/2006/picture">
                <pic:pic>
                  <pic:nvPicPr>
                    <pic:cNvPr id="0" name="evaluacion_sesgo_did.png"/>
                    <pic:cNvPicPr/>
                  </pic:nvPicPr>
                  <pic:blipFill>
                    <a:blip r:embed="rId11"/>
                    <a:stretch>
                      <a:fillRect/>
                    </a:stretch>
                  </pic:blipFill>
                  <pic:spPr>
                    <a:xfrm>
                      <a:off x="0" y="0"/>
                      <a:ext cx="5669280" cy="2459930"/>
                    </a:xfrm>
                    <a:prstGeom prst="rect"/>
                  </pic:spPr>
                </pic:pic>
              </a:graphicData>
            </a:graphic>
          </wp:inline>
        </w:drawing>
      </w:r>
    </w:p>
    <w:p>
      <w:pPr>
        <w:keepNext/>
        <w:spacing w:before="0" w:after="20"/>
        <w:jc w:val="center"/>
      </w:pPr>
      <w:r>
        <w:rPr>
          <w:rFonts w:ascii="Outfit" w:hAnsi="Outfit"/>
          <w:b/>
          <w:color w:val="113927"/>
          <w:sz w:val="18"/>
        </w:rPr>
        <w:t>Figura 2.2: Sesgo de selección y estimación por diferencias en diferencias.</w:t>
      </w:r>
    </w:p>
    <w:p>
      <w:pPr>
        <w:spacing w:before="0" w:after="160"/>
        <w:jc w:val="center"/>
      </w:pPr>
      <w:r>
        <w:rPr>
          <w:rFonts w:ascii="Calibri" w:hAnsi="Calibri"/>
          <w:i/>
          <w:color w:val="76927A"/>
          <w:sz w:val="16"/>
        </w:rPr>
        <w:t>Fuente: Elaboración propia para Políticas Sociolaborales (UPO). Cifras hipotéticas con fines docentes.</w:t>
      </w:r>
    </w:p>
    <w:p>
      <w:pPr>
        <w:spacing w:before="80" w:after="160"/>
        <w:jc w:val="both"/>
      </w:pPr>
      <w:r>
        <w:rPr>
          <w:rFonts w:ascii="Calibri" w:hAnsi="Calibri"/>
          <w:i/>
          <w:color w:val="2F3A30"/>
          <w:sz w:val="19"/>
        </w:rPr>
        <w:t>Interpretación de la Figura 2.2: en el Panel A, la diferencia de 20 puntos entre participantes y no participantes mezcla el efecto del programa con las diferencias previas entre los grupos. En el Panel B, los participantes pasan del 30% al 52% de empleo y el grupo de comparación del 38% al 50%. Si, sin programa, los participantes hubieran mejorado lo mismo que el grupo de comparación (12 puntos), habrían llegado al 42%: el efecto estimado es de 10 puntos, no de 22 ni de 2.</w:t>
      </w:r>
    </w:p>
    <w:p>
      <w:pPr>
        <w:spacing w:after="90" w:line="276" w:lineRule="auto"/>
        <w:jc w:val="both"/>
      </w:pPr>
      <w:r>
        <w:rPr>
          <w:rFonts w:ascii="Calibri" w:hAnsi="Calibri"/>
          <w:color w:val="2F3A30"/>
          <w:sz w:val="21"/>
        </w:rPr>
        <w:t xml:space="preserve">Otros dos métodos aparecen con frecuencia en las evaluaciones. El </w:t>
      </w:r>
      <w:r>
        <w:rPr>
          <w:rFonts w:ascii="Calibri" w:hAnsi="Calibri"/>
          <w:b/>
          <w:color w:val="113927"/>
          <w:sz w:val="21"/>
        </w:rPr>
        <w:t>emparejamiento</w:t>
      </w:r>
      <w:r>
        <w:rPr>
          <w:rFonts w:ascii="Calibri" w:hAnsi="Calibri"/>
          <w:color w:val="2F3A30"/>
          <w:sz w:val="21"/>
        </w:rPr>
        <w:t xml:space="preserve"> (</w:t>
      </w:r>
      <w:r>
        <w:rPr>
          <w:rFonts w:ascii="Calibri" w:hAnsi="Calibri"/>
          <w:i/>
          <w:color w:val="2F3A30"/>
          <w:sz w:val="21"/>
        </w:rPr>
        <w:t>matching</w:t>
      </w:r>
      <w:r>
        <w:rPr>
          <w:rFonts w:ascii="Calibri" w:hAnsi="Calibri"/>
          <w:color w:val="2F3A30"/>
          <w:sz w:val="21"/>
        </w:rPr>
        <w:t xml:space="preserve">) compara a cada participante con no participantes muy parecidos en edad, formación, historial laboral y duración del paro. Solo corrige las diferencias que se observan en los datos, aunque con registros administrativos ricos las diferencias no observadas pesan relativamente poco (Caliendo et al., 2017). La evaluación intermedia de la Estrategia 2021-2024 combinó emparejamiento y diferencias en diferencias. La </w:t>
      </w:r>
      <w:r>
        <w:rPr>
          <w:rFonts w:ascii="Calibri" w:hAnsi="Calibri"/>
          <w:b/>
          <w:color w:val="113927"/>
          <w:sz w:val="21"/>
        </w:rPr>
        <w:t>regresión discontinua</w:t>
      </w:r>
      <w:r>
        <w:rPr>
          <w:rFonts w:ascii="Calibri" w:hAnsi="Calibri"/>
          <w:color w:val="2F3A30"/>
          <w:sz w:val="21"/>
        </w:rPr>
        <w:t xml:space="preserve"> aprovecha los umbrales de acceso: si un programa se dirige a mayores de 45 años o a quienes llevan más de 360 días en paro, las personas situadas justo a un lado y otro del umbral son muy parecidas, y la diferencia en sus resultados se atribuye al programa. Los umbrales del Programa Emplea-T permitirían aplicar este método.</w:t>
      </w:r>
    </w:p>
    <w:p>
      <w:pPr>
        <w:pStyle w:val="Heading2"/>
        <w:keepNext/>
        <w:spacing w:before="360" w:after="100"/>
        <w:jc w:val="left"/>
      </w:pPr>
      <w:r>
        <w:rPr>
          <w:rFonts w:ascii="Outfit" w:hAnsi="Outfit"/>
          <w:b/>
          <w:color w:val="76927A"/>
          <w:sz w:val="25"/>
        </w:rPr>
        <w:t>6.4. Lo que una evaluación individual no ve</w:t>
      </w:r>
    </w:p>
    <w:p>
      <w:pPr>
        <w:spacing w:after="90" w:line="276" w:lineRule="auto"/>
        <w:jc w:val="both"/>
      </w:pPr>
      <w:r>
        <w:rPr>
          <w:rFonts w:ascii="Calibri" w:hAnsi="Calibri"/>
          <w:color w:val="2F3A30"/>
          <w:sz w:val="21"/>
        </w:rPr>
        <w:t xml:space="preserve">Incluso una evaluación bien hecha puede dejar fuera efectos relevantes. El primero son los </w:t>
      </w:r>
      <w:r>
        <w:rPr>
          <w:rFonts w:ascii="Calibri" w:hAnsi="Calibri"/>
          <w:b/>
          <w:color w:val="113927"/>
          <w:sz w:val="21"/>
        </w:rPr>
        <w:t>efectos de equilibrio</w:t>
      </w:r>
      <w:r>
        <w:rPr>
          <w:rFonts w:ascii="Calibri" w:hAnsi="Calibri"/>
          <w:color w:val="2F3A30"/>
          <w:sz w:val="21"/>
        </w:rPr>
        <w:t xml:space="preserve">: si los participantes consiguen empleo a costa de los no participantes que compiten por los mismos puestos, la comparación entre ambos grupos exagera el efecto agregado, como mostraron Crépon et al. (2013). El segundo es el </w:t>
      </w:r>
      <w:r>
        <w:rPr>
          <w:rFonts w:ascii="Calibri" w:hAnsi="Calibri"/>
          <w:b/>
          <w:color w:val="113927"/>
          <w:sz w:val="21"/>
        </w:rPr>
        <w:t>efecto bloqueo</w:t>
      </w:r>
      <w:r>
        <w:rPr>
          <w:rFonts w:ascii="Calibri" w:hAnsi="Calibri"/>
          <w:color w:val="2F3A30"/>
          <w:sz w:val="21"/>
        </w:rPr>
        <w:t xml:space="preserve"> (</w:t>
      </w:r>
      <w:r>
        <w:rPr>
          <w:rFonts w:ascii="Calibri" w:hAnsi="Calibri"/>
          <w:i/>
          <w:color w:val="2F3A30"/>
          <w:sz w:val="21"/>
        </w:rPr>
        <w:t>lock-in</w:t>
      </w:r>
      <w:r>
        <w:rPr>
          <w:rFonts w:ascii="Calibri" w:hAnsi="Calibri"/>
          <w:color w:val="2F3A30"/>
          <w:sz w:val="21"/>
        </w:rPr>
        <w:t xml:space="preserve">): mientras dura un curso, los participantes buscan empleo con menos intensidad, por lo que una evaluación a corto plazo puede mostrar efectos nulos o negativos que se vuelven positivos más adelante. El tercero es la </w:t>
      </w:r>
      <w:r>
        <w:rPr>
          <w:rFonts w:ascii="Calibri" w:hAnsi="Calibri"/>
          <w:b/>
          <w:color w:val="113927"/>
          <w:sz w:val="21"/>
        </w:rPr>
        <w:t>heterogeneidad</w:t>
      </w:r>
      <w:r>
        <w:rPr>
          <w:rFonts w:ascii="Calibri" w:hAnsi="Calibri"/>
          <w:color w:val="2F3A30"/>
          <w:sz w:val="21"/>
        </w:rPr>
        <w:t>: un efecto medio moderado puede esconder efectos grandes para unos colectivos y nulos para otros.</w:t>
      </w:r>
    </w:p>
    <w:p>
      <w:pPr>
        <w:pStyle w:val="Heading2"/>
        <w:keepNext/>
        <w:spacing w:before="360" w:after="100"/>
        <w:jc w:val="left"/>
      </w:pPr>
      <w:r>
        <w:rPr>
          <w:rFonts w:ascii="Outfit" w:hAnsi="Outfit"/>
          <w:b/>
          <w:color w:val="76927A"/>
          <w:sz w:val="25"/>
        </w:rPr>
        <w:t>6.5. Del efecto al coste</w:t>
      </w:r>
    </w:p>
    <w:p>
      <w:pPr>
        <w:spacing w:after="90" w:line="276" w:lineRule="auto"/>
        <w:jc w:val="both"/>
      </w:pPr>
      <w:r>
        <w:rPr>
          <w:rFonts w:ascii="Calibri" w:hAnsi="Calibri"/>
          <w:color w:val="2F3A30"/>
          <w:sz w:val="21"/>
        </w:rPr>
        <w:t xml:space="preserve">Conocer el efecto no basta para decidir. Dos programas con el mismo efecto pueden tener costes muy distintos. La medida más directa es el </w:t>
      </w:r>
      <w:r>
        <w:rPr>
          <w:rFonts w:ascii="Calibri" w:hAnsi="Calibri"/>
          <w:b/>
          <w:color w:val="113927"/>
          <w:sz w:val="21"/>
        </w:rPr>
        <w:t>coste por empleo adicional</w:t>
      </w:r>
      <w:r>
        <w:rPr>
          <w:rFonts w:ascii="Calibri" w:hAnsi="Calibri"/>
          <w:color w:val="2F3A30"/>
          <w:sz w:val="21"/>
        </w:rPr>
        <w:t xml:space="preserve">: el gasto total dividido por el número de empleos atribuibles al programa, que en el caso de los incentivos a la contratación coincide con el coste por empleo neto del epígrafe 4.4. Un </w:t>
      </w:r>
      <w:r>
        <w:rPr>
          <w:rFonts w:ascii="Calibri" w:hAnsi="Calibri"/>
          <w:b/>
          <w:color w:val="113927"/>
          <w:sz w:val="21"/>
        </w:rPr>
        <w:t>análisis coste-beneficio</w:t>
      </w:r>
      <w:r>
        <w:rPr>
          <w:rFonts w:ascii="Calibri" w:hAnsi="Calibri"/>
          <w:color w:val="2F3A30"/>
          <w:sz w:val="21"/>
        </w:rPr>
        <w:t xml:space="preserve"> completo añadiría los beneficios: los salarios que obtienen los participantes, las prestaciones por desempleo que dejan de pagarse y los impuestos y cotizaciones que se recaudan. Estos cálculos son el núcleo de la EPD 3. Para ampliar, puede consultarse el manual de acceso libre de Gertler et al. (2017).</w:t>
      </w:r>
    </w:p>
    <w:p>
      <w:pPr>
        <w:pStyle w:val="Heading1"/>
        <w:keepNext/>
        <w:spacing w:before="520" w:after="120"/>
        <w:jc w:val="left"/>
      </w:pPr>
      <w:r>
        <w:rPr>
          <w:rFonts w:ascii="Outfit" w:hAnsi="Outfit"/>
          <w:b/>
          <w:color w:val="113927"/>
          <w:sz w:val="30"/>
        </w:rPr>
        <w:t>7. EVALUACIÓN DE EFECTIVIDAD Y RETOS FUTUROS</w:t>
      </w:r>
    </w:p>
    <w:p>
      <w:pPr>
        <w:spacing w:after="90" w:line="276" w:lineRule="auto"/>
        <w:jc w:val="both"/>
      </w:pPr>
      <w:r>
        <w:rPr>
          <w:rFonts w:ascii="Calibri" w:hAnsi="Calibri"/>
          <w:color w:val="2F3A30"/>
          <w:sz w:val="21"/>
        </w:rPr>
        <w:t>La evaluación rigurosa de las políticas activas es necesaria para garantizar el uso eficiente de los recursos públicos. La evidencia acumulada permite extraer conclusiones sobre qué funciona, para quién y en qué contextos, aunque también revela limitaciones y la necesidad de seguir mejorando el diseño y la evaluación de estas políticas.</w:t>
      </w:r>
    </w:p>
    <w:p>
      <w:pPr>
        <w:pStyle w:val="Heading2"/>
        <w:keepNext/>
        <w:spacing w:before="360" w:after="100"/>
        <w:jc w:val="left"/>
      </w:pPr>
      <w:r>
        <w:rPr>
          <w:rFonts w:ascii="Outfit" w:hAnsi="Outfit"/>
          <w:b/>
          <w:color w:val="76927A"/>
          <w:sz w:val="25"/>
        </w:rPr>
        <w:t>7.1. Evidencia empírica actualizada</w:t>
      </w:r>
    </w:p>
    <w:p>
      <w:pPr>
        <w:spacing w:after="90" w:line="276" w:lineRule="auto"/>
        <w:jc w:val="both"/>
      </w:pPr>
      <w:r>
        <w:rPr>
          <w:rFonts w:ascii="Calibri" w:hAnsi="Calibri"/>
          <w:color w:val="2F3A30"/>
          <w:sz w:val="21"/>
        </w:rPr>
        <w:t xml:space="preserve">La literatura internacional sobre la eficacia de las políticas activas ha crecido de forma muy notable en las dos últimas décadas. Los metaanálisis de Card, Kluve y Weber (2010, 2018) y de Kluve (2010) han sido especialmente influyentes. El de 2018 resume más de 200 evaluaciones recientes y alcanza cuatro conclusiones. La primera es que los efectos medios son </w:t>
      </w:r>
      <w:r>
        <w:rPr>
          <w:rFonts w:ascii="Calibri" w:hAnsi="Calibri"/>
          <w:b/>
          <w:color w:val="113927"/>
          <w:sz w:val="21"/>
        </w:rPr>
        <w:t>cercanos a cero a corto plazo, pero se vuelven más positivos dos o tres años después</w:t>
      </w:r>
      <w:r>
        <w:rPr>
          <w:rFonts w:ascii="Calibri" w:hAnsi="Calibri"/>
          <w:color w:val="2F3A30"/>
          <w:sz w:val="21"/>
        </w:rPr>
        <w:t xml:space="preserve"> de terminar el programa. La segunda, que el perfil temporal varía según el tipo de programa, con </w:t>
      </w:r>
      <w:r>
        <w:rPr>
          <w:rFonts w:ascii="Calibri" w:hAnsi="Calibri"/>
          <w:b/>
          <w:color w:val="113927"/>
          <w:sz w:val="21"/>
        </w:rPr>
        <w:t>mayores ganancias en los que priorizan la acumulación de capital humano</w:t>
      </w:r>
      <w:r>
        <w:rPr>
          <w:rFonts w:ascii="Calibri" w:hAnsi="Calibri"/>
          <w:color w:val="2F3A30"/>
          <w:sz w:val="21"/>
        </w:rPr>
        <w:t xml:space="preserve">. La tercera, que los efectos son mayores para las </w:t>
      </w:r>
      <w:r>
        <w:rPr>
          <w:rFonts w:ascii="Calibri" w:hAnsi="Calibri"/>
          <w:b/>
          <w:color w:val="113927"/>
          <w:sz w:val="21"/>
        </w:rPr>
        <w:t>mujeres</w:t>
      </w:r>
      <w:r>
        <w:rPr>
          <w:rFonts w:ascii="Calibri" w:hAnsi="Calibri"/>
          <w:color w:val="2F3A30"/>
          <w:sz w:val="21"/>
        </w:rPr>
        <w:t xml:space="preserve"> y para quienes entran en el programa desde el </w:t>
      </w:r>
      <w:r>
        <w:rPr>
          <w:rFonts w:ascii="Calibri" w:hAnsi="Calibri"/>
          <w:b/>
          <w:color w:val="113927"/>
          <w:sz w:val="21"/>
        </w:rPr>
        <w:t>paro de larga duración</w:t>
      </w:r>
      <w:r>
        <w:rPr>
          <w:rFonts w:ascii="Calibri" w:hAnsi="Calibri"/>
          <w:color w:val="2F3A30"/>
          <w:sz w:val="21"/>
        </w:rPr>
        <w:t xml:space="preserve">. La cuarta, que las políticas activas tienen más probabilidad de mostrar efectos positivos en </w:t>
      </w:r>
      <w:r>
        <w:rPr>
          <w:rFonts w:ascii="Calibri" w:hAnsi="Calibri"/>
          <w:b/>
          <w:color w:val="113927"/>
          <w:sz w:val="21"/>
        </w:rPr>
        <w:t>recesión</w:t>
      </w:r>
      <w:r>
        <w:rPr>
          <w:rFonts w:ascii="Calibri" w:hAnsi="Calibri"/>
          <w:color w:val="2F3A30"/>
          <w:sz w:val="21"/>
        </w:rPr>
        <w:t>.</w:t>
      </w:r>
    </w:p>
    <w:p>
      <w:pPr>
        <w:spacing w:after="90" w:line="276" w:lineRule="auto"/>
        <w:jc w:val="both"/>
      </w:pPr>
      <w:r>
        <w:rPr>
          <w:rFonts w:ascii="Calibri" w:hAnsi="Calibri"/>
          <w:color w:val="2F3A30"/>
          <w:sz w:val="21"/>
        </w:rPr>
        <w:t>En cuanto a los tipos de intervención, la formación y la asistencia en la búsqueda de empleo tienden a ser más eficaces que la creación directa de empleo público, cuyos rendimientos sobre la empleabilidad posterior de los participantes son modestos. Estos programas pueden tener otros objetivos legítimos, como reducir de inmediato el desempleo o proporcionar experiencia, pero no suelen ser la mejor opción para mejorar las perspectivas laborales a largo plazo.</w:t>
      </w:r>
    </w:p>
    <w:p>
      <w:pPr>
        <w:spacing w:after="90" w:line="276" w:lineRule="auto"/>
        <w:jc w:val="both"/>
      </w:pPr>
      <w:r>
        <w:rPr>
          <w:rFonts w:ascii="Calibri" w:hAnsi="Calibri"/>
          <w:color w:val="2F3A30"/>
          <w:sz w:val="21"/>
        </w:rPr>
        <w:t xml:space="preserve">La diferencia entre corto y largo plazo se explica en buena medida por el </w:t>
      </w:r>
      <w:r>
        <w:rPr>
          <w:rFonts w:ascii="Calibri" w:hAnsi="Calibri"/>
          <w:b/>
          <w:color w:val="113927"/>
          <w:sz w:val="21"/>
        </w:rPr>
        <w:t>efecto bloqueo</w:t>
      </w:r>
      <w:r>
        <w:rPr>
          <w:rFonts w:ascii="Calibri" w:hAnsi="Calibri"/>
          <w:color w:val="2F3A30"/>
          <w:sz w:val="21"/>
        </w:rPr>
        <w:t xml:space="preserve"> descrito en el epígrafe 6.4. Las evaluaciones centradas solo en resultados inmediatos pueden subestimar la eficacia real de los programas de formación, cuyos efectos positivos aparecen con claridad a medio y largo plazo (Sianesi, 2008; Lechner et al., 2011).</w:t>
      </w:r>
    </w:p>
    <w:p>
      <w:pPr>
        <w:spacing w:after="90" w:line="276" w:lineRule="auto"/>
        <w:jc w:val="both"/>
      </w:pPr>
      <w:r>
        <w:rPr>
          <w:rFonts w:ascii="Calibri" w:hAnsi="Calibri"/>
          <w:color w:val="2F3A30"/>
          <w:sz w:val="21"/>
        </w:rPr>
        <w:t>En España, la evidencia presenta resultados mixtos. Los estudios sobre subvenciones a la contratación encuentran efectos limitados sobre la estabilidad laboral a medio plazo, con riesgos de peso muerto y sustitución, y la evaluación de la AIReF (2020) coincide en que sus efectos son modestos y poco persistentes. La formación profesional muestra efectos positivos pero moderados, mayores para mujeres y trabajadores de mediana edad y menores para jóvenes y desempleados de muy larga duración (Arellano, 2005, 2010; Cueto y Mato, 2009; Ramos et al., 2009). Las herramientas aplicadas durante la Gran Recesión tuvieron efectos desiguales sobre la estabilidad del empleo (Rebollo Sanz y García Pérez, 2021). Los programas de creación directa de empleo solo han mostrado eficacia para colectivos muy específicos con grandes dificultades de acceso al empleo.</w:t>
      </w:r>
    </w:p>
    <w:p>
      <w:pPr>
        <w:spacing w:after="90" w:line="276" w:lineRule="auto"/>
        <w:jc w:val="both"/>
      </w:pPr>
      <w:r>
        <w:rPr>
          <w:rFonts w:ascii="Calibri" w:hAnsi="Calibri"/>
          <w:color w:val="2F3A30"/>
          <w:sz w:val="21"/>
        </w:rPr>
        <w:t>La evaluación intermedia de la Estrategia Española de Apoyo Activo al Empleo 2021-2024, presentada en septiembre de 2023, estimó el impacto de los servicios garantizados con técnicas de emparejamiento y diferencias en diferencias. Encontró que la combinación de servicios (tutorización, formación y acompañamiento con itinerarios) elevaba la inserción laboral entre 5 y 24 puntos porcentuales según la combinación, y que los itinerarios personalizados, bien combinados con otros servicios, eran las intervenciones con mayor impacto.</w:t>
      </w:r>
    </w:p>
    <w:p>
      <w:pPr>
        <w:pStyle w:val="Heading2"/>
        <w:keepNext/>
        <w:spacing w:before="360" w:after="100"/>
        <w:jc w:val="left"/>
      </w:pPr>
      <w:r>
        <w:rPr>
          <w:rFonts w:ascii="Outfit" w:hAnsi="Outfit"/>
          <w:b/>
          <w:color w:val="76927A"/>
          <w:sz w:val="25"/>
        </w:rPr>
        <w:t>7.2. Comparativa internacional</w:t>
      </w:r>
    </w:p>
    <w:p>
      <w:pPr>
        <w:spacing w:after="90" w:line="276" w:lineRule="auto"/>
        <w:jc w:val="both"/>
      </w:pPr>
      <w:r>
        <w:rPr>
          <w:rFonts w:ascii="Calibri" w:hAnsi="Calibri"/>
          <w:color w:val="2F3A30"/>
          <w:sz w:val="21"/>
        </w:rPr>
        <w:t xml:space="preserve">La comparación internacional muestra modelos diferenciados. Dinamarca ha desarrollado el modelo de </w:t>
      </w:r>
      <w:r>
        <w:rPr>
          <w:rFonts w:ascii="Calibri" w:hAnsi="Calibri"/>
          <w:b/>
          <w:color w:val="113927"/>
          <w:sz w:val="21"/>
        </w:rPr>
        <w:t>flexiseguridad</w:t>
      </w:r>
      <w:r>
        <w:rPr>
          <w:rFonts w:ascii="Calibri" w:hAnsi="Calibri"/>
          <w:color w:val="2F3A30"/>
          <w:sz w:val="21"/>
        </w:rPr>
        <w:t>, que combina flexibilidad en la contratación y el despido con una protección social generosa y políticas activas intensas. Su gasto en políticas activas se sitúa entre los más altos de la OCDE, cerca del 2% del PIB, con servicios de empleo muy profesionalizados, pocos desempleados por orientador y una estrecha integración entre políticas activas y pasivas con fuerte condicionalidad. Alemania representa otro modelo de referencia, con un sistema dual de formación profesional que vincula educación y empleo y unos servicios de empleo modernizados tras las reformas Hartz, aunque persisten críticas sobre el aumento del empleo precario.</w:t>
      </w:r>
    </w:p>
    <w:p>
      <w:pPr>
        <w:spacing w:after="90" w:line="276" w:lineRule="auto"/>
        <w:jc w:val="both"/>
      </w:pPr>
      <w:r>
        <w:rPr>
          <w:rFonts w:ascii="Calibri" w:hAnsi="Calibri"/>
          <w:color w:val="2F3A30"/>
          <w:sz w:val="21"/>
        </w:rPr>
        <w:t>La medida más habitual de comparación, el gasto en porcentaje del PIB, puede engañar. Según un informe de UGT y la Universidad Carlos III de Madrid con datos de 2022, España dedicó ese año a políticas activas el 0,76% del PIB, una cifra situada en la zona media-alta de la Unión Europea. Sin embargo, al dividir ese gasto entre un número de desempleados mucho mayor que el de otros países, el esfuerzo por persona resulta muy inferior: 3.331 euros anuales, frente a 14.250 en Francia, 16.890 en Alemania o más de 41.000 en Dinamarca (Figura 2.3).</w:t>
      </w:r>
    </w:p>
    <w:p>
      <w:pPr>
        <w:keepNext/>
        <w:spacing w:before="160" w:after="60"/>
        <w:jc w:val="center"/>
      </w:pPr>
      <w:r>
        <w:drawing>
          <wp:inline xmlns:a="http://schemas.openxmlformats.org/drawingml/2006/main" xmlns:pic="http://schemas.openxmlformats.org/drawingml/2006/picture">
            <wp:extent cx="5669280" cy="2667896"/>
            <wp:docPr id="4" name="Picture 4"/>
            <wp:cNvGraphicFramePr>
              <a:graphicFrameLocks noChangeAspect="1"/>
            </wp:cNvGraphicFramePr>
            <a:graphic>
              <a:graphicData uri="http://schemas.openxmlformats.org/drawingml/2006/picture">
                <pic:pic>
                  <pic:nvPicPr>
                    <pic:cNvPr id="0" name="gasto_pae_por_parado.png"/>
                    <pic:cNvPicPr/>
                  </pic:nvPicPr>
                  <pic:blipFill>
                    <a:blip r:embed="rId12"/>
                    <a:stretch>
                      <a:fillRect/>
                    </a:stretch>
                  </pic:blipFill>
                  <pic:spPr>
                    <a:xfrm>
                      <a:off x="0" y="0"/>
                      <a:ext cx="5669280" cy="2667896"/>
                    </a:xfrm>
                    <a:prstGeom prst="rect"/>
                  </pic:spPr>
                </pic:pic>
              </a:graphicData>
            </a:graphic>
          </wp:inline>
        </w:drawing>
      </w:r>
    </w:p>
    <w:p>
      <w:pPr>
        <w:keepNext/>
        <w:spacing w:before="0" w:after="20"/>
        <w:jc w:val="center"/>
      </w:pPr>
      <w:r>
        <w:rPr>
          <w:rFonts w:ascii="Outfit" w:hAnsi="Outfit"/>
          <w:b/>
          <w:color w:val="113927"/>
          <w:sz w:val="18"/>
        </w:rPr>
        <w:t>Figura 2.3: Gasto en políticas activas de empleo por persona desempleada en países de la UE (2022).</w:t>
      </w:r>
    </w:p>
    <w:p>
      <w:pPr>
        <w:spacing w:before="0" w:after="160"/>
        <w:jc w:val="center"/>
      </w:pPr>
      <w:r>
        <w:rPr>
          <w:rFonts w:ascii="Calibri" w:hAnsi="Calibri"/>
          <w:i/>
          <w:color w:val="76927A"/>
          <w:sz w:val="16"/>
        </w:rPr>
        <w:t>Fuente: Elaboración propia para Políticas Sociolaborales (UPO) a partir de UGT y Universidad Carlos III de Madrid (2026), con datos de 2022.</w:t>
      </w:r>
    </w:p>
    <w:p>
      <w:pPr>
        <w:spacing w:after="90" w:line="276" w:lineRule="auto"/>
        <w:jc w:val="both"/>
      </w:pPr>
      <w:r>
        <w:rPr>
          <w:rFonts w:ascii="Calibri" w:hAnsi="Calibri"/>
          <w:color w:val="2F3A30"/>
          <w:sz w:val="21"/>
        </w:rPr>
        <w:t>El sistema español se caracteriza, además, por una fuerte descentralización con diecisiete servicios autonómicos de empleo, una elevada temporalidad estructural y una integración históricamente débil entre políticas activas y pasivas, aunque en proceso de mejora. Sus principales carencias son los recursos limitados, tanto financieros como humanos, la necesidad de profesionalizar más al personal técnico y la debilidad de los sistemas de evaluación y seguimiento.</w:t>
      </w:r>
    </w:p>
    <w:p>
      <w:pPr>
        <w:pStyle w:val="Heading2"/>
        <w:keepNext/>
        <w:spacing w:before="360" w:after="100"/>
        <w:jc w:val="left"/>
      </w:pPr>
      <w:r>
        <w:rPr>
          <w:rFonts w:ascii="Outfit" w:hAnsi="Outfit"/>
          <w:b/>
          <w:color w:val="76927A"/>
          <w:sz w:val="25"/>
        </w:rPr>
        <w:t>7.3. Desafíos pendientes</w:t>
      </w:r>
    </w:p>
    <w:p>
      <w:pPr>
        <w:spacing w:after="90" w:line="276" w:lineRule="auto"/>
        <w:jc w:val="both"/>
      </w:pPr>
      <w:r>
        <w:rPr>
          <w:rFonts w:ascii="Calibri" w:hAnsi="Calibri"/>
          <w:color w:val="2F3A30"/>
          <w:sz w:val="21"/>
        </w:rPr>
        <w:t xml:space="preserve">El primero es </w:t>
      </w:r>
      <w:r>
        <w:rPr>
          <w:rFonts w:ascii="Calibri" w:hAnsi="Calibri"/>
          <w:b/>
          <w:color w:val="113927"/>
          <w:sz w:val="21"/>
        </w:rPr>
        <w:t>incrementar la inversión</w:t>
      </w:r>
      <w:r>
        <w:rPr>
          <w:rFonts w:ascii="Calibri" w:hAnsi="Calibri"/>
          <w:color w:val="2F3A30"/>
          <w:sz w:val="21"/>
        </w:rPr>
        <w:t xml:space="preserve"> en políticas activas para acercarse a los estándares europeos, sobre todo en términos de gasto por desempleado, y asegurar que los recursos adicionales se traduzcan en mejores servicios.</w:t>
      </w:r>
    </w:p>
    <w:p>
      <w:pPr>
        <w:spacing w:after="90" w:line="276" w:lineRule="auto"/>
        <w:jc w:val="both"/>
      </w:pPr>
      <w:r>
        <w:rPr>
          <w:rFonts w:ascii="Calibri" w:hAnsi="Calibri"/>
          <w:color w:val="2F3A30"/>
          <w:sz w:val="21"/>
        </w:rPr>
        <w:t xml:space="preserve">El segundo es la </w:t>
      </w:r>
      <w:r>
        <w:rPr>
          <w:rFonts w:ascii="Calibri" w:hAnsi="Calibri"/>
          <w:b/>
          <w:color w:val="113927"/>
          <w:sz w:val="21"/>
        </w:rPr>
        <w:t>personalización efectiva de los servicios</w:t>
      </w:r>
      <w:r>
        <w:rPr>
          <w:rFonts w:ascii="Calibri" w:hAnsi="Calibri"/>
          <w:color w:val="2F3A30"/>
          <w:sz w:val="21"/>
        </w:rPr>
        <w:t>. Aunque la ley establece servicios garantizados e itinerarios personalizados, su aplicación exige ratios adecuados de profesionales por demandante, herramientas de perfilado estadístico, que permiten estimar el riesgo de paro de larga duración de cada demandante para asignar mejor los servicios (Desiere et al., 2019; Felgueroso et al., 2018; Rebollo-Sanz, 2018), y sistemas de información integrados. La evidencia muestra que los servicios personalizados y combinados funcionan mejor, pero su provisión a escala requiere capacidades que el sistema aún no tiene plenamente.</w:t>
      </w:r>
    </w:p>
    <w:p>
      <w:pPr>
        <w:spacing w:after="90" w:line="276" w:lineRule="auto"/>
        <w:jc w:val="both"/>
      </w:pPr>
      <w:r>
        <w:rPr>
          <w:rFonts w:ascii="Calibri" w:hAnsi="Calibri"/>
          <w:color w:val="2F3A30"/>
          <w:sz w:val="21"/>
        </w:rPr>
        <w:t xml:space="preserve">El tercero es </w:t>
      </w:r>
      <w:r>
        <w:rPr>
          <w:rFonts w:ascii="Calibri" w:hAnsi="Calibri"/>
          <w:b/>
          <w:color w:val="113927"/>
          <w:sz w:val="21"/>
        </w:rPr>
        <w:t>reforzar las capacidades de los servicios públicos de empleo</w:t>
      </w:r>
      <w:r>
        <w:rPr>
          <w:rFonts w:ascii="Calibri" w:hAnsi="Calibri"/>
          <w:color w:val="2F3A30"/>
          <w:sz w:val="21"/>
        </w:rPr>
        <w:t>: formación del personal, transformación digital, capacidad analítica y de evaluación, e infraestructuras. La Red COE ha iniciado este camino, pero se necesita un esfuerzo sostenido.</w:t>
      </w:r>
    </w:p>
    <w:p>
      <w:pPr>
        <w:spacing w:after="90" w:line="276" w:lineRule="auto"/>
        <w:jc w:val="both"/>
      </w:pPr>
      <w:r>
        <w:rPr>
          <w:rFonts w:ascii="Calibri" w:hAnsi="Calibri"/>
          <w:color w:val="2F3A30"/>
          <w:sz w:val="21"/>
        </w:rPr>
        <w:t xml:space="preserve">El cuarto es la </w:t>
      </w:r>
      <w:r>
        <w:rPr>
          <w:rFonts w:ascii="Calibri" w:hAnsi="Calibri"/>
          <w:b/>
          <w:color w:val="113927"/>
          <w:sz w:val="21"/>
        </w:rPr>
        <w:t>adaptación a las transformaciones del mercado laboral</w:t>
      </w:r>
      <w:r>
        <w:rPr>
          <w:rFonts w:ascii="Calibri" w:hAnsi="Calibri"/>
          <w:color w:val="2F3A30"/>
          <w:sz w:val="21"/>
        </w:rPr>
        <w:t>. La digitalización exige competencias digitales en casi todas las ocupaciones; la transición ecológica destruye empleos en sectores tradicionales y crea otros nuevos; el teletrabajo y las formas atípicas de empleo requieren adaptar servicios y regulaciones; y la inteligencia artificial y la automatización obligan a anticipar qué empleos cambian.</w:t>
      </w:r>
    </w:p>
    <w:p>
      <w:pPr>
        <w:spacing w:after="90" w:line="276" w:lineRule="auto"/>
        <w:jc w:val="both"/>
      </w:pPr>
      <w:r>
        <w:rPr>
          <w:rFonts w:ascii="Calibri" w:hAnsi="Calibri"/>
          <w:color w:val="2F3A30"/>
          <w:sz w:val="21"/>
        </w:rPr>
        <w:t xml:space="preserve">El quinto es </w:t>
      </w:r>
      <w:r>
        <w:rPr>
          <w:rFonts w:ascii="Calibri" w:hAnsi="Calibri"/>
          <w:b/>
          <w:color w:val="113927"/>
          <w:sz w:val="21"/>
        </w:rPr>
        <w:t>fortalecer la evaluación</w:t>
      </w:r>
      <w:r>
        <w:rPr>
          <w:rFonts w:ascii="Calibri" w:hAnsi="Calibri"/>
          <w:color w:val="2F3A30"/>
          <w:sz w:val="21"/>
        </w:rPr>
        <w:t>. La Ley de Empleo establece un marco ambicioso, pero su aplicación requiere metodologías estandarizadas como las del epígrafe 6, bases de datos integradas, personal especializado y una cultura de evaluación continua.</w:t>
      </w:r>
    </w:p>
    <w:p>
      <w:pPr>
        <w:spacing w:after="90" w:line="276" w:lineRule="auto"/>
        <w:jc w:val="both"/>
      </w:pPr>
      <w:r>
        <w:rPr>
          <w:rFonts w:ascii="Calibri" w:hAnsi="Calibri"/>
          <w:color w:val="2F3A30"/>
          <w:sz w:val="21"/>
        </w:rPr>
        <w:t xml:space="preserve">El sexto es la </w:t>
      </w:r>
      <w:r>
        <w:rPr>
          <w:rFonts w:ascii="Calibri" w:hAnsi="Calibri"/>
          <w:b/>
          <w:color w:val="113927"/>
          <w:sz w:val="21"/>
        </w:rPr>
        <w:t>coordinación multinivel</w:t>
      </w:r>
      <w:r>
        <w:rPr>
          <w:rFonts w:ascii="Calibri" w:hAnsi="Calibri"/>
          <w:color w:val="2F3A30"/>
          <w:sz w:val="21"/>
        </w:rPr>
        <w:t xml:space="preserve"> entre Estado, comunidades autónomas y entidades locales, y con los servicios sociales, educativos y sanitarios, garantizando la coherencia de los servicios garantizados en todo el territorio sin perder capacidad de adaptación local.</w:t>
      </w:r>
    </w:p>
    <w:p>
      <w:pPr>
        <w:spacing w:after="90" w:line="276" w:lineRule="auto"/>
        <w:jc w:val="both"/>
      </w:pPr>
      <w:r>
        <w:rPr>
          <w:rFonts w:ascii="Calibri" w:hAnsi="Calibri"/>
          <w:color w:val="2F3A30"/>
          <w:sz w:val="21"/>
        </w:rPr>
        <w:t xml:space="preserve">El séptimo, y quizá el más exigente, es la </w:t>
      </w:r>
      <w:r>
        <w:rPr>
          <w:rFonts w:ascii="Calibri" w:hAnsi="Calibri"/>
          <w:b/>
          <w:color w:val="113927"/>
          <w:sz w:val="21"/>
        </w:rPr>
        <w:t>inclusión de los colectivos vulnerables</w:t>
      </w:r>
      <w:r>
        <w:rPr>
          <w:rFonts w:ascii="Calibri" w:hAnsi="Calibri"/>
          <w:color w:val="2F3A30"/>
          <w:sz w:val="21"/>
        </w:rPr>
        <w:t>: desempleados de larga duración mayores de 45 años, jóvenes sin cualificación, personas con discapacidad, población gitana, personas extranjeras y población de zonas rurales o en riesgo de despoblación. Diseñar intervenciones eficaces para estos grupos requiere innovación, recursos y compromiso sostenido.</w:t>
      </w:r>
    </w:p>
    <w:p>
      <w:pPr>
        <w:spacing w:after="90" w:line="276" w:lineRule="auto"/>
        <w:jc w:val="both"/>
      </w:pPr>
      <w:r>
        <w:rPr>
          <w:rFonts w:ascii="Calibri" w:hAnsi="Calibri"/>
          <w:color w:val="2F3A30"/>
          <w:sz w:val="21"/>
        </w:rPr>
        <w:t>La Estrategia 2025-2028 aborda muchos de estos desafíos con objetivos y medidas concretas. Su éxito dependerá de la capacidad para movilizar recursos, mantener el compromiso político y social, y ajustar las políticas a la evidencia que vayan aportando las evaluaciones.</w:t>
      </w:r>
    </w:p>
    <w:p>
      <w:r>
        <w:br w:type="page"/>
      </w:r>
    </w:p>
    <w:tbl>
      <w:tblPr>
        <w:tblW w:type="auto" w:w="0"/>
        <w:jc w:val="center"/>
        <w:tblLayout w:type="fixed"/>
        <w:tblLook w:firstColumn="1" w:firstRow="1" w:lastColumn="0" w:lastRow="0" w:noHBand="0" w:noVBand="1" w:val="04A0"/>
      </w:tblPr>
      <w:tblGrid>
        <w:gridCol w:w="9418"/>
      </w:tblGrid>
      <w:tr>
        <w:trPr>
          <w:cantSplit/>
        </w:trPr>
        <w:tc>
          <w:tcPr>
            <w:tcW w:type="dxa" w:w="9360"/>
            <w:shd w:val="clear" w:color="auto" w:fill="F4F8F5"/>
            <w:tcMar>
              <w:top w:w="160" w:type="dxa"/>
              <w:left w:w="200" w:type="dxa"/>
              <w:bottom w:w="160" w:type="dxa"/>
              <w:right w:w="160" w:type="dxa"/>
            </w:tcMar>
            <w:tcBorders>
              <w:top w:val="none"/>
              <w:left w:val="single" w:sz="26" w:space="0" w:color="76927A"/>
              <w:bottom w:val="none"/>
              <w:right w:val="none"/>
            </w:tcBorders>
          </w:tcPr>
          <w:p>
            <w:pPr>
              <w:keepNext/>
              <w:spacing w:before="0" w:after="120"/>
              <w:jc w:val="left"/>
            </w:pPr>
            <w:r>
              <w:rPr>
                <w:rFonts w:ascii="Outfit" w:hAnsi="Outfit"/>
                <w:b/>
                <w:color w:val="113927"/>
                <w:sz w:val="22"/>
              </w:rPr>
              <w:t>💡  CONCEPTOS CLAVE DEL TEMA 2</w:t>
            </w:r>
          </w:p>
          <w:p>
            <w:pPr>
              <w:keepNext/>
              <w:spacing w:before="0" w:after="40" w:line="276" w:lineRule="auto"/>
              <w:ind w:left="360" w:hanging="216"/>
              <w:jc w:val="both"/>
            </w:pPr>
            <w:r>
              <w:rPr>
                <w:rFonts w:ascii="Calibri" w:hAnsi="Calibri"/>
                <w:b/>
                <w:color w:val="76927A"/>
              </w:rPr>
              <w:t xml:space="preserve">• </w:t>
            </w:r>
            <w:r>
              <w:rPr>
                <w:rFonts w:ascii="Calibri" w:hAnsi="Calibri"/>
                <w:b/>
                <w:color w:val="113927"/>
              </w:rPr>
              <w:t xml:space="preserve">Políticas activas de empleo: </w:t>
            </w:r>
            <w:r>
              <w:rPr>
                <w:rFonts w:ascii="Calibri" w:hAnsi="Calibri"/>
                <w:color w:val="2F3A30"/>
                <w:sz w:val="19"/>
              </w:rPr>
              <w:t>Servicios y programas de orientación, intermediación, formación, empleo y apoyo al emprendimiento para mejorar la empleabilidad y el acceso al empleo.</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Cartera Común de Servicios: </w:t>
            </w:r>
            <w:r>
              <w:rPr>
                <w:rFonts w:ascii="Calibri" w:hAnsi="Calibri"/>
                <w:color w:val="2F3A30"/>
                <w:sz w:val="19"/>
              </w:rPr>
              <w:t>Conjunto de servicios garantizados del Sistema Nacional de Empleo (RD 438/2024), exigibles por personas y empresas.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Eficiencia del emparejamiento (A): </w:t>
            </w:r>
            <w:r>
              <w:rPr>
                <w:rFonts w:ascii="Calibri" w:hAnsi="Calibri"/>
                <w:color w:val="2F3A30"/>
                <w:sz w:val="19"/>
              </w:rPr>
              <w:t>Parámetro de la función de emparejamiento sobre el que actúan la orientación y la intermediación.</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Subvención a tanto alzado: </w:t>
            </w:r>
            <w:r>
              <w:rPr>
                <w:rFonts w:ascii="Calibri" w:hAnsi="Calibri"/>
                <w:color w:val="2F3A30"/>
                <w:sz w:val="19"/>
              </w:rPr>
              <w:t>Cantidad fija por contrato incentivado, abonada en uno o varios pagos.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Bonificación de cuotas: </w:t>
            </w:r>
            <w:r>
              <w:rPr>
                <w:rFonts w:ascii="Calibri" w:hAnsi="Calibri"/>
                <w:color w:val="2F3A30"/>
                <w:sz w:val="19"/>
              </w:rPr>
              <w:t>Reducción mensual de las cotizaciones empresariales mientras dura el contrato incentivado.</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Obligación de permanencia: </w:t>
            </w:r>
            <w:r>
              <w:rPr>
                <w:rFonts w:ascii="Calibri" w:hAnsi="Calibri"/>
                <w:color w:val="2F3A30"/>
                <w:sz w:val="19"/>
              </w:rPr>
              <w:t>Tiempo mínimo durante el que debe mantenerse el contrato para no devolver la ayuda.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Incremento neto de plantilla: </w:t>
            </w:r>
            <w:r>
              <w:rPr>
                <w:rFonts w:ascii="Calibri" w:hAnsi="Calibri"/>
                <w:color w:val="2F3A30"/>
                <w:sz w:val="19"/>
              </w:rPr>
              <w:t>Condición que exige que la contratación subvencionada aumente el empleo de la empresa.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Peso muerto: </w:t>
            </w:r>
            <w:r>
              <w:rPr>
                <w:rFonts w:ascii="Calibri" w:hAnsi="Calibri"/>
                <w:color w:val="2F3A30"/>
                <w:sz w:val="19"/>
              </w:rPr>
              <w:t>Contrataciones subvencionadas que se habrían producido igualmente sin la ayuda.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Efecto sustitución: </w:t>
            </w:r>
            <w:r>
              <w:rPr>
                <w:rFonts w:ascii="Calibri" w:hAnsi="Calibri"/>
                <w:color w:val="2F3A30"/>
                <w:sz w:val="19"/>
              </w:rPr>
              <w:t>Contratación del trabajador subvencionado en lugar de otro no subvencionado dentro de la misma empresa.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Efecto desplazamiento: </w:t>
            </w:r>
            <w:r>
              <w:rPr>
                <w:rFonts w:ascii="Calibri" w:hAnsi="Calibri"/>
                <w:color w:val="2F3A30"/>
                <w:sz w:val="19"/>
              </w:rPr>
              <w:t>Empleo creado en empresas subvencionadas a costa de pérdidas de empleo en empresas competidoras.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Empleo neto adicional: </w:t>
            </w:r>
            <w:r>
              <w:rPr>
                <w:rFonts w:ascii="Calibri" w:hAnsi="Calibri"/>
                <w:color w:val="2F3A30"/>
                <w:sz w:val="19"/>
              </w:rPr>
              <w:t>Puestos que existen gracias al programa: contrataciones subvencionadas menos peso muerto, sustitución y desplazamiento.</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Contrafactual: </w:t>
            </w:r>
            <w:r>
              <w:rPr>
                <w:rFonts w:ascii="Calibri" w:hAnsi="Calibri"/>
                <w:color w:val="2F3A30"/>
                <w:sz w:val="19"/>
              </w:rPr>
              <w:t>Resultado que habrían tenido los participantes si no hubieran participado en el programa.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Sesgo de selección: </w:t>
            </w:r>
            <w:r>
              <w:rPr>
                <w:rFonts w:ascii="Calibri" w:hAnsi="Calibri"/>
                <w:color w:val="2F3A30"/>
                <w:sz w:val="19"/>
              </w:rPr>
              <w:t>Diferencia entre participantes y no participantes que no se debe al programa, sino a sus características previas.</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Diferencias en diferencias: </w:t>
            </w:r>
            <w:r>
              <w:rPr>
                <w:rFonts w:ascii="Calibri" w:hAnsi="Calibri"/>
                <w:color w:val="2F3A30"/>
                <w:sz w:val="19"/>
              </w:rPr>
              <w:t>Método que compara la evolución de participantes y grupo de comparación antes y después del programa.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Efecto bloqueo (lock-in): </w:t>
            </w:r>
            <w:r>
              <w:rPr>
                <w:rFonts w:ascii="Calibri" w:hAnsi="Calibri"/>
                <w:color w:val="2F3A30"/>
                <w:sz w:val="19"/>
              </w:rPr>
              <w:t>Reducción de la búsqueda de empleo mientras se participa en un programa.</w:t>
            </w:r>
          </w:p>
          <w:p>
            <w:pPr>
              <w:keepNext/>
              <w:spacing w:before="60" w:after="40" w:line="276" w:lineRule="auto"/>
              <w:ind w:left="360" w:hanging="216"/>
              <w:jc w:val="both"/>
            </w:pPr>
            <w:r>
              <w:rPr>
                <w:rFonts w:ascii="Calibri" w:hAnsi="Calibri"/>
                <w:b/>
                <w:color w:val="76927A"/>
              </w:rPr>
              <w:t xml:space="preserve">• </w:t>
            </w:r>
            <w:r>
              <w:rPr>
                <w:rFonts w:ascii="Calibri" w:hAnsi="Calibri"/>
                <w:b/>
                <w:color w:val="113927"/>
              </w:rPr>
              <w:t xml:space="preserve">Flexiseguridad: </w:t>
            </w:r>
            <w:r>
              <w:rPr>
                <w:rFonts w:ascii="Calibri" w:hAnsi="Calibri"/>
                <w:color w:val="2F3A30"/>
                <w:sz w:val="19"/>
              </w:rPr>
              <w:t>Modelo que combina flexibilidad contractual, protección social generosa y políticas activas intensas.</w:t>
            </w:r>
          </w:p>
        </w:tc>
      </w:tr>
    </w:tbl>
    <w:p>
      <w:pPr>
        <w:spacing w:before="0" w:after="160"/>
      </w:pPr>
    </w:p>
    <w:p>
      <w:pPr>
        <w:pStyle w:val="Heading1"/>
        <w:keepNext/>
        <w:spacing w:before="520" w:after="120"/>
        <w:jc w:val="left"/>
      </w:pPr>
      <w:r>
        <w:rPr>
          <w:rFonts w:ascii="Outfit" w:hAnsi="Outfit"/>
          <w:b/>
          <w:color w:val="113927"/>
          <w:sz w:val="30"/>
        </w:rPr>
        <w:t>REFERENCIAS BIBLIOGRÁFICAS</w:t>
      </w:r>
    </w:p>
    <w:p>
      <w:pPr>
        <w:spacing w:after="60"/>
        <w:ind w:left="432" w:hanging="432"/>
        <w:jc w:val="left"/>
      </w:pPr>
      <w:r>
        <w:rPr>
          <w:rFonts w:ascii="Calibri" w:hAnsi="Calibri"/>
          <w:color w:val="2F3A30"/>
          <w:sz w:val="19"/>
        </w:rPr>
        <w:t xml:space="preserve">AIReF (2020). </w:t>
      </w:r>
      <w:r>
        <w:rPr>
          <w:rFonts w:ascii="Calibri" w:hAnsi="Calibri"/>
          <w:i/>
          <w:color w:val="2F3A30"/>
          <w:sz w:val="19"/>
        </w:rPr>
        <w:t>Evaluación del gasto público 2019. Estudio: Incentivos a la contratación y al trabajo autónomo</w:t>
      </w:r>
      <w:r>
        <w:rPr>
          <w:rFonts w:ascii="Calibri" w:hAnsi="Calibri"/>
          <w:color w:val="2F3A30"/>
          <w:sz w:val="19"/>
        </w:rPr>
        <w:t>. Autoridad Independiente de Responsabilidad Fiscal.</w:t>
      </w:r>
    </w:p>
    <w:p>
      <w:pPr>
        <w:spacing w:after="60"/>
        <w:ind w:left="432" w:hanging="432"/>
        <w:jc w:val="left"/>
      </w:pPr>
      <w:r>
        <w:rPr>
          <w:rFonts w:ascii="Calibri" w:hAnsi="Calibri"/>
          <w:color w:val="2F3A30"/>
          <w:sz w:val="19"/>
        </w:rPr>
        <w:t xml:space="preserve">Arellano, F. A. (2005). Do training programmes get the unemployed back to work?: A look at the Spanish experience. </w:t>
      </w:r>
      <w:r>
        <w:rPr>
          <w:rFonts w:ascii="Calibri" w:hAnsi="Calibri"/>
          <w:i/>
          <w:color w:val="2F3A30"/>
          <w:sz w:val="19"/>
        </w:rPr>
        <w:t>Revista de Economía Aplicada, 13</w:t>
      </w:r>
      <w:r>
        <w:rPr>
          <w:rFonts w:ascii="Calibri" w:hAnsi="Calibri"/>
          <w:color w:val="2F3A30"/>
          <w:sz w:val="19"/>
        </w:rPr>
        <w:t>(39), 87-110.</w:t>
      </w:r>
    </w:p>
    <w:p>
      <w:pPr>
        <w:spacing w:after="60"/>
        <w:ind w:left="432" w:hanging="432"/>
        <w:jc w:val="left"/>
      </w:pPr>
      <w:r>
        <w:rPr>
          <w:rFonts w:ascii="Calibri" w:hAnsi="Calibri"/>
          <w:color w:val="2F3A30"/>
          <w:sz w:val="19"/>
        </w:rPr>
        <w:t xml:space="preserve">Arellano, F. A. (2010). Evaluating the impact of training programmes on the duration of unemployment. </w:t>
      </w:r>
      <w:r>
        <w:rPr>
          <w:rFonts w:ascii="Calibri" w:hAnsi="Calibri"/>
          <w:i/>
          <w:color w:val="2F3A30"/>
          <w:sz w:val="19"/>
        </w:rPr>
        <w:t>Applied Economics, 42</w:t>
      </w:r>
      <w:r>
        <w:rPr>
          <w:rFonts w:ascii="Calibri" w:hAnsi="Calibri"/>
          <w:color w:val="2F3A30"/>
          <w:sz w:val="19"/>
        </w:rPr>
        <w:t>(20), 2591-2605.</w:t>
      </w:r>
    </w:p>
    <w:p>
      <w:pPr>
        <w:spacing w:after="60"/>
        <w:ind w:left="432" w:hanging="432"/>
        <w:jc w:val="left"/>
      </w:pPr>
      <w:r>
        <w:rPr>
          <w:rFonts w:ascii="Calibri" w:hAnsi="Calibri"/>
          <w:color w:val="2F3A30"/>
          <w:sz w:val="19"/>
        </w:rPr>
        <w:t xml:space="preserve">Brown, A. J. G. (2015). Can hiring subsidies benefit the unemployed? </w:t>
      </w:r>
      <w:r>
        <w:rPr>
          <w:rFonts w:ascii="Calibri" w:hAnsi="Calibri"/>
          <w:i/>
          <w:color w:val="2F3A30"/>
          <w:sz w:val="19"/>
        </w:rPr>
        <w:t>IZA World of Labor</w:t>
      </w:r>
      <w:r>
        <w:rPr>
          <w:rFonts w:ascii="Calibri" w:hAnsi="Calibri"/>
          <w:color w:val="2F3A30"/>
          <w:sz w:val="19"/>
        </w:rPr>
        <w:t>, 163.</w:t>
      </w:r>
    </w:p>
    <w:p>
      <w:pPr>
        <w:spacing w:after="60"/>
        <w:ind w:left="432" w:hanging="432"/>
        <w:jc w:val="left"/>
      </w:pPr>
      <w:r>
        <w:rPr>
          <w:rFonts w:ascii="Calibri" w:hAnsi="Calibri"/>
          <w:color w:val="2F3A30"/>
          <w:sz w:val="19"/>
        </w:rPr>
        <w:t xml:space="preserve">Burtless, G. (1985). Are targeted wage subsidies harmful? Evidence from a wage voucher experiment. </w:t>
      </w:r>
      <w:r>
        <w:rPr>
          <w:rFonts w:ascii="Calibri" w:hAnsi="Calibri"/>
          <w:i/>
          <w:color w:val="2F3A30"/>
          <w:sz w:val="19"/>
        </w:rPr>
        <w:t>Industrial and Labor Relations Review, 39</w:t>
      </w:r>
      <w:r>
        <w:rPr>
          <w:rFonts w:ascii="Calibri" w:hAnsi="Calibri"/>
          <w:color w:val="2F3A30"/>
          <w:sz w:val="19"/>
        </w:rPr>
        <w:t>(1), 105-114.</w:t>
      </w:r>
    </w:p>
    <w:p>
      <w:pPr>
        <w:spacing w:after="60"/>
        <w:ind w:left="432" w:hanging="432"/>
        <w:jc w:val="left"/>
      </w:pPr>
      <w:r>
        <w:rPr>
          <w:rFonts w:ascii="Calibri" w:hAnsi="Calibri"/>
          <w:color w:val="2F3A30"/>
          <w:sz w:val="19"/>
        </w:rPr>
        <w:t xml:space="preserve">Caliendo, M., Mahlstedt, R., &amp; Mitnik, O. A. (2017). Unobservable, but unimportant? The relevance of usually unobserved variables for the evaluation of labor market policies. </w:t>
      </w:r>
      <w:r>
        <w:rPr>
          <w:rFonts w:ascii="Calibri" w:hAnsi="Calibri"/>
          <w:i/>
          <w:color w:val="2F3A30"/>
          <w:sz w:val="19"/>
        </w:rPr>
        <w:t>Labour Economics, 46</w:t>
      </w:r>
      <w:r>
        <w:rPr>
          <w:rFonts w:ascii="Calibri" w:hAnsi="Calibri"/>
          <w:color w:val="2F3A30"/>
          <w:sz w:val="19"/>
        </w:rPr>
        <w:t>, 14-25.</w:t>
      </w:r>
    </w:p>
    <w:p>
      <w:pPr>
        <w:spacing w:after="60"/>
        <w:ind w:left="432" w:hanging="432"/>
        <w:jc w:val="left"/>
      </w:pPr>
      <w:r>
        <w:rPr>
          <w:rFonts w:ascii="Calibri" w:hAnsi="Calibri"/>
          <w:color w:val="2F3A30"/>
          <w:sz w:val="19"/>
        </w:rPr>
        <w:t xml:space="preserve">Card, D., Kluve, J., &amp; Weber, A. (2010). Active Labour Market Policy Evaluations: A Meta-Analysis. </w:t>
      </w:r>
      <w:r>
        <w:rPr>
          <w:rFonts w:ascii="Calibri" w:hAnsi="Calibri"/>
          <w:i/>
          <w:color w:val="2F3A30"/>
          <w:sz w:val="19"/>
        </w:rPr>
        <w:t>The Economic Journal, 120</w:t>
      </w:r>
      <w:r>
        <w:rPr>
          <w:rFonts w:ascii="Calibri" w:hAnsi="Calibri"/>
          <w:color w:val="2F3A30"/>
          <w:sz w:val="19"/>
        </w:rPr>
        <w:t>(548), F452-F477.</w:t>
      </w:r>
    </w:p>
    <w:p>
      <w:pPr>
        <w:spacing w:after="60"/>
        <w:ind w:left="432" w:hanging="432"/>
        <w:jc w:val="left"/>
      </w:pPr>
      <w:r>
        <w:rPr>
          <w:rFonts w:ascii="Calibri" w:hAnsi="Calibri"/>
          <w:color w:val="2F3A30"/>
          <w:sz w:val="19"/>
        </w:rPr>
        <w:t xml:space="preserve">Card, D., Kluve, J., &amp; Weber, A. (2018). What works? A meta analysis of recent active labor market program evaluations. </w:t>
      </w:r>
      <w:r>
        <w:rPr>
          <w:rFonts w:ascii="Calibri" w:hAnsi="Calibri"/>
          <w:i/>
          <w:color w:val="2F3A30"/>
          <w:sz w:val="19"/>
        </w:rPr>
        <w:t>Journal of the European Economic Association, 16</w:t>
      </w:r>
      <w:r>
        <w:rPr>
          <w:rFonts w:ascii="Calibri" w:hAnsi="Calibri"/>
          <w:color w:val="2F3A30"/>
          <w:sz w:val="19"/>
        </w:rPr>
        <w:t>(3), 894-931.</w:t>
      </w:r>
    </w:p>
    <w:p>
      <w:pPr>
        <w:spacing w:after="60"/>
        <w:ind w:left="432" w:hanging="432"/>
        <w:jc w:val="left"/>
      </w:pPr>
      <w:r>
        <w:rPr>
          <w:rFonts w:ascii="Calibri" w:hAnsi="Calibri"/>
          <w:color w:val="2F3A30"/>
          <w:sz w:val="19"/>
        </w:rPr>
        <w:t xml:space="preserve">Crépon, B., Duflo, E., Gurgand, M., Rathelot, R., &amp; Zamora, P. (2013). Do labor market policies have displacement effects? Evidence from a clustered randomized experiment. </w:t>
      </w:r>
      <w:r>
        <w:rPr>
          <w:rFonts w:ascii="Calibri" w:hAnsi="Calibri"/>
          <w:i/>
          <w:color w:val="2F3A30"/>
          <w:sz w:val="19"/>
        </w:rPr>
        <w:t>The Quarterly Journal of Economics, 128</w:t>
      </w:r>
      <w:r>
        <w:rPr>
          <w:rFonts w:ascii="Calibri" w:hAnsi="Calibri"/>
          <w:color w:val="2F3A30"/>
          <w:sz w:val="19"/>
        </w:rPr>
        <w:t>(2), 531-580.</w:t>
      </w:r>
    </w:p>
    <w:p>
      <w:pPr>
        <w:spacing w:after="60"/>
        <w:ind w:left="432" w:hanging="432"/>
        <w:jc w:val="left"/>
      </w:pPr>
      <w:r>
        <w:rPr>
          <w:rFonts w:ascii="Calibri" w:hAnsi="Calibri"/>
          <w:color w:val="2F3A30"/>
          <w:sz w:val="19"/>
        </w:rPr>
        <w:t xml:space="preserve">Cueto, B., &amp; Mato, F. J. (2009). An analysis of a training programme for the unemployed in Spain. </w:t>
      </w:r>
      <w:r>
        <w:rPr>
          <w:rFonts w:ascii="Calibri" w:hAnsi="Calibri"/>
          <w:i/>
          <w:color w:val="2F3A30"/>
          <w:sz w:val="19"/>
        </w:rPr>
        <w:t>The European Journal of Comparative Economics, 6</w:t>
      </w:r>
      <w:r>
        <w:rPr>
          <w:rFonts w:ascii="Calibri" w:hAnsi="Calibri"/>
          <w:color w:val="2F3A30"/>
          <w:sz w:val="19"/>
        </w:rPr>
        <w:t>(2), 289-307.</w:t>
      </w:r>
    </w:p>
    <w:p>
      <w:pPr>
        <w:spacing w:after="60"/>
        <w:ind w:left="432" w:hanging="432"/>
        <w:jc w:val="left"/>
      </w:pPr>
      <w:r>
        <w:rPr>
          <w:rFonts w:ascii="Calibri" w:hAnsi="Calibri"/>
          <w:color w:val="2F3A30"/>
          <w:sz w:val="19"/>
        </w:rPr>
        <w:t xml:space="preserve">Desiere, S., Langenbucher, K., &amp; Struyven, L. (2019). Statistical profiling in public employment services: An international comparison. </w:t>
      </w:r>
      <w:r>
        <w:rPr>
          <w:rFonts w:ascii="Calibri" w:hAnsi="Calibri"/>
          <w:i/>
          <w:color w:val="2F3A30"/>
          <w:sz w:val="19"/>
        </w:rPr>
        <w:t>OECD Social, Employment and Migration Working Papers No. 224</w:t>
      </w:r>
      <w:r>
        <w:rPr>
          <w:rFonts w:ascii="Calibri" w:hAnsi="Calibri"/>
          <w:color w:val="2F3A30"/>
          <w:sz w:val="19"/>
        </w:rPr>
        <w:t>.</w:t>
      </w:r>
    </w:p>
    <w:p>
      <w:pPr>
        <w:spacing w:after="60"/>
        <w:ind w:left="432" w:hanging="432"/>
        <w:jc w:val="left"/>
      </w:pPr>
      <w:r>
        <w:rPr>
          <w:rFonts w:ascii="Calibri" w:hAnsi="Calibri"/>
          <w:color w:val="2F3A30"/>
          <w:sz w:val="19"/>
        </w:rPr>
        <w:t xml:space="preserve">Felgueroso, F., García-Pérez, J. I., &amp; Jansen, M. (2018). El uso del perfilado estadístico en las políticas activas de empleo en España. </w:t>
      </w:r>
      <w:r>
        <w:rPr>
          <w:rFonts w:ascii="Calibri" w:hAnsi="Calibri"/>
          <w:i/>
          <w:color w:val="2F3A30"/>
          <w:sz w:val="19"/>
        </w:rPr>
        <w:t>Cuadernos de Información Económica, 265</w:t>
      </w:r>
      <w:r>
        <w:rPr>
          <w:rFonts w:ascii="Calibri" w:hAnsi="Calibri"/>
          <w:color w:val="2F3A30"/>
          <w:sz w:val="19"/>
        </w:rPr>
        <w:t>, 11-20.</w:t>
      </w:r>
    </w:p>
    <w:p>
      <w:pPr>
        <w:spacing w:after="60"/>
        <w:ind w:left="432" w:hanging="432"/>
        <w:jc w:val="left"/>
      </w:pPr>
      <w:r>
        <w:rPr>
          <w:rFonts w:ascii="Calibri" w:hAnsi="Calibri"/>
          <w:color w:val="2F3A30"/>
          <w:sz w:val="19"/>
        </w:rPr>
        <w:t xml:space="preserve">García-Pérez, J. I., &amp; Rebollo Sanz, Y. (2009a). Do wage subsidies affect the subsequent employment stability of permanent workers?: The case of Spain. </w:t>
      </w:r>
      <w:r>
        <w:rPr>
          <w:rFonts w:ascii="Calibri" w:hAnsi="Calibri"/>
          <w:i/>
          <w:color w:val="2F3A30"/>
          <w:sz w:val="19"/>
        </w:rPr>
        <w:t>Moneda y Crédito, 228</w:t>
      </w:r>
      <w:r>
        <w:rPr>
          <w:rFonts w:ascii="Calibri" w:hAnsi="Calibri"/>
          <w:color w:val="2F3A30"/>
          <w:sz w:val="19"/>
        </w:rPr>
        <w:t>, 65-103.</w:t>
      </w:r>
    </w:p>
    <w:p>
      <w:pPr>
        <w:spacing w:after="60"/>
        <w:ind w:left="432" w:hanging="432"/>
        <w:jc w:val="left"/>
      </w:pPr>
      <w:r>
        <w:rPr>
          <w:rFonts w:ascii="Calibri" w:hAnsi="Calibri"/>
          <w:color w:val="2F3A30"/>
          <w:sz w:val="19"/>
        </w:rPr>
        <w:t xml:space="preserve">García-Pérez, J. I., &amp; Rebollo Sanz, Y. (2009b). The use of permanent contracts across Spanish regions: Do regional wage subsidies work? </w:t>
      </w:r>
      <w:r>
        <w:rPr>
          <w:rFonts w:ascii="Calibri" w:hAnsi="Calibri"/>
          <w:i/>
          <w:color w:val="2F3A30"/>
          <w:sz w:val="19"/>
        </w:rPr>
        <w:t>Investigaciones Económicas, 33</w:t>
      </w:r>
      <w:r>
        <w:rPr>
          <w:rFonts w:ascii="Calibri" w:hAnsi="Calibri"/>
          <w:color w:val="2F3A30"/>
          <w:sz w:val="19"/>
        </w:rPr>
        <w:t>(1), 97-130.</w:t>
      </w:r>
    </w:p>
    <w:p>
      <w:pPr>
        <w:spacing w:after="60"/>
        <w:ind w:left="432" w:hanging="432"/>
        <w:jc w:val="left"/>
      </w:pPr>
      <w:r>
        <w:rPr>
          <w:rFonts w:ascii="Calibri" w:hAnsi="Calibri"/>
          <w:color w:val="2F3A30"/>
          <w:sz w:val="19"/>
        </w:rPr>
        <w:t xml:space="preserve">Gertler, P. J., Martínez, S., Premand, P., Rawlings, L. B., &amp; Vermeersch, C. M. J. (2017). </w:t>
      </w:r>
      <w:r>
        <w:rPr>
          <w:rFonts w:ascii="Calibri" w:hAnsi="Calibri"/>
          <w:i/>
          <w:color w:val="2F3A30"/>
          <w:sz w:val="19"/>
        </w:rPr>
        <w:t>La evaluación de impacto en la práctica</w:t>
      </w:r>
      <w:r>
        <w:rPr>
          <w:rFonts w:ascii="Calibri" w:hAnsi="Calibri"/>
          <w:color w:val="2F3A30"/>
          <w:sz w:val="19"/>
        </w:rPr>
        <w:t xml:space="preserve"> (2.ª ed.). Banco Interamericano de Desarrollo y Banco Mundial.</w:t>
      </w:r>
    </w:p>
    <w:p>
      <w:pPr>
        <w:spacing w:after="60"/>
        <w:ind w:left="432" w:hanging="432"/>
        <w:jc w:val="left"/>
      </w:pPr>
      <w:r>
        <w:rPr>
          <w:rFonts w:ascii="Calibri" w:hAnsi="Calibri"/>
          <w:color w:val="2F3A30"/>
          <w:sz w:val="19"/>
        </w:rPr>
        <w:t xml:space="preserve">Kluve, J. (2010). The effectiveness of European active labor market programs. </w:t>
      </w:r>
      <w:r>
        <w:rPr>
          <w:rFonts w:ascii="Calibri" w:hAnsi="Calibri"/>
          <w:i/>
          <w:color w:val="2F3A30"/>
          <w:sz w:val="19"/>
        </w:rPr>
        <w:t>Labour Economics, 17</w:t>
      </w:r>
      <w:r>
        <w:rPr>
          <w:rFonts w:ascii="Calibri" w:hAnsi="Calibri"/>
          <w:color w:val="2F3A30"/>
          <w:sz w:val="19"/>
        </w:rPr>
        <w:t>(6), 904-918.</w:t>
      </w:r>
    </w:p>
    <w:p>
      <w:pPr>
        <w:spacing w:after="60"/>
        <w:ind w:left="432" w:hanging="432"/>
        <w:jc w:val="left"/>
      </w:pPr>
      <w:r>
        <w:rPr>
          <w:rFonts w:ascii="Calibri" w:hAnsi="Calibri"/>
          <w:color w:val="2F3A30"/>
          <w:sz w:val="19"/>
        </w:rPr>
        <w:t xml:space="preserve">Kluve, J., Puerto, S., Robalino, D., Romero, J. M., Rother, F., Stöterau, J., Weidenkaff, F., &amp; Witte, M. (2019). Do youth employment programs improve labor market outcomes? A quantitative review. </w:t>
      </w:r>
      <w:r>
        <w:rPr>
          <w:rFonts w:ascii="Calibri" w:hAnsi="Calibri"/>
          <w:i/>
          <w:color w:val="2F3A30"/>
          <w:sz w:val="19"/>
        </w:rPr>
        <w:t>World Development, 114</w:t>
      </w:r>
      <w:r>
        <w:rPr>
          <w:rFonts w:ascii="Calibri" w:hAnsi="Calibri"/>
          <w:color w:val="2F3A30"/>
          <w:sz w:val="19"/>
        </w:rPr>
        <w:t>, 237-253.</w:t>
      </w:r>
    </w:p>
    <w:p>
      <w:pPr>
        <w:spacing w:after="60"/>
        <w:ind w:left="432" w:hanging="432"/>
        <w:jc w:val="left"/>
      </w:pPr>
      <w:r>
        <w:rPr>
          <w:rFonts w:ascii="Calibri" w:hAnsi="Calibri"/>
          <w:color w:val="2F3A30"/>
          <w:sz w:val="19"/>
        </w:rPr>
        <w:t xml:space="preserve">Lechner, M., Miquel, R., &amp; Wunsch, C. (2011). Long-run effects of public sector sponsored training in West Germany. </w:t>
      </w:r>
      <w:r>
        <w:rPr>
          <w:rFonts w:ascii="Calibri" w:hAnsi="Calibri"/>
          <w:i/>
          <w:color w:val="2F3A30"/>
          <w:sz w:val="19"/>
        </w:rPr>
        <w:t>Journal of the European Economic Association, 9</w:t>
      </w:r>
      <w:r>
        <w:rPr>
          <w:rFonts w:ascii="Calibri" w:hAnsi="Calibri"/>
          <w:color w:val="2F3A30"/>
          <w:sz w:val="19"/>
        </w:rPr>
        <w:t>(4), 742-784.</w:t>
      </w:r>
    </w:p>
    <w:p>
      <w:pPr>
        <w:spacing w:after="60"/>
        <w:ind w:left="432" w:hanging="432"/>
        <w:jc w:val="left"/>
      </w:pPr>
      <w:r>
        <w:rPr>
          <w:rFonts w:ascii="Calibri" w:hAnsi="Calibri"/>
          <w:color w:val="2F3A30"/>
          <w:sz w:val="19"/>
        </w:rPr>
        <w:t xml:space="preserve">Ramos, R., Sanromá, E., &amp; Simón, H. (2009). Evaluación del impacto de las políticas activas de empleo en Cataluña. </w:t>
      </w:r>
      <w:r>
        <w:rPr>
          <w:rFonts w:ascii="Calibri" w:hAnsi="Calibri"/>
          <w:i/>
          <w:color w:val="2F3A30"/>
          <w:sz w:val="19"/>
        </w:rPr>
        <w:t>Revista de Economía Aplicada, 17</w:t>
      </w:r>
      <w:r>
        <w:rPr>
          <w:rFonts w:ascii="Calibri" w:hAnsi="Calibri"/>
          <w:color w:val="2F3A30"/>
          <w:sz w:val="19"/>
        </w:rPr>
        <w:t>(51), 113-134.</w:t>
      </w:r>
    </w:p>
    <w:p>
      <w:pPr>
        <w:spacing w:after="60"/>
        <w:ind w:left="432" w:hanging="432"/>
        <w:jc w:val="left"/>
      </w:pPr>
      <w:r>
        <w:rPr>
          <w:rFonts w:ascii="Calibri" w:hAnsi="Calibri"/>
          <w:color w:val="2F3A30"/>
          <w:sz w:val="19"/>
        </w:rPr>
        <w:t xml:space="preserve">Rebollo-Sanz, Y. (2018). El perfilado estadístico como herramienta para mejorar la eficiencia de las políticas activas de empleo. En A. de la Fuente &amp; R. Doménech (Eds.), </w:t>
      </w:r>
      <w:r>
        <w:rPr>
          <w:rFonts w:ascii="Calibri" w:hAnsi="Calibri"/>
          <w:i/>
          <w:color w:val="2F3A30"/>
          <w:sz w:val="19"/>
        </w:rPr>
        <w:t>Las reformas necesarias en las políticas activas de empleo</w:t>
      </w:r>
      <w:r>
        <w:rPr>
          <w:rFonts w:ascii="Calibri" w:hAnsi="Calibri"/>
          <w:color w:val="2F3A30"/>
          <w:sz w:val="19"/>
        </w:rPr>
        <w:t xml:space="preserve"> (pp. 45-78). Fedea.</w:t>
      </w:r>
    </w:p>
    <w:p>
      <w:pPr>
        <w:spacing w:after="60"/>
        <w:ind w:left="432" w:hanging="432"/>
        <w:jc w:val="left"/>
      </w:pPr>
      <w:r>
        <w:rPr>
          <w:rFonts w:ascii="Calibri" w:hAnsi="Calibri"/>
          <w:color w:val="2F3A30"/>
          <w:sz w:val="19"/>
        </w:rPr>
        <w:t xml:space="preserve">Rebollo Sanz, Y., &amp; García Pérez, J. I. (2021). Are the ALMP tools implemented during the Great Recession effective in increasing employment stability? Evidence for Spain. </w:t>
      </w:r>
      <w:r>
        <w:rPr>
          <w:rFonts w:ascii="Calibri" w:hAnsi="Calibri"/>
          <w:i/>
          <w:color w:val="2F3A30"/>
          <w:sz w:val="19"/>
        </w:rPr>
        <w:t>European Journal of Law and Economics, 51</w:t>
      </w:r>
      <w:r>
        <w:rPr>
          <w:rFonts w:ascii="Calibri" w:hAnsi="Calibri"/>
          <w:color w:val="2F3A30"/>
          <w:sz w:val="19"/>
        </w:rPr>
        <w:t>, 187-235.</w:t>
      </w:r>
    </w:p>
    <w:p>
      <w:pPr>
        <w:spacing w:after="60"/>
        <w:ind w:left="432" w:hanging="432"/>
        <w:jc w:val="left"/>
      </w:pPr>
      <w:r>
        <w:rPr>
          <w:rFonts w:ascii="Calibri" w:hAnsi="Calibri"/>
          <w:color w:val="2F3A30"/>
          <w:sz w:val="19"/>
        </w:rPr>
        <w:t xml:space="preserve">Sianesi, B. (2008). Differential effects of active labour market programs for the unemployed. </w:t>
      </w:r>
      <w:r>
        <w:rPr>
          <w:rFonts w:ascii="Calibri" w:hAnsi="Calibri"/>
          <w:i/>
          <w:color w:val="2F3A30"/>
          <w:sz w:val="19"/>
        </w:rPr>
        <w:t>Labour Economics, 15</w:t>
      </w:r>
      <w:r>
        <w:rPr>
          <w:rFonts w:ascii="Calibri" w:hAnsi="Calibri"/>
          <w:color w:val="2F3A30"/>
          <w:sz w:val="19"/>
        </w:rPr>
        <w:t>(3), 370-399.</w:t>
      </w:r>
    </w:p>
    <w:p>
      <w:pPr>
        <w:spacing w:after="60"/>
        <w:ind w:left="432" w:hanging="432"/>
        <w:jc w:val="left"/>
      </w:pPr>
      <w:r>
        <w:rPr>
          <w:rFonts w:ascii="Calibri" w:hAnsi="Calibri"/>
          <w:color w:val="2F3A30"/>
          <w:sz w:val="19"/>
        </w:rPr>
        <w:t xml:space="preserve">UGT y Universidad Carlos III de Madrid (2026). </w:t>
      </w:r>
      <w:r>
        <w:rPr>
          <w:rFonts w:ascii="Calibri" w:hAnsi="Calibri"/>
          <w:i/>
          <w:color w:val="2F3A30"/>
          <w:sz w:val="19"/>
        </w:rPr>
        <w:t>Retos de las políticas de empleo en España en el marco institucional de la Unión Europea</w:t>
      </w:r>
      <w:r>
        <w:rPr>
          <w:rFonts w:ascii="Calibri" w:hAnsi="Calibri"/>
          <w:color w:val="2F3A30"/>
          <w:sz w:val="19"/>
        </w:rPr>
        <w:t>. Presentado el 15 de septiembre de 2026.</w:t>
      </w:r>
    </w:p>
    <w:p>
      <w:pPr>
        <w:pStyle w:val="Heading2"/>
        <w:keepNext/>
        <w:spacing w:before="360" w:after="100"/>
        <w:jc w:val="left"/>
      </w:pPr>
      <w:r>
        <w:rPr>
          <w:rFonts w:ascii="Outfit" w:hAnsi="Outfit"/>
          <w:b/>
          <w:color w:val="76927A"/>
          <w:sz w:val="25"/>
        </w:rPr>
        <w:t>Bibliografía complementaria</w:t>
      </w:r>
    </w:p>
    <w:p>
      <w:pPr>
        <w:spacing w:after="60"/>
        <w:ind w:left="432" w:hanging="432"/>
        <w:jc w:val="left"/>
      </w:pPr>
      <w:r>
        <w:rPr>
          <w:rFonts w:ascii="Calibri" w:hAnsi="Calibri"/>
          <w:color w:val="2F3A30"/>
          <w:sz w:val="19"/>
        </w:rPr>
        <w:t xml:space="preserve">O'Connell, P. J., McGuinness, S., Kelly, E., &amp; Walsh, J. R. (2012). Activation in Ireland: An evaluation of the National Employment Action Plan. </w:t>
      </w:r>
      <w:r>
        <w:rPr>
          <w:rFonts w:ascii="Calibri" w:hAnsi="Calibri"/>
          <w:i/>
          <w:color w:val="2F3A30"/>
          <w:sz w:val="19"/>
        </w:rPr>
        <w:t>ESRI Research Series No. 28</w:t>
      </w:r>
      <w:r>
        <w:rPr>
          <w:rFonts w:ascii="Calibri" w:hAnsi="Calibri"/>
          <w:color w:val="2F3A30"/>
          <w:sz w:val="19"/>
        </w:rPr>
        <w:t>.</w:t>
      </w:r>
    </w:p>
    <w:p>
      <w:pPr>
        <w:spacing w:after="60"/>
        <w:ind w:left="432" w:hanging="432"/>
        <w:jc w:val="left"/>
      </w:pPr>
      <w:r>
        <w:rPr>
          <w:rFonts w:ascii="Calibri" w:hAnsi="Calibri"/>
          <w:color w:val="2F3A30"/>
          <w:sz w:val="19"/>
        </w:rPr>
        <w:t xml:space="preserve">Andersson, F., Holzer, H. J., Lane, J. I., Rosenblum, D., &amp; Smith, J. (2016). Does federally-funded job training work? Nonexperimental estimates of WIA training impacts using longitudinal data on workers and firms. </w:t>
      </w:r>
      <w:r>
        <w:rPr>
          <w:rFonts w:ascii="Calibri" w:hAnsi="Calibri"/>
          <w:i/>
          <w:color w:val="2F3A30"/>
          <w:sz w:val="19"/>
        </w:rPr>
        <w:t>CESifo Working Paper Series No. 6071</w:t>
      </w:r>
      <w:r>
        <w:rPr>
          <w:rFonts w:ascii="Calibri" w:hAnsi="Calibri"/>
          <w:color w:val="2F3A30"/>
          <w:sz w:val="19"/>
        </w:rPr>
        <w:t>.</w:t>
      </w:r>
    </w:p>
    <w:p>
      <w:pPr>
        <w:spacing w:after="60"/>
        <w:ind w:left="432" w:hanging="432"/>
        <w:jc w:val="left"/>
      </w:pPr>
      <w:r>
        <w:rPr>
          <w:rFonts w:ascii="Calibri" w:hAnsi="Calibri"/>
          <w:color w:val="2F3A30"/>
          <w:sz w:val="19"/>
        </w:rPr>
        <w:t xml:space="preserve">Andersen, T. M., &amp; Svarer, M. (2014). The role of workfare in striking a balance between incentives and insurance in the labour market. </w:t>
      </w:r>
      <w:r>
        <w:rPr>
          <w:rFonts w:ascii="Calibri" w:hAnsi="Calibri"/>
          <w:i/>
          <w:color w:val="2F3A30"/>
          <w:sz w:val="19"/>
        </w:rPr>
        <w:t>Economica, 81</w:t>
      </w:r>
      <w:r>
        <w:rPr>
          <w:rFonts w:ascii="Calibri" w:hAnsi="Calibri"/>
          <w:color w:val="2F3A30"/>
          <w:sz w:val="19"/>
        </w:rPr>
        <w:t>(321), 86-116.</w:t>
      </w:r>
    </w:p>
    <w:p>
      <w:pPr>
        <w:spacing w:after="60"/>
        <w:ind w:left="432" w:hanging="432"/>
        <w:jc w:val="left"/>
      </w:pPr>
      <w:r>
        <w:rPr>
          <w:rFonts w:ascii="Calibri" w:hAnsi="Calibri"/>
          <w:color w:val="2F3A30"/>
          <w:sz w:val="19"/>
        </w:rPr>
        <w:t xml:space="preserve">Brown, A. J., &amp; Koettl, J. (2015). Active labor market programs - employment gain or fiscal drain? </w:t>
      </w:r>
      <w:r>
        <w:rPr>
          <w:rFonts w:ascii="Calibri" w:hAnsi="Calibri"/>
          <w:i/>
          <w:color w:val="2F3A30"/>
          <w:sz w:val="19"/>
        </w:rPr>
        <w:t>IZA Journal of Labor Economics, 4</w:t>
      </w:r>
      <w:r>
        <w:rPr>
          <w:rFonts w:ascii="Calibri" w:hAnsi="Calibri"/>
          <w:color w:val="2F3A30"/>
          <w:sz w:val="19"/>
        </w:rPr>
        <w:t>(1), 12.</w:t>
      </w:r>
    </w:p>
    <w:p>
      <w:pPr>
        <w:spacing w:after="60"/>
        <w:ind w:left="432" w:hanging="432"/>
        <w:jc w:val="left"/>
      </w:pPr>
      <w:r>
        <w:rPr>
          <w:rFonts w:ascii="Calibri" w:hAnsi="Calibri"/>
          <w:color w:val="2F3A30"/>
          <w:sz w:val="19"/>
        </w:rPr>
        <w:t>INAEM (2015). Evaluación del impacto de las políticas activas de empleo en Aragón. Instituto Aragonés de Empleo.</w:t>
      </w:r>
    </w:p>
    <w:p>
      <w:pPr>
        <w:spacing w:after="60"/>
        <w:ind w:left="432" w:hanging="432"/>
        <w:jc w:val="left"/>
      </w:pPr>
      <w:r>
        <w:rPr>
          <w:rFonts w:ascii="Calibri" w:hAnsi="Calibri"/>
          <w:color w:val="2F3A30"/>
          <w:sz w:val="19"/>
        </w:rPr>
        <w:t xml:space="preserve">Lechner, M., Miquel, R., &amp; Wunsch, C. (2007). The curse and blessing of training the unemployed in a changing economy: The case of East Germany after unification. </w:t>
      </w:r>
      <w:r>
        <w:rPr>
          <w:rFonts w:ascii="Calibri" w:hAnsi="Calibri"/>
          <w:i/>
          <w:color w:val="2F3A30"/>
          <w:sz w:val="19"/>
        </w:rPr>
        <w:t>German Economic Review, 8</w:t>
      </w:r>
      <w:r>
        <w:rPr>
          <w:rFonts w:ascii="Calibri" w:hAnsi="Calibri"/>
          <w:color w:val="2F3A30"/>
          <w:sz w:val="19"/>
        </w:rPr>
        <w:t>(4), 468-509.</w:t>
      </w:r>
    </w:p>
    <w:p>
      <w:pPr>
        <w:spacing w:after="60"/>
        <w:ind w:left="432" w:hanging="432"/>
        <w:jc w:val="left"/>
      </w:pPr>
      <w:r>
        <w:rPr>
          <w:rFonts w:ascii="Calibri" w:hAnsi="Calibri"/>
          <w:color w:val="2F3A30"/>
          <w:sz w:val="19"/>
        </w:rPr>
        <w:t xml:space="preserve">Loxha, A., &amp; Morgandi, M. (2014). Profiling the unemployed: A review of OECD experiences and implications for emerging economies. </w:t>
      </w:r>
      <w:r>
        <w:rPr>
          <w:rFonts w:ascii="Calibri" w:hAnsi="Calibri"/>
          <w:i/>
          <w:color w:val="2F3A30"/>
          <w:sz w:val="19"/>
        </w:rPr>
        <w:t>World Bank Social Protection and Labor Discussion Paper No. 1424</w:t>
      </w:r>
      <w:r>
        <w:rPr>
          <w:rFonts w:ascii="Calibri" w:hAnsi="Calibri"/>
          <w:color w:val="2F3A30"/>
          <w:sz w:val="19"/>
        </w:rPr>
        <w:t>.</w:t>
      </w:r>
    </w:p>
    <w:p>
      <w:pPr>
        <w:pStyle w:val="Heading2"/>
        <w:keepNext/>
        <w:spacing w:before="360" w:after="100"/>
        <w:jc w:val="left"/>
      </w:pPr>
      <w:r>
        <w:rPr>
          <w:rFonts w:ascii="Outfit" w:hAnsi="Outfit"/>
          <w:b/>
          <w:color w:val="76927A"/>
          <w:sz w:val="25"/>
        </w:rPr>
        <w:t>Normativa y documentos oficiales</w:t>
      </w:r>
    </w:p>
    <w:p>
      <w:pPr>
        <w:spacing w:after="60"/>
        <w:ind w:left="432" w:hanging="432"/>
        <w:jc w:val="left"/>
      </w:pPr>
      <w:r>
        <w:rPr>
          <w:rFonts w:ascii="Calibri" w:hAnsi="Calibri"/>
          <w:color w:val="2F3A30"/>
          <w:sz w:val="19"/>
        </w:rPr>
        <w:t xml:space="preserve">Constitución Española de 1978. </w:t>
      </w:r>
      <w:r>
        <w:rPr>
          <w:rFonts w:ascii="Calibri" w:hAnsi="Calibri"/>
          <w:i/>
          <w:color w:val="2F3A30"/>
          <w:sz w:val="19"/>
        </w:rPr>
        <w:t>Boletín Oficial del Estado</w:t>
      </w:r>
      <w:r>
        <w:rPr>
          <w:rFonts w:ascii="Calibri" w:hAnsi="Calibri"/>
          <w:color w:val="2F3A30"/>
          <w:sz w:val="19"/>
        </w:rPr>
        <w:t>, 311, de 29 de diciembre de 1978.</w:t>
      </w:r>
    </w:p>
    <w:p>
      <w:pPr>
        <w:spacing w:after="60"/>
        <w:ind w:left="432" w:hanging="432"/>
        <w:jc w:val="left"/>
      </w:pPr>
      <w:r>
        <w:rPr>
          <w:rFonts w:ascii="Calibri" w:hAnsi="Calibri"/>
          <w:color w:val="2F3A30"/>
          <w:sz w:val="19"/>
        </w:rPr>
        <w:t xml:space="preserve">Ley 3/2023, de 28 de febrero, de Empleo. </w:t>
      </w:r>
      <w:r>
        <w:rPr>
          <w:rFonts w:ascii="Calibri" w:hAnsi="Calibri"/>
          <w:i/>
          <w:color w:val="2F3A30"/>
          <w:sz w:val="19"/>
        </w:rPr>
        <w:t>Boletín Oficial del Estado</w:t>
      </w:r>
      <w:r>
        <w:rPr>
          <w:rFonts w:ascii="Calibri" w:hAnsi="Calibri"/>
          <w:color w:val="2F3A30"/>
          <w:sz w:val="19"/>
        </w:rPr>
        <w:t>, 51, de 1 de marzo de 2023.</w:t>
      </w:r>
    </w:p>
    <w:p>
      <w:pPr>
        <w:spacing w:after="60"/>
        <w:ind w:left="432" w:hanging="432"/>
        <w:jc w:val="left"/>
      </w:pPr>
      <w:r>
        <w:rPr>
          <w:rFonts w:ascii="Calibri" w:hAnsi="Calibri"/>
          <w:color w:val="2F3A30"/>
          <w:sz w:val="19"/>
        </w:rPr>
        <w:t xml:space="preserve">Real Decreto-ley 1/2023, de 10 de enero, de medidas urgentes en materia de incentivos a la contratación laboral y mejora de la protección social de las personas artistas. </w:t>
      </w:r>
      <w:r>
        <w:rPr>
          <w:rFonts w:ascii="Calibri" w:hAnsi="Calibri"/>
          <w:i/>
          <w:color w:val="2F3A30"/>
          <w:sz w:val="19"/>
        </w:rPr>
        <w:t>Boletín Oficial del Estado</w:t>
      </w:r>
      <w:r>
        <w:rPr>
          <w:rFonts w:ascii="Calibri" w:hAnsi="Calibri"/>
          <w:color w:val="2F3A30"/>
          <w:sz w:val="19"/>
        </w:rPr>
        <w:t>, 9, de 11 de enero de 2023.</w:t>
      </w:r>
    </w:p>
    <w:p>
      <w:pPr>
        <w:spacing w:after="60"/>
        <w:ind w:left="432" w:hanging="432"/>
        <w:jc w:val="left"/>
      </w:pPr>
      <w:r>
        <w:rPr>
          <w:rFonts w:ascii="Calibri" w:hAnsi="Calibri"/>
          <w:color w:val="2F3A30"/>
          <w:sz w:val="19"/>
        </w:rPr>
        <w:t xml:space="preserve">Real Decreto 438/2024, de 30 de abril, por el que se desarrollan la Cartera Común de Servicios del Sistema Nacional de Empleo y los servicios garantizados establecidos en la Ley 3/2023, de 28 de febrero, de Empleo. </w:t>
      </w:r>
      <w:r>
        <w:rPr>
          <w:rFonts w:ascii="Calibri" w:hAnsi="Calibri"/>
          <w:i/>
          <w:color w:val="2F3A30"/>
          <w:sz w:val="19"/>
        </w:rPr>
        <w:t>Boletín Oficial del Estado</w:t>
      </w:r>
      <w:r>
        <w:rPr>
          <w:rFonts w:ascii="Calibri" w:hAnsi="Calibri"/>
          <w:color w:val="2F3A30"/>
          <w:sz w:val="19"/>
        </w:rPr>
        <w:t>, 106, de 2 de mayo de 2024.</w:t>
      </w:r>
    </w:p>
    <w:p>
      <w:pPr>
        <w:spacing w:after="60"/>
        <w:ind w:left="432" w:hanging="432"/>
        <w:jc w:val="left"/>
      </w:pPr>
      <w:r>
        <w:rPr>
          <w:rFonts w:ascii="Calibri" w:hAnsi="Calibri"/>
          <w:color w:val="2F3A30"/>
          <w:sz w:val="19"/>
        </w:rPr>
        <w:t xml:space="preserve">Real Decreto 1069/2021, de 4 de diciembre, por el que se aprueba la Estrategia Española de Apoyo Activo al Empleo 2021-2024. </w:t>
      </w:r>
      <w:r>
        <w:rPr>
          <w:rFonts w:ascii="Calibri" w:hAnsi="Calibri"/>
          <w:i/>
          <w:color w:val="2F3A30"/>
          <w:sz w:val="19"/>
        </w:rPr>
        <w:t>Boletín Oficial del Estado</w:t>
      </w:r>
      <w:r>
        <w:rPr>
          <w:rFonts w:ascii="Calibri" w:hAnsi="Calibri"/>
          <w:color w:val="2F3A30"/>
          <w:sz w:val="19"/>
        </w:rPr>
        <w:t>, 292, de 7 de diciembre de 2021.</w:t>
      </w:r>
    </w:p>
    <w:p>
      <w:pPr>
        <w:spacing w:after="60"/>
        <w:ind w:left="432" w:hanging="432"/>
        <w:jc w:val="left"/>
      </w:pPr>
      <w:r>
        <w:rPr>
          <w:rFonts w:ascii="Calibri" w:hAnsi="Calibri"/>
          <w:color w:val="2F3A30"/>
          <w:sz w:val="19"/>
        </w:rPr>
        <w:t xml:space="preserve">Real Decreto 633/2025, de 15 de julio, por el que se aprueba la Estrategia Española de Apoyo Activo al Empleo 2025-2028. </w:t>
      </w:r>
      <w:r>
        <w:rPr>
          <w:rFonts w:ascii="Calibri" w:hAnsi="Calibri"/>
          <w:i/>
          <w:color w:val="2F3A30"/>
          <w:sz w:val="19"/>
        </w:rPr>
        <w:t>Boletín Oficial del Estado</w:t>
      </w:r>
      <w:r>
        <w:rPr>
          <w:rFonts w:ascii="Calibri" w:hAnsi="Calibri"/>
          <w:color w:val="2F3A30"/>
          <w:sz w:val="19"/>
        </w:rPr>
        <w:t>, 170, de 16 de julio de 2025.</w:t>
      </w:r>
    </w:p>
    <w:p>
      <w:pPr>
        <w:spacing w:after="60"/>
        <w:ind w:left="432" w:hanging="432"/>
        <w:jc w:val="left"/>
      </w:pPr>
      <w:r>
        <w:rPr>
          <w:rFonts w:ascii="Calibri" w:hAnsi="Calibri"/>
          <w:color w:val="2F3A30"/>
          <w:sz w:val="19"/>
        </w:rPr>
        <w:t xml:space="preserve">Orden de 3 de octubre de 2024, por la que se aprueban las bases reguladoras para la concesión de subvenciones públicas, en régimen de concurrencia no competitiva, para la inserción laboral y el fomento de la contratación en el ámbito de la Comunidad Autónoma de Andalucía, Programa Emplea-T. </w:t>
      </w:r>
      <w:r>
        <w:rPr>
          <w:rFonts w:ascii="Calibri" w:hAnsi="Calibri"/>
          <w:i/>
          <w:color w:val="2F3A30"/>
          <w:sz w:val="19"/>
        </w:rPr>
        <w:t>Boletín Oficial de la Junta de Andalucía</w:t>
      </w:r>
      <w:r>
        <w:rPr>
          <w:rFonts w:ascii="Calibri" w:hAnsi="Calibri"/>
          <w:color w:val="2F3A30"/>
          <w:sz w:val="19"/>
        </w:rPr>
        <w:t>, 197, de 9 de octubre de 2024.</w:t>
      </w:r>
    </w:p>
    <w:p>
      <w:pPr>
        <w:spacing w:after="60"/>
        <w:ind w:left="432" w:hanging="432"/>
        <w:jc w:val="left"/>
      </w:pPr>
      <w:r>
        <w:rPr>
          <w:rFonts w:ascii="Calibri" w:hAnsi="Calibri"/>
          <w:color w:val="2F3A30"/>
          <w:sz w:val="19"/>
        </w:rPr>
        <w:t xml:space="preserve">Real Decreto-ley 2/2024, de 21 de mayo, por el que se adoptan medidas urgentes para la simplificación y mejora del nivel asistencial de la protección por desempleo. </w:t>
      </w:r>
      <w:r>
        <w:rPr>
          <w:rFonts w:ascii="Calibri" w:hAnsi="Calibri"/>
          <w:i/>
          <w:color w:val="2F3A30"/>
          <w:sz w:val="19"/>
        </w:rPr>
        <w:t>Boletín Oficial del Estado</w:t>
      </w:r>
      <w:r>
        <w:rPr>
          <w:rFonts w:ascii="Calibri" w:hAnsi="Calibri"/>
          <w:color w:val="2F3A30"/>
          <w:sz w:val="19"/>
        </w:rPr>
        <w:t>, 124, de 22 de mayo de 2024.</w:t>
      </w:r>
    </w:p>
    <w:p>
      <w:pPr>
        <w:spacing w:after="60"/>
        <w:ind w:left="432" w:hanging="432"/>
        <w:jc w:val="left"/>
      </w:pPr>
      <w:r>
        <w:rPr>
          <w:rFonts w:ascii="Calibri" w:hAnsi="Calibri"/>
          <w:color w:val="2F3A30"/>
          <w:sz w:val="19"/>
        </w:rPr>
        <w:t xml:space="preserve">Resolución de 24 de junio de 2021, de la Secretaría de Estado de Empleo y Economía Social, por la que se publica el Acuerdo del Consejo de Ministros de 8 de junio de 2021, por el que se aprueba el Plan de Garantía Juvenil Plus 2021-2027. </w:t>
      </w:r>
      <w:r>
        <w:rPr>
          <w:rFonts w:ascii="Calibri" w:hAnsi="Calibri"/>
          <w:i/>
          <w:color w:val="2F3A30"/>
          <w:sz w:val="19"/>
        </w:rPr>
        <w:t>Boletín Oficial del Estado</w:t>
      </w:r>
      <w:r>
        <w:rPr>
          <w:rFonts w:ascii="Calibri" w:hAnsi="Calibri"/>
          <w:color w:val="2F3A30"/>
          <w:sz w:val="19"/>
        </w:rPr>
        <w:t>, 152, de 26 de junio de 2021.</w:t>
      </w:r>
    </w:p>
    <w:p>
      <w:pPr>
        <w:spacing w:after="60"/>
        <w:ind w:left="432" w:hanging="432"/>
        <w:jc w:val="left"/>
      </w:pPr>
      <w:r>
        <w:rPr>
          <w:rFonts w:ascii="Calibri" w:hAnsi="Calibri"/>
          <w:color w:val="2F3A30"/>
          <w:sz w:val="19"/>
        </w:rPr>
        <w:t xml:space="preserve">Servicio Público de Empleo Estatal (2023). </w:t>
      </w:r>
      <w:r>
        <w:rPr>
          <w:rFonts w:ascii="Calibri" w:hAnsi="Calibri"/>
          <w:i/>
          <w:color w:val="2F3A30"/>
          <w:sz w:val="19"/>
        </w:rPr>
        <w:t>Evaluación intermedia de la Estrategia Española de Apoyo Activo al Empleo 2021-2024</w:t>
      </w:r>
      <w:r>
        <w:rPr>
          <w:rFonts w:ascii="Calibri" w:hAnsi="Calibri"/>
          <w:color w:val="2F3A30"/>
          <w:sz w:val="19"/>
        </w:rPr>
        <w:t>. Ministerio de Trabajo y Economía Social.</w:t>
      </w:r>
    </w:p>
    <w:sectPr w:rsidR="00FC693F" w:rsidRPr="0006063C" w:rsidSect="00034616">
      <w:headerReference w:type="default" r:id="rId13"/>
      <w:footerReference w:type="default" r:id="rId14"/>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6927A"/>
        <w:sz w:val="17"/>
      </w:rPr>
      <w:t xml:space="preserve">Universidad Pablo de Olavide (UPO) · Grado en RRLL y RRHH | </w:t>
    </w:r>
    <w:r>
      <w:rPr>
        <w:rFonts w:ascii="Calibri" w:hAnsi="Calibri"/>
        <w:color w:val="2F3A30"/>
        <w:sz w:val="17"/>
      </w:rPr>
      <w:t xml:space="preserve">Página </w:t>
    </w:r>
    <w:fldSimple w:instr="PAGE"/>
    <w:r>
      <w:rPr>
        <w:rFonts w:ascii="Calibri" w:hAnsi="Calibri"/>
        <w:color w:val="2F3A30"/>
        <w:sz w:val="17"/>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Outfit" w:hAnsi="Outfit"/>
        <w:color w:val="76927A"/>
        <w:sz w:val="16"/>
      </w:rPr>
      <w:t>POLÍTICAS SOCIOLABORALES Y DE EMPLEO · TEMA 2: POLÍTICAS ACTIVAS DEL MERCADO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90" w:before="0"/>
      <w:jc w:val="both"/>
    </w:pPr>
    <w:rPr>
      <w:rFonts w:ascii="Calibri" w:hAnsi="Calibri"/>
      <w:color w:val="2F3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120"/>
      <w:outlineLvl w:val="0"/>
    </w:pPr>
    <w:rPr>
      <w:rFonts w:asciiTheme="majorHAnsi" w:eastAsiaTheme="majorEastAsia" w:hAnsiTheme="majorHAnsi" w:cstheme="majorBidi" w:ascii="Outfit" w:hAnsi="Outfit"/>
      <w:b/>
      <w:bCs/>
      <w:color w:val="113927"/>
      <w:sz w:val="31"/>
      <w:szCs w:val="28"/>
    </w:rPr>
  </w:style>
  <w:style w:type="paragraph" w:styleId="Heading2">
    <w:name w:val="heading 2"/>
    <w:basedOn w:val="Normal"/>
    <w:next w:val="Normal"/>
    <w:link w:val="Heading2Char"/>
    <w:uiPriority w:val="9"/>
    <w:unhideWhenUsed/>
    <w:qFormat/>
    <w:rsid w:val="00FC693F"/>
    <w:pPr>
      <w:keepNext/>
      <w:keepLines/>
      <w:spacing w:before="360" w:after="100"/>
      <w:outlineLvl w:val="1"/>
    </w:pPr>
    <w:rPr>
      <w:rFonts w:asciiTheme="majorHAnsi" w:eastAsiaTheme="majorEastAsia" w:hAnsiTheme="majorHAnsi" w:cstheme="majorBidi" w:ascii="Outfit" w:hAnsi="Outfit"/>
      <w:b/>
      <w:bCs/>
      <w:color w:val="76927A"/>
      <w:sz w:val="25"/>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Outfit" w:hAnsi="Outfit"/>
      <w:b/>
      <w:bCs/>
      <w:color w:val="1139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 Políticas Activas del Mercado de Trabajo</dc:title>
  <dc:subject/>
  <dc:creator>Manuel A. Hidalgo Pérez</dc:creator>
  <cp:keywords/>
  <dc:description>generated by python-docx</dc:description>
  <cp:lastModifiedBy/>
  <cp:revision>1</cp:revision>
  <dcterms:created xsi:type="dcterms:W3CDTF">2013-12-23T23:15:00Z</dcterms:created>
  <dcterms:modified xsi:type="dcterms:W3CDTF">2013-12-23T23:15:00Z</dcterms:modified>
  <cp:category/>
</cp:coreProperties>
</file>