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6912"/>
        <w:gridCol w:w="2592"/>
      </w:tblGrid>
      <w:tr>
        <w:trPr>
          <w:cantSplit/>
        </w:trPr>
        <w:tc>
          <w:tcPr>
            <w:tcW w:type="dxa" w:w="6912"/>
          </w:tcPr>
          <w:p>
            <w:pPr>
              <w:spacing w:before="0" w:after="30"/>
              <w:jc w:val="left"/>
            </w:pPr>
            <w:r>
              <w:rPr>
                <w:rFonts w:ascii="Outfit" w:hAnsi="Outfit"/>
                <w:b/>
                <w:color w:val="113927"/>
                <w:sz w:val="18"/>
              </w:rPr>
              <w:t>UNIVERSIDAD PABLO DE OLAVIDE</w:t>
            </w:r>
          </w:p>
          <w:p>
            <w:pPr>
              <w:spacing w:before="0" w:after="30"/>
              <w:jc w:val="left"/>
            </w:pPr>
            <w:r>
              <w:rPr>
                <w:rFonts w:ascii="Calibri" w:hAnsi="Calibri"/>
                <w:color w:val="76927A"/>
                <w:sz w:val="17"/>
              </w:rPr>
              <w:t>Facultad de Ciencias del Trabajo · Grado en RRLL y Recursos Humanos</w:t>
            </w:r>
          </w:p>
          <w:p>
            <w:pPr>
              <w:spacing w:before="0" w:after="30"/>
              <w:jc w:val="left"/>
            </w:pPr>
            <w:r>
              <w:rPr>
                <w:rFonts w:ascii="Calibri" w:hAnsi="Calibri"/>
                <w:color w:val="2F3A30"/>
                <w:sz w:val="17"/>
              </w:rPr>
              <w:t>Políticas Sociolaborales y de Empleo (Código 102023) | Curso 2026-2027</w:t>
            </w:r>
          </w:p>
          <w:p>
            <w:pPr>
              <w:spacing w:before="0" w:after="0"/>
              <w:jc w:val="left"/>
            </w:pPr>
            <w:r>
              <w:rPr>
                <w:rFonts w:ascii="Calibri" w:hAnsi="Calibri"/>
                <w:color w:val="2F3A30"/>
                <w:sz w:val="17"/>
              </w:rPr>
              <w:t>Prof. Manuel A. Hidalgo Pérez</w:t>
            </w:r>
          </w:p>
        </w:tc>
        <w:tc>
          <w:tcPr>
            <w:tcW w:type="dxa" w:w="2592"/>
          </w:tcPr>
          <w:p>
            <w:pPr>
              <w:spacing w:before="0" w:after="0"/>
              <w:jc w:val="right"/>
            </w:pPr>
            <w:r>
              <w:drawing>
                <wp:inline xmlns:a="http://schemas.openxmlformats.org/drawingml/2006/main" xmlns:pic="http://schemas.openxmlformats.org/drawingml/2006/picture">
                  <wp:extent cx="1645920" cy="897775"/>
                  <wp:docPr id="1" name="Picture 1"/>
                  <wp:cNvGraphicFramePr>
                    <a:graphicFrameLocks noChangeAspect="1"/>
                  </wp:cNvGraphicFramePr>
                  <a:graphic>
                    <a:graphicData uri="http://schemas.openxmlformats.org/drawingml/2006/picture">
                      <pic:pic>
                        <pic:nvPicPr>
                          <pic:cNvPr id="0" name="logo_psll_upo.png"/>
                          <pic:cNvPicPr/>
                        </pic:nvPicPr>
                        <pic:blipFill>
                          <a:blip r:embed="rId9"/>
                          <a:stretch>
                            <a:fillRect/>
                          </a:stretch>
                        </pic:blipFill>
                        <pic:spPr>
                          <a:xfrm>
                            <a:off x="0" y="0"/>
                            <a:ext cx="1645920" cy="897775"/>
                          </a:xfrm>
                          <a:prstGeom prst="rect"/>
                        </pic:spPr>
                      </pic:pic>
                    </a:graphicData>
                  </a:graphic>
                </wp:inline>
              </w:drawing>
            </w:r>
          </w:p>
        </w:tc>
      </w:tr>
    </w:tbl>
    <w:p>
      <w:pPr>
        <w:spacing w:before="80" w:after="320"/>
        <w:jc w:val="left"/>
      </w:pPr>
      <w:r>
        <w:rPr>
          <w:rFonts w:ascii="Outfit" w:hAnsi="Outfit"/>
          <w:color w:val="76927A"/>
          <w:sz w:val="20"/>
        </w:rPr>
        <w:t>――――――――――――――――――――――――――――――――――――――――――――――――</w:t>
      </w:r>
    </w:p>
    <w:p>
      <w:pPr>
        <w:keepNext/>
        <w:spacing w:before="160" w:after="280"/>
        <w:jc w:val="left"/>
      </w:pPr>
      <w:r>
        <w:rPr>
          <w:rFonts w:ascii="Outfit" w:hAnsi="Outfit"/>
          <w:b/>
          <w:color w:val="113927"/>
          <w:sz w:val="40"/>
        </w:rPr>
        <w:t>TEMA 3: POLÍTICAS PASIVAS DEL MERCADO DE TRABAJO</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CÓMO LEER ESTOS APUNTES</w:t>
            </w:r>
          </w:p>
          <w:p>
            <w:pPr>
              <w:keepNext/>
              <w:spacing w:before="0" w:after="0" w:line="276" w:lineRule="auto"/>
              <w:jc w:val="both"/>
            </w:pPr>
            <w:r>
              <w:rPr>
                <w:rFonts w:ascii="Calibri" w:hAnsi="Calibri"/>
                <w:color w:val="2F3A30"/>
                <w:sz w:val="19"/>
              </w:rPr>
              <w:t>Cada bloque del tema va precedido de una caja de encuadre que indica en qué sesión presencial se explica (Sesiones 9, 10 y 11 del cronograma) y qué partes quedan como lectura autónoma. Los epígrafes de lectura autónoma no se desarrollan en clase, pero forman parte de la materia evaluable. Respecto a la versión anterior, el orden de los epígrafes se ha ajustado al de las sesiones y se han añadido los epígrafes 7 (garantía de rentas e Ingreso Mínimo Vital) y 8 (trampa de la pobreza).</w:t>
            </w:r>
          </w:p>
        </w:tc>
      </w:tr>
    </w:tbl>
    <w:p>
      <w:pPr>
        <w:spacing w:before="0" w:after="80"/>
      </w:pP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9 (SEMANA 6) — POR QUÉ PROTEGER AL DESEMPLEADO Y CÓMO LO HACE ESPAÑA</w:t>
            </w:r>
          </w:p>
          <w:p>
            <w:pPr>
              <w:keepNext/>
              <w:spacing w:before="0" w:after="0" w:line="276" w:lineRule="auto"/>
              <w:jc w:val="both"/>
            </w:pPr>
            <w:r>
              <w:rPr>
                <w:rFonts w:ascii="Calibri" w:hAnsi="Calibri"/>
                <w:color w:val="2F3A30"/>
                <w:sz w:val="19"/>
              </w:rPr>
              <w:t>Línea 1: martes 20/10, 09:30-11:30. Línea 2: viernes 23/10, 17:30-19:30. Contenido: epígrafe 1 (justificación económica y social), epígrafe 2 (sistema de prestaciones: nivel contributivo, nivel asistencial y financiación) y epígrafe 3 (generosidad y comparativa internacional). Lectura autónoma: epígrafe 1.3.</w:t>
            </w:r>
          </w:p>
        </w:tc>
      </w:tr>
    </w:tbl>
    <w:p>
      <w:pPr>
        <w:spacing w:before="0" w:after="80"/>
      </w:pPr>
    </w:p>
    <w:p>
      <w:pPr>
        <w:pStyle w:val="Heading1"/>
        <w:keepNext/>
        <w:spacing w:before="520" w:after="120"/>
        <w:jc w:val="left"/>
      </w:pPr>
      <w:r>
        <w:rPr>
          <w:rFonts w:ascii="Outfit" w:hAnsi="Outfit"/>
          <w:b/>
          <w:color w:val="113927"/>
          <w:sz w:val="30"/>
        </w:rPr>
        <w:t>1. INTRODUCCIÓN: CONCEPTO Y JUSTIFICACIÓN DE LAS POLÍTICAS PASIVAS</w:t>
      </w:r>
    </w:p>
    <w:p>
      <w:pPr>
        <w:pStyle w:val="Heading2"/>
        <w:keepNext/>
        <w:spacing w:before="360" w:after="100"/>
        <w:jc w:val="left"/>
      </w:pPr>
      <w:r>
        <w:rPr>
          <w:rFonts w:ascii="Outfit" w:hAnsi="Outfit"/>
          <w:b/>
          <w:color w:val="76927A"/>
          <w:sz w:val="25"/>
        </w:rPr>
        <w:t>1.1. Definición y características de las políticas pasivas de empleo</w:t>
      </w:r>
    </w:p>
    <w:p>
      <w:pPr>
        <w:spacing w:after="90" w:line="276" w:lineRule="auto"/>
        <w:jc w:val="both"/>
      </w:pPr>
      <w:r>
        <w:rPr>
          <w:rFonts w:ascii="Calibri" w:hAnsi="Calibri"/>
          <w:color w:val="2F3A30"/>
          <w:sz w:val="21"/>
        </w:rPr>
        <w:t>Las políticas pasivas del mercado de trabajo, que se materializan sobre todo en las prestaciones por desempleo, son una pieza central del Estado de bienestar. Su función es que las personas que pierden su empleo puedan mantener un nivel de vida digno mientras buscan una nueva ocupación acorde con sus capacidades y su experiencia.</w:t>
      </w:r>
    </w:p>
    <w:p>
      <w:pPr>
        <w:spacing w:after="90" w:line="276" w:lineRule="auto"/>
        <w:jc w:val="both"/>
      </w:pPr>
      <w:r>
        <w:rPr>
          <w:rFonts w:ascii="Calibri" w:hAnsi="Calibri"/>
          <w:color w:val="2F3A30"/>
          <w:sz w:val="21"/>
        </w:rPr>
        <w:t>El Tema 2 (epígrafe 1.2) comparó las políticas activas y pasivas a partir de seis criterios: objetivo, enfoque, instrumentos, horizonte, papel del beneficiario e impacto en el mercado. Conviene retener dos matices. El primero es que las políticas pasivas no carecen de efectos sobre el mercado de trabajo: influyen en él de forma indirecta, a través del mantenimiento de la demanda agregada y de la calidad del emparejamiento entre trabajadores y empleos. El segundo es que ambos tipos de política tienden a integrarse. En España, como en la mayoría de países desarrollados, cobrar una prestación exige cada vez más participar en acciones de formación o de búsqueda activa de empleo.</w:t>
      </w:r>
    </w:p>
    <w:p>
      <w:pPr>
        <w:pStyle w:val="Heading2"/>
        <w:keepNext/>
        <w:spacing w:before="360" w:after="100"/>
        <w:jc w:val="left"/>
      </w:pPr>
      <w:r>
        <w:rPr>
          <w:rFonts w:ascii="Outfit" w:hAnsi="Outfit"/>
          <w:b/>
          <w:color w:val="76927A"/>
          <w:sz w:val="25"/>
        </w:rPr>
        <w:t>1.2. Justificación económica y social de las políticas pasivas</w:t>
      </w:r>
    </w:p>
    <w:p>
      <w:pPr>
        <w:spacing w:after="90" w:line="276" w:lineRule="auto"/>
        <w:jc w:val="both"/>
      </w:pPr>
      <w:r>
        <w:rPr>
          <w:rFonts w:ascii="Calibri" w:hAnsi="Calibri"/>
          <w:color w:val="2F3A30"/>
          <w:sz w:val="21"/>
        </w:rPr>
        <w:t>La justificación de las políticas pasivas va más allá de la protección individual del trabajador. Combina razones sociales y económicas que afectan al conjunto de la sociedad.</w:t>
      </w:r>
    </w:p>
    <w:p>
      <w:pPr>
        <w:pStyle w:val="Heading3"/>
        <w:keepNext/>
        <w:spacing w:before="240" w:after="60"/>
        <w:jc w:val="left"/>
      </w:pPr>
      <w:r>
        <w:rPr>
          <w:rFonts w:ascii="Outfit" w:hAnsi="Outfit"/>
          <w:b/>
          <w:color w:val="113927"/>
          <w:sz w:val="22"/>
        </w:rPr>
        <w:t>1.2.1. Perspectiva social: la red de seguridad</w:t>
      </w:r>
    </w:p>
    <w:p>
      <w:pPr>
        <w:spacing w:after="90" w:line="276" w:lineRule="auto"/>
        <w:jc w:val="both"/>
      </w:pPr>
      <w:r>
        <w:rPr>
          <w:rFonts w:ascii="Calibri" w:hAnsi="Calibri"/>
          <w:color w:val="2F3A30"/>
          <w:sz w:val="21"/>
        </w:rPr>
        <w:t>Las prestaciones por desempleo actúan como una red de seguridad que previene la exclusión y la pobreza. Esta función es especialmente relevante en crisis económicas o reestructuraciones sectoriales, cuando muchos trabajadores pierden su empleo a la vez. Cuando una proporción elevada de desempleados deja de percibir ingresos, aumentan el riesgo de exclusión y el deterioro de las condiciones de vida de las familias, con efectos a largo plazo sobre la salud, la cohesión familiar y las oportunidades educativas de los hijos.</w:t>
      </w:r>
    </w:p>
    <w:p>
      <w:pPr>
        <w:spacing w:after="90" w:line="276" w:lineRule="auto"/>
        <w:jc w:val="both"/>
      </w:pPr>
      <w:r>
        <w:rPr>
          <w:rFonts w:ascii="Calibri" w:hAnsi="Calibri"/>
          <w:color w:val="2F3A30"/>
          <w:sz w:val="21"/>
        </w:rPr>
        <w:t>Las prestaciones cumplen también una función redistributiva: trasladan recursos desde los periodos de empleo hacia los de desempleo y desde los ocupados hacia los desempleados, lo que reduce la desigualdad y refuerza la cohesión social.</w:t>
      </w:r>
    </w:p>
    <w:p>
      <w:pPr>
        <w:pStyle w:val="Heading3"/>
        <w:keepNext/>
        <w:spacing w:before="240" w:after="60"/>
        <w:jc w:val="left"/>
      </w:pPr>
      <w:r>
        <w:rPr>
          <w:rFonts w:ascii="Outfit" w:hAnsi="Outfit"/>
          <w:b/>
          <w:color w:val="113927"/>
          <w:sz w:val="22"/>
        </w:rPr>
        <w:t>1.2.2. Perspectiva económica: efectos sobre el consumo y la producción</w:t>
      </w:r>
    </w:p>
    <w:p>
      <w:pPr>
        <w:spacing w:after="90" w:line="276" w:lineRule="auto"/>
        <w:jc w:val="both"/>
      </w:pPr>
      <w:r>
        <w:rPr>
          <w:rFonts w:ascii="Calibri" w:hAnsi="Calibri"/>
          <w:color w:val="2F3A30"/>
          <w:sz w:val="21"/>
        </w:rPr>
        <w:t>Si una parte importante de los desempleados no recibe ninguna prestación, o la recibe muy baja, se producen tres efectos negativos para el conjunto de la economía.</w:t>
      </w:r>
    </w:p>
    <w:p>
      <w:pPr>
        <w:spacing w:after="90" w:line="276" w:lineRule="auto"/>
        <w:jc w:val="both"/>
      </w:pPr>
      <w:r>
        <w:rPr>
          <w:rFonts w:ascii="Calibri" w:hAnsi="Calibri"/>
          <w:color w:val="2F3A30"/>
          <w:sz w:val="21"/>
        </w:rPr>
        <w:t xml:space="preserve">En primer lugar, el consumo de los desempleados y sus familias cae con fuerza y arrastra a la demanda agregada, lo que puede alimentar un círculo de menor actividad y más desempleo. Las prestaciones funcionan así como un </w:t>
      </w:r>
      <w:r>
        <w:rPr>
          <w:rFonts w:ascii="Calibri" w:hAnsi="Calibri"/>
          <w:b/>
          <w:color w:val="113927"/>
          <w:sz w:val="21"/>
        </w:rPr>
        <w:t>estabilizador automático</w:t>
      </w:r>
      <w:r>
        <w:rPr>
          <w:rFonts w:ascii="Calibri" w:hAnsi="Calibri"/>
          <w:color w:val="2F3A30"/>
          <w:sz w:val="21"/>
        </w:rPr>
        <w:t>: sostienen la demanda en las recesiones y amortiguan su profundidad.</w:t>
      </w:r>
    </w:p>
    <w:p>
      <w:pPr>
        <w:spacing w:after="90" w:line="276" w:lineRule="auto"/>
        <w:jc w:val="both"/>
      </w:pPr>
      <w:r>
        <w:rPr>
          <w:rFonts w:ascii="Calibri" w:hAnsi="Calibri"/>
          <w:color w:val="2F3A30"/>
          <w:sz w:val="21"/>
        </w:rPr>
        <w:t xml:space="preserve">En segundo lugar, los desempleados sin ingresos pueden verse empujados a la </w:t>
      </w:r>
      <w:r>
        <w:rPr>
          <w:rFonts w:ascii="Calibri" w:hAnsi="Calibri"/>
          <w:b/>
          <w:color w:val="113927"/>
          <w:sz w:val="21"/>
        </w:rPr>
        <w:t>economía sumergida</w:t>
      </w:r>
      <w:r>
        <w:rPr>
          <w:rFonts w:ascii="Calibri" w:hAnsi="Calibri"/>
          <w:color w:val="2F3A30"/>
          <w:sz w:val="21"/>
        </w:rPr>
        <w:t>. Esos ingresos no generan impuestos ni cotizaciones, reducen la base del sistema tributario y de la Seguridad Social y pueden consolidar hábitos de incumplimiento que se prolongan más allá del periodo de paro.</w:t>
      </w:r>
    </w:p>
    <w:p>
      <w:pPr>
        <w:spacing w:after="90" w:line="276" w:lineRule="auto"/>
        <w:jc w:val="both"/>
      </w:pPr>
      <w:r>
        <w:rPr>
          <w:rFonts w:ascii="Calibri" w:hAnsi="Calibri"/>
          <w:color w:val="2F3A30"/>
          <w:sz w:val="21"/>
        </w:rPr>
        <w:t xml:space="preserve">En tercer lugar, las prestaciones influyen en la </w:t>
      </w:r>
      <w:r>
        <w:rPr>
          <w:rFonts w:ascii="Calibri" w:hAnsi="Calibri"/>
          <w:b/>
          <w:color w:val="113927"/>
          <w:sz w:val="21"/>
        </w:rPr>
        <w:t>eficiencia del emparejamiento</w:t>
      </w:r>
      <w:r>
        <w:rPr>
          <w:rFonts w:ascii="Calibri" w:hAnsi="Calibri"/>
          <w:color w:val="2F3A30"/>
          <w:sz w:val="21"/>
        </w:rPr>
        <w:t>. Sin cobertura económica, el desempleado puede verse obligado a aceptar el primer empleo disponible aunque no se ajuste a su cualificación, con un resultado peor para él y para la economía.</w:t>
      </w:r>
    </w:p>
    <w:p>
      <w:pPr>
        <w:pStyle w:val="Heading3"/>
        <w:keepNext/>
        <w:spacing w:before="240" w:after="60"/>
        <w:jc w:val="left"/>
      </w:pPr>
      <w:r>
        <w:rPr>
          <w:rFonts w:ascii="Outfit" w:hAnsi="Outfit"/>
          <w:b/>
          <w:color w:val="113927"/>
          <w:sz w:val="22"/>
        </w:rPr>
        <w:t>1.2.3. Las prestaciones como «seguro de búsqueda»</w:t>
      </w:r>
    </w:p>
    <w:p>
      <w:pPr>
        <w:spacing w:after="90" w:line="276" w:lineRule="auto"/>
        <w:jc w:val="both"/>
      </w:pPr>
      <w:r>
        <w:rPr>
          <w:rFonts w:ascii="Calibri" w:hAnsi="Calibri"/>
          <w:color w:val="2F3A30"/>
          <w:sz w:val="21"/>
        </w:rPr>
        <w:t xml:space="preserve">Este tercer argumento enlaza con la función de emparejamiento del Tema 1. Las prestaciones actúan como un </w:t>
      </w:r>
      <w:r>
        <w:rPr>
          <w:rFonts w:ascii="Calibri" w:hAnsi="Calibri"/>
          <w:b/>
          <w:color w:val="113927"/>
          <w:sz w:val="21"/>
        </w:rPr>
        <w:t>seguro de búsqueda</w:t>
      </w:r>
      <w:r>
        <w:rPr>
          <w:rFonts w:ascii="Calibri" w:hAnsi="Calibri"/>
          <w:color w:val="2F3A30"/>
          <w:sz w:val="21"/>
        </w:rPr>
        <w:t xml:space="preserve"> que permite dedicar el tiempo necesario a encontrar un empleo que aproveche el capital humano del trabajador. En economías con alta especialización, el buen ajuste entre habilidades y puesto pesa en la productividad agregada: sin ese colchón, una ingeniera especializada podría acabar en un empleo no cualificado y desperdiciar su formación. Desde esta perspectiva, la prestación no es solo un gasto social, sino una inversión en la eficiencia del mercado de trabajo.</w:t>
      </w:r>
    </w:p>
    <w:p>
      <w:pPr>
        <w:spacing w:after="90" w:line="276" w:lineRule="auto"/>
        <w:jc w:val="both"/>
      </w:pPr>
      <w:r>
        <w:rPr>
          <w:rFonts w:ascii="Calibri" w:hAnsi="Calibri"/>
          <w:color w:val="2F3A30"/>
          <w:sz w:val="21"/>
        </w:rPr>
        <w:t xml:space="preserve">El argumento tiene límites. Si las prestaciones son muy generosas o muy largas pueden generar </w:t>
      </w:r>
      <w:r>
        <w:rPr>
          <w:rFonts w:ascii="Calibri" w:hAnsi="Calibri"/>
          <w:b/>
          <w:color w:val="113927"/>
          <w:sz w:val="21"/>
        </w:rPr>
        <w:t>riesgo moral</w:t>
      </w:r>
      <w:r>
        <w:rPr>
          <w:rFonts w:ascii="Calibri" w:hAnsi="Calibri"/>
          <w:color w:val="2F3A30"/>
          <w:sz w:val="21"/>
        </w:rPr>
        <w:t>: reducen el incentivo a buscar empleo y alargan innecesariamente el paro. El diseño de un sistema de prestaciones consiste en equilibrar ambos efectos, como se verá con detalle en el epígrafe 5.</w:t>
      </w:r>
    </w:p>
    <w:p>
      <w:pPr>
        <w:pStyle w:val="Heading3"/>
        <w:keepNext/>
        <w:spacing w:before="240" w:after="60"/>
        <w:jc w:val="left"/>
      </w:pPr>
      <w:r>
        <w:rPr>
          <w:rFonts w:ascii="Outfit" w:hAnsi="Outfit"/>
          <w:b/>
          <w:color w:val="113927"/>
          <w:sz w:val="22"/>
        </w:rPr>
        <w:t>1.2.4. Función redistributiva y cambio de paradigma</w:t>
      </w:r>
    </w:p>
    <w:p>
      <w:pPr>
        <w:spacing w:after="90" w:line="276" w:lineRule="auto"/>
        <w:jc w:val="both"/>
      </w:pPr>
      <w:r>
        <w:rPr>
          <w:rFonts w:ascii="Calibri" w:hAnsi="Calibri"/>
          <w:color w:val="2F3A30"/>
          <w:sz w:val="21"/>
        </w:rPr>
        <w:t>Las prestaciones contributivas, con sus topes máximos y mínimos, y las asistenciales cumplen una función redistributiva. Los sistemas basados en la suficiencia de rentas son más redistributivos que los que se limitan a sustituir una parte del salario anterior.</w:t>
      </w:r>
    </w:p>
    <w:p>
      <w:pPr>
        <w:spacing w:after="90" w:line="276" w:lineRule="auto"/>
        <w:jc w:val="both"/>
      </w:pPr>
      <w:r>
        <w:rPr>
          <w:rFonts w:ascii="Calibri" w:hAnsi="Calibri"/>
          <w:color w:val="2F3A30"/>
          <w:sz w:val="21"/>
        </w:rPr>
        <w:t xml:space="preserve">En las últimas décadas se ha producido en Europa un doble cambio. Por un lado, la tendencia ha sido recortar la cuantía y la duración de las prestaciones, una estrategia que puede funcionar en expansión pero que agrava la pobreza en las crisis, cuando encontrar empleo es objetivamente difícil. Por otro, la prestación ha evolucionado desde un derecho prácticamente incondicionado hacia un </w:t>
      </w:r>
      <w:r>
        <w:rPr>
          <w:rFonts w:ascii="Calibri" w:hAnsi="Calibri"/>
          <w:b/>
          <w:color w:val="113927"/>
          <w:sz w:val="21"/>
        </w:rPr>
        <w:t>mecanismo de activación</w:t>
      </w:r>
      <w:r>
        <w:rPr>
          <w:rFonts w:ascii="Calibri" w:hAnsi="Calibri"/>
          <w:color w:val="2F3A30"/>
          <w:sz w:val="21"/>
        </w:rPr>
        <w:t>: cada vez más países, España incluida, exigen a los beneficiarios implicarse en las políticas de empleo y aceptar ofertas adecuadas.</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LECTURA AUTÓNOMA · EPÍGRAFE 1.3</w:t>
            </w:r>
          </w:p>
          <w:p>
            <w:pPr>
              <w:keepNext/>
              <w:spacing w:before="0" w:after="0" w:line="276" w:lineRule="auto"/>
              <w:jc w:val="both"/>
            </w:pPr>
            <w:r>
              <w:rPr>
                <w:rFonts w:ascii="Calibri" w:hAnsi="Calibri"/>
                <w:color w:val="2F3A30"/>
                <w:sz w:val="19"/>
              </w:rPr>
              <w:t>El epígrafe 1.3 no se explica en clase.</w:t>
            </w:r>
          </w:p>
        </w:tc>
      </w:tr>
    </w:tbl>
    <w:p>
      <w:pPr>
        <w:spacing w:before="0" w:after="80"/>
      </w:pPr>
    </w:p>
    <w:p>
      <w:pPr>
        <w:pStyle w:val="Heading2"/>
        <w:keepNext/>
        <w:spacing w:before="360" w:after="100"/>
        <w:jc w:val="left"/>
      </w:pPr>
      <w:r>
        <w:rPr>
          <w:rFonts w:ascii="Outfit" w:hAnsi="Outfit"/>
          <w:b/>
          <w:color w:val="76927A"/>
          <w:sz w:val="25"/>
        </w:rPr>
        <w:t>1.3. Conclusiones de la introducción</w:t>
      </w:r>
    </w:p>
    <w:p>
      <w:pPr>
        <w:spacing w:after="90" w:line="276" w:lineRule="auto"/>
        <w:jc w:val="both"/>
      </w:pPr>
      <w:r>
        <w:rPr>
          <w:rFonts w:ascii="Calibri" w:hAnsi="Calibri"/>
          <w:color w:val="2F3A30"/>
          <w:sz w:val="21"/>
        </w:rPr>
        <w:t>Las prestaciones por desempleo no son solo un mecanismo de asistencia. Cumplen funciones de estabilización macroeconómica, mantenimiento de la demanda, prevención de la economía sumergida y facilitación del emparejamiento. Su diseño debe equilibrar objetivos en tensión: limitar los desincentivos al trabajo, favorecer emparejamientos de calidad, mantener su función redistributiva y estabilizadora y garantizar la sostenibilidad financiera. El sistema español intenta ese equilibrio en un mercado laboral con rasgos propios que condicionan sus resultados.</w:t>
      </w:r>
    </w:p>
    <w:p>
      <w:pPr>
        <w:pStyle w:val="Heading1"/>
        <w:keepNext/>
        <w:spacing w:before="520" w:after="120"/>
        <w:jc w:val="left"/>
      </w:pPr>
      <w:r>
        <w:rPr>
          <w:rFonts w:ascii="Outfit" w:hAnsi="Outfit"/>
          <w:b/>
          <w:color w:val="113927"/>
          <w:sz w:val="30"/>
        </w:rPr>
        <w:t>2. EL SISTEMA DE PRESTACIONES POR DESEMPLEO EN ESPAÑA</w:t>
      </w:r>
    </w:p>
    <w:p>
      <w:pPr>
        <w:pStyle w:val="Heading2"/>
        <w:keepNext/>
        <w:spacing w:before="360" w:after="100"/>
        <w:jc w:val="left"/>
      </w:pPr>
      <w:r>
        <w:rPr>
          <w:rFonts w:ascii="Outfit" w:hAnsi="Outfit"/>
          <w:b/>
          <w:color w:val="76927A"/>
          <w:sz w:val="25"/>
        </w:rPr>
        <w:t>2.1. Evolución histórica y marco normativo</w:t>
      </w:r>
    </w:p>
    <w:p>
      <w:pPr>
        <w:spacing w:after="90" w:line="276" w:lineRule="auto"/>
        <w:jc w:val="both"/>
      </w:pPr>
      <w:r>
        <w:rPr>
          <w:rFonts w:ascii="Calibri" w:hAnsi="Calibri"/>
          <w:color w:val="2F3A30"/>
          <w:sz w:val="21"/>
        </w:rPr>
        <w:t xml:space="preserve">El sistema moderno de protección por desempleo nace en </w:t>
      </w:r>
      <w:r>
        <w:rPr>
          <w:rFonts w:ascii="Calibri" w:hAnsi="Calibri"/>
          <w:b/>
          <w:color w:val="113927"/>
          <w:sz w:val="21"/>
        </w:rPr>
        <w:t>1980 con la Ley Básica de Empleo</w:t>
      </w:r>
      <w:r>
        <w:rPr>
          <w:rFonts w:ascii="Calibri" w:hAnsi="Calibri"/>
          <w:color w:val="2F3A30"/>
          <w:sz w:val="21"/>
        </w:rPr>
        <w:t xml:space="preserve"> y se consolida con la </w:t>
      </w:r>
      <w:r>
        <w:rPr>
          <w:rFonts w:ascii="Calibri" w:hAnsi="Calibri"/>
          <w:b/>
          <w:color w:val="113927"/>
          <w:sz w:val="21"/>
        </w:rPr>
        <w:t>Ley de Protección por Desempleo de 1984</w:t>
      </w:r>
      <w:r>
        <w:rPr>
          <w:rFonts w:ascii="Calibri" w:hAnsi="Calibri"/>
          <w:color w:val="2F3A30"/>
          <w:sz w:val="21"/>
        </w:rPr>
        <w:t>. Desde entonces ha experimentado reformas relevantes, entre ellas las de la crisis de 2008-2014, que modificaron la duración, la cuantía y los requisitos de acceso. En 2012, por ejemplo, el porcentaje de la prestación contributiva a partir del séptimo mes se redujo del 60% al 50% de la base reguladora.</w:t>
      </w:r>
    </w:p>
    <w:p>
      <w:pPr>
        <w:spacing w:after="90" w:line="276" w:lineRule="auto"/>
        <w:jc w:val="both"/>
      </w:pPr>
      <w:r>
        <w:rPr>
          <w:rFonts w:ascii="Calibri" w:hAnsi="Calibri"/>
          <w:color w:val="2F3A30"/>
          <w:sz w:val="21"/>
        </w:rPr>
        <w:t xml:space="preserve">La reforma más reciente del nivel asistencial es la del </w:t>
      </w:r>
      <w:r>
        <w:rPr>
          <w:rFonts w:ascii="Calibri" w:hAnsi="Calibri"/>
          <w:b/>
          <w:color w:val="113927"/>
          <w:sz w:val="21"/>
        </w:rPr>
        <w:t>Real Decreto-ley 2/2024, de 21 de mayo</w:t>
      </w:r>
      <w:r>
        <w:rPr>
          <w:rFonts w:ascii="Calibri" w:hAnsi="Calibri"/>
          <w:color w:val="2F3A30"/>
          <w:sz w:val="21"/>
        </w:rPr>
        <w:t xml:space="preserve">, convalidado en junio de 2024, cuyas medidas principales entraron en vigor el 1 de noviembre de 2024. Amplió los colectivos protegidos, simplificó los subsidios y creó el Complemento de Apoyo al Empleo (epígrafe 4.1). El sistema se enmarca en la </w:t>
      </w:r>
      <w:r>
        <w:rPr>
          <w:rFonts w:ascii="Calibri" w:hAnsi="Calibri"/>
          <w:b/>
          <w:color w:val="113927"/>
          <w:sz w:val="21"/>
        </w:rPr>
        <w:t>Ley 3/2023, de 28 de febrero, de Empleo</w:t>
      </w:r>
      <w:r>
        <w:rPr>
          <w:rFonts w:ascii="Calibri" w:hAnsi="Calibri"/>
          <w:color w:val="2F3A30"/>
          <w:sz w:val="21"/>
        </w:rPr>
        <w:t xml:space="preserve">, y en el </w:t>
      </w:r>
      <w:r>
        <w:rPr>
          <w:rFonts w:ascii="Calibri" w:hAnsi="Calibri"/>
          <w:b/>
          <w:color w:val="113927"/>
          <w:sz w:val="21"/>
        </w:rPr>
        <w:t>Real Decreto 438/2024</w:t>
      </w:r>
      <w:r>
        <w:rPr>
          <w:rFonts w:ascii="Calibri" w:hAnsi="Calibri"/>
          <w:color w:val="2F3A30"/>
          <w:sz w:val="21"/>
        </w:rPr>
        <w:t>, que desarrolla la Cartera Común de Servicios del Sistema Nacional de Empleo (Tema 2).</w:t>
      </w:r>
    </w:p>
    <w:p>
      <w:pPr>
        <w:pStyle w:val="Heading2"/>
        <w:keepNext/>
        <w:spacing w:before="360" w:after="100"/>
        <w:jc w:val="left"/>
      </w:pPr>
      <w:r>
        <w:rPr>
          <w:rFonts w:ascii="Outfit" w:hAnsi="Outfit"/>
          <w:b/>
          <w:color w:val="76927A"/>
          <w:sz w:val="25"/>
        </w:rPr>
        <w:t>2.2. Estructura dual del sistema español</w:t>
      </w:r>
    </w:p>
    <w:p>
      <w:pPr>
        <w:spacing w:after="90" w:line="276" w:lineRule="auto"/>
        <w:jc w:val="both"/>
      </w:pPr>
      <w:r>
        <w:rPr>
          <w:rFonts w:ascii="Calibri" w:hAnsi="Calibri"/>
          <w:color w:val="2F3A30"/>
          <w:sz w:val="21"/>
        </w:rPr>
        <w:t xml:space="preserve">El sistema tiene una </w:t>
      </w:r>
      <w:r>
        <w:rPr>
          <w:rFonts w:ascii="Calibri" w:hAnsi="Calibri"/>
          <w:b/>
          <w:color w:val="113927"/>
          <w:sz w:val="21"/>
        </w:rPr>
        <w:t>estructura dual</w:t>
      </w:r>
      <w:r>
        <w:rPr>
          <w:rFonts w:ascii="Calibri" w:hAnsi="Calibri"/>
          <w:color w:val="2F3A30"/>
          <w:sz w:val="21"/>
        </w:rPr>
        <w:t xml:space="preserve"> con dos niveles: las prestaciones contributivas y las prestaciones asistenciales o subsidios. Protege a las personas trabajadoras de entre 16 años y la edad ordinaria de jubilación que pierden su empleo, ven suspendido su contrato o reducida su jornada. La </w:t>
      </w:r>
      <w:r>
        <w:rPr>
          <w:rFonts w:ascii="Calibri" w:hAnsi="Calibri"/>
          <w:b/>
          <w:color w:val="113927"/>
          <w:sz w:val="21"/>
        </w:rPr>
        <w:t>protección total</w:t>
      </w:r>
      <w:r>
        <w:rPr>
          <w:rFonts w:ascii="Calibri" w:hAnsi="Calibri"/>
          <w:color w:val="2F3A30"/>
          <w:sz w:val="21"/>
        </w:rPr>
        <w:t xml:space="preserve"> se aplica cuando cesa por completo la actividad; la </w:t>
      </w:r>
      <w:r>
        <w:rPr>
          <w:rFonts w:ascii="Calibri" w:hAnsi="Calibri"/>
          <w:b/>
          <w:color w:val="113927"/>
          <w:sz w:val="21"/>
        </w:rPr>
        <w:t>protección parcial</w:t>
      </w:r>
      <w:r>
        <w:rPr>
          <w:rFonts w:ascii="Calibri" w:hAnsi="Calibri"/>
          <w:color w:val="2F3A30"/>
          <w:sz w:val="21"/>
        </w:rPr>
        <w:t>, cuando la jornada se reduce temporalmente entre un 10% y un 70% con una reducción análoga del salario, lo que permite mantener el vínculo laboral.</w:t>
      </w:r>
    </w:p>
    <w:p>
      <w:pPr>
        <w:spacing w:after="90" w:line="276" w:lineRule="auto"/>
        <w:jc w:val="both"/>
      </w:pPr>
      <w:r>
        <w:rPr>
          <w:rFonts w:ascii="Calibri" w:hAnsi="Calibri"/>
          <w:color w:val="2F3A30"/>
          <w:sz w:val="21"/>
        </w:rPr>
        <w:t xml:space="preserve">El primer nivel responde a una lógica de </w:t>
      </w:r>
      <w:r>
        <w:rPr>
          <w:rFonts w:ascii="Calibri" w:hAnsi="Calibri"/>
          <w:b/>
          <w:color w:val="113927"/>
          <w:sz w:val="21"/>
        </w:rPr>
        <w:t>seguro social</w:t>
      </w:r>
      <w:r>
        <w:rPr>
          <w:rFonts w:ascii="Calibri" w:hAnsi="Calibri"/>
          <w:color w:val="2F3A30"/>
          <w:sz w:val="21"/>
        </w:rPr>
        <w:t xml:space="preserve">, con derechos vinculados a las cotizaciones previas. El segundo opera bajo principios de </w:t>
      </w:r>
      <w:r>
        <w:rPr>
          <w:rFonts w:ascii="Calibri" w:hAnsi="Calibri"/>
          <w:b/>
          <w:color w:val="113927"/>
          <w:sz w:val="21"/>
        </w:rPr>
        <w:t>asistencia social</w:t>
      </w:r>
      <w:r>
        <w:rPr>
          <w:rFonts w:ascii="Calibri" w:hAnsi="Calibri"/>
          <w:color w:val="2F3A30"/>
          <w:sz w:val="21"/>
        </w:rPr>
        <w:t xml:space="preserve"> y protege a quienes no acceden al nivel contributivo o lo han agotado. La combinación de contributividad y solidaridad intenta que ningún desempleado quede completamente desprotegido, aunque con niveles de protección distintos.</w:t>
      </w:r>
    </w:p>
    <w:p>
      <w:pPr>
        <w:pStyle w:val="Heading3"/>
        <w:keepNext/>
        <w:spacing w:before="240" w:after="60"/>
        <w:jc w:val="left"/>
      </w:pPr>
      <w:r>
        <w:rPr>
          <w:rFonts w:ascii="Outfit" w:hAnsi="Outfit"/>
          <w:b/>
          <w:color w:val="113927"/>
          <w:sz w:val="22"/>
        </w:rPr>
        <w:t>2.2.1. Prestaciones contributivas: el primer nivel de protección</w:t>
      </w:r>
    </w:p>
    <w:p>
      <w:pPr>
        <w:spacing w:after="90" w:line="276" w:lineRule="auto"/>
        <w:jc w:val="both"/>
      </w:pPr>
      <w:r>
        <w:rPr>
          <w:rFonts w:ascii="Calibri" w:hAnsi="Calibri"/>
          <w:color w:val="2F3A30"/>
          <w:sz w:val="21"/>
        </w:rPr>
        <w:t xml:space="preserve">La prestación contributiva, conocida como «el paro», se dirige a quienes pierden su empleo tras haber cotizado un periodo suficiente. Sus </w:t>
      </w:r>
      <w:r>
        <w:rPr>
          <w:rFonts w:ascii="Calibri" w:hAnsi="Calibri"/>
          <w:b/>
          <w:color w:val="113927"/>
          <w:sz w:val="21"/>
        </w:rPr>
        <w:t>requisitos de acceso</w:t>
      </w:r>
      <w:r>
        <w:rPr>
          <w:rFonts w:ascii="Calibri" w:hAnsi="Calibri"/>
          <w:color w:val="2F3A30"/>
          <w:sz w:val="21"/>
        </w:rPr>
        <w:t xml:space="preserve"> son acumulativos:</w:t>
      </w:r>
    </w:p>
    <w:p>
      <w:pPr>
        <w:spacing w:after="90" w:line="276" w:lineRule="auto" w:before="40"/>
        <w:jc w:val="both"/>
      </w:pPr>
      <w:r>
        <w:rPr>
          <w:rFonts w:ascii="Calibri" w:hAnsi="Calibri"/>
          <w:b/>
          <w:color w:val="113927"/>
          <w:sz w:val="21"/>
        </w:rPr>
        <w:t xml:space="preserve">1. Situación legal de desempleo: </w:t>
      </w:r>
      <w:r>
        <w:rPr>
          <w:rFonts w:ascii="Calibri" w:hAnsi="Calibri"/>
          <w:color w:val="2F3A30"/>
          <w:sz w:val="21"/>
        </w:rPr>
        <w:t>por extinción o suspensión involuntaria de la relación laboral (despidos, fin del contrato temporal), por reducciones de jornada de entre el 10% y el 70% en expedientes de regulación de empleo o, en supuestos tasados, por resolución voluntaria amparada judicialmente (traslados con cambio de residencia, modificaciones sustanciales que perjudiquen al trabajador o ser víctima de violencia de género).</w:t>
      </w:r>
    </w:p>
    <w:p>
      <w:pPr>
        <w:spacing w:after="90" w:line="276" w:lineRule="auto" w:before="40"/>
        <w:jc w:val="both"/>
      </w:pPr>
      <w:r>
        <w:rPr>
          <w:rFonts w:ascii="Calibri" w:hAnsi="Calibri"/>
          <w:b/>
          <w:color w:val="113927"/>
          <w:sz w:val="21"/>
        </w:rPr>
        <w:t xml:space="preserve">2. Afiliación y cotización por desempleo: </w:t>
      </w:r>
      <w:r>
        <w:rPr>
          <w:rFonts w:ascii="Calibri" w:hAnsi="Calibri"/>
          <w:color w:val="2F3A30"/>
          <w:sz w:val="21"/>
        </w:rPr>
        <w:t>en la Seguridad Social.</w:t>
      </w:r>
    </w:p>
    <w:p>
      <w:pPr>
        <w:spacing w:after="90" w:line="276" w:lineRule="auto" w:before="40"/>
        <w:jc w:val="both"/>
      </w:pPr>
      <w:r>
        <w:rPr>
          <w:rFonts w:ascii="Calibri" w:hAnsi="Calibri"/>
          <w:b/>
          <w:color w:val="113927"/>
          <w:sz w:val="21"/>
        </w:rPr>
        <w:t xml:space="preserve">3. Edad: </w:t>
      </w:r>
      <w:r>
        <w:rPr>
          <w:rFonts w:ascii="Calibri" w:hAnsi="Calibri"/>
          <w:color w:val="2F3A30"/>
          <w:sz w:val="21"/>
        </w:rPr>
        <w:t>superior a 16 años y sin haber alcanzado la edad ordinaria de jubilación.</w:t>
      </w:r>
    </w:p>
    <w:p>
      <w:pPr>
        <w:spacing w:after="90" w:line="276" w:lineRule="auto" w:before="40"/>
        <w:jc w:val="both"/>
      </w:pPr>
      <w:r>
        <w:rPr>
          <w:rFonts w:ascii="Calibri" w:hAnsi="Calibri"/>
          <w:b/>
          <w:color w:val="113927"/>
          <w:sz w:val="21"/>
        </w:rPr>
        <w:t xml:space="preserve">4. Periodo mínimo de cotización: </w:t>
      </w:r>
      <w:r>
        <w:rPr>
          <w:rFonts w:ascii="Calibri" w:hAnsi="Calibri"/>
          <w:color w:val="2F3A30"/>
          <w:sz w:val="21"/>
        </w:rPr>
        <w:t>de 360 días en los seis años anteriores. Las cotizaciones que generan un derecho no pueden volver a computarse para prestaciones posteriores, lo que perjudica a quienes alternan contratos cortos y periodos de paro.</w:t>
      </w:r>
    </w:p>
    <w:p>
      <w:pPr>
        <w:spacing w:after="90" w:line="276" w:lineRule="auto" w:before="40"/>
        <w:jc w:val="both"/>
      </w:pPr>
      <w:r>
        <w:rPr>
          <w:rFonts w:ascii="Calibri" w:hAnsi="Calibri"/>
          <w:b/>
          <w:color w:val="113927"/>
          <w:sz w:val="21"/>
        </w:rPr>
        <w:t xml:space="preserve">5. Inscripción como demandante de empleo: </w:t>
      </w:r>
      <w:r>
        <w:rPr>
          <w:rFonts w:ascii="Calibri" w:hAnsi="Calibri"/>
          <w:color w:val="2F3A30"/>
          <w:sz w:val="21"/>
        </w:rPr>
        <w:t>en los 15 días hábiles siguientes a la situación de desempleo.</w:t>
      </w:r>
    </w:p>
    <w:p>
      <w:pPr>
        <w:spacing w:after="90" w:line="276" w:lineRule="auto" w:before="40"/>
        <w:jc w:val="both"/>
      </w:pPr>
      <w:r>
        <w:rPr>
          <w:rFonts w:ascii="Calibri" w:hAnsi="Calibri"/>
          <w:b/>
          <w:color w:val="113927"/>
          <w:sz w:val="21"/>
        </w:rPr>
        <w:t xml:space="preserve">6. Disponibilidad y compromiso de actividad: </w:t>
      </w:r>
      <w:r>
        <w:rPr>
          <w:rFonts w:ascii="Calibri" w:hAnsi="Calibri"/>
          <w:color w:val="2F3A30"/>
          <w:sz w:val="21"/>
        </w:rPr>
        <w:t>que obliga a buscar activamente empleo, aceptar una colocación adecuada y participar en acciones de orientación, formación o inserción (epígrafe 4).</w:t>
      </w:r>
    </w:p>
    <w:p>
      <w:pPr>
        <w:spacing w:after="90" w:line="276" w:lineRule="auto"/>
        <w:jc w:val="both"/>
      </w:pPr>
      <w:r>
        <w:rPr>
          <w:rFonts w:ascii="Calibri" w:hAnsi="Calibri"/>
          <w:color w:val="2F3A30"/>
          <w:sz w:val="21"/>
        </w:rPr>
        <w:t xml:space="preserve">La </w:t>
      </w:r>
      <w:r>
        <w:rPr>
          <w:rFonts w:ascii="Calibri" w:hAnsi="Calibri"/>
          <w:b/>
          <w:color w:val="113927"/>
          <w:sz w:val="21"/>
        </w:rPr>
        <w:t>duración</w:t>
      </w:r>
      <w:r>
        <w:rPr>
          <w:rFonts w:ascii="Calibri" w:hAnsi="Calibri"/>
          <w:color w:val="2F3A30"/>
          <w:sz w:val="21"/>
        </w:rPr>
        <w:t xml:space="preserve"> depende del tiempo cotizado en los seis años anteriores, según la escala siguiente:</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4709"/>
        <w:gridCol w:w="4709"/>
      </w:tblGrid>
      <w:tr>
        <w:trPr>
          <w:tblHeader w:val="true"/>
          <w:cantSplit/>
        </w:trPr>
        <w:tc>
          <w:tcPr>
            <w:tcW w:type="dxa" w:w="4320"/>
            <w:shd w:val="clear" w:color="auto" w:fill="113927"/>
            <w:tcMar>
              <w:top w:w="100" w:type="dxa"/>
              <w:left w:w="120" w:type="dxa"/>
              <w:bottom w:w="100" w:type="dxa"/>
              <w:right w:w="120" w:type="dxa"/>
            </w:tcMar>
          </w:tcPr>
          <w:p>
            <w:pPr>
              <w:spacing w:after="0"/>
              <w:jc w:val="left"/>
            </w:pPr>
            <w:r>
              <w:rPr>
                <w:rFonts w:ascii="Outfit" w:hAnsi="Outfit"/>
                <w:b/>
                <w:color w:val="FFFFFF"/>
                <w:sz w:val="19"/>
              </w:rPr>
              <w:t>Periodo de cotización</w:t>
            </w:r>
          </w:p>
        </w:tc>
        <w:tc>
          <w:tcPr>
            <w:tcW w:type="dxa" w:w="4320"/>
            <w:shd w:val="clear" w:color="auto" w:fill="113927"/>
            <w:tcMar>
              <w:top w:w="100" w:type="dxa"/>
              <w:left w:w="120" w:type="dxa"/>
              <w:bottom w:w="100" w:type="dxa"/>
              <w:right w:w="120" w:type="dxa"/>
            </w:tcMar>
          </w:tcPr>
          <w:p>
            <w:pPr>
              <w:spacing w:after="0"/>
              <w:jc w:val="left"/>
            </w:pPr>
            <w:r>
              <w:rPr>
                <w:rFonts w:ascii="Outfit" w:hAnsi="Outfit"/>
                <w:b/>
                <w:color w:val="FFFFFF"/>
                <w:sz w:val="19"/>
              </w:rPr>
              <w:t>Duración de la prestación</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360 a 539 días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120 días (4 meses)</w:t>
            </w:r>
          </w:p>
        </w:tc>
      </w:tr>
      <w:tr>
        <w:trPr>
          <w:cantSplit/>
        </w:trPr>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540 a 719 días</w:t>
            </w:r>
          </w:p>
        </w:tc>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180 días (6 meses)</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720 a 899 días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240 días (8 meses)</w:t>
            </w:r>
          </w:p>
        </w:tc>
      </w:tr>
      <w:tr>
        <w:trPr>
          <w:cantSplit/>
        </w:trPr>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900 a 1.079 días</w:t>
            </w:r>
          </w:p>
        </w:tc>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300 días (10 meses)</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1.080 a 1.259 días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360 días (12 meses)</w:t>
            </w:r>
          </w:p>
        </w:tc>
      </w:tr>
      <w:tr>
        <w:trPr>
          <w:cantSplit/>
        </w:trPr>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1.260 a 1.439 días</w:t>
            </w:r>
          </w:p>
        </w:tc>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420 días (14 meses)</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1.440 a 1.619 días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480 días (16 meses)</w:t>
            </w:r>
          </w:p>
        </w:tc>
      </w:tr>
      <w:tr>
        <w:trPr>
          <w:cantSplit/>
        </w:trPr>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1.620 a 1.799 días</w:t>
            </w:r>
          </w:p>
        </w:tc>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540 días (18 meses)</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1.800 a 1.979 días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600 días (20 meses)</w:t>
            </w:r>
          </w:p>
        </w:tc>
      </w:tr>
      <w:tr>
        <w:trPr>
          <w:cantSplit/>
        </w:trPr>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1.980 a 2.159 días</w:t>
            </w:r>
          </w:p>
        </w:tc>
        <w:tc>
          <w:tcPr>
            <w:tcW w:type="dxa" w:w="432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660 días (22 meses)</w:t>
            </w:r>
          </w:p>
        </w:tc>
      </w:tr>
      <w:tr>
        <w:trPr>
          <w:cantSplit/>
        </w:trPr>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2.160 días o más</w:t>
            </w:r>
          </w:p>
        </w:tc>
        <w:tc>
          <w:tcPr>
            <w:tcW w:type="dxa" w:w="432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720 días (24 meses, máximo)</w:t>
            </w:r>
          </w:p>
        </w:tc>
      </w:tr>
    </w:tbl>
    <w:p>
      <w:pPr>
        <w:spacing w:after="120"/>
      </w:pPr>
    </w:p>
    <w:p>
      <w:pPr>
        <w:spacing w:after="90" w:line="276" w:lineRule="auto"/>
        <w:jc w:val="both"/>
      </w:pPr>
      <w:r>
        <w:rPr>
          <w:rFonts w:ascii="Calibri" w:hAnsi="Calibri"/>
          <w:color w:val="2F3A30"/>
          <w:sz w:val="21"/>
        </w:rPr>
        <w:t xml:space="preserve">La </w:t>
      </w:r>
      <w:r>
        <w:rPr>
          <w:rFonts w:ascii="Calibri" w:hAnsi="Calibri"/>
          <w:b/>
          <w:color w:val="113927"/>
          <w:sz w:val="21"/>
        </w:rPr>
        <w:t>cuantía</w:t>
      </w:r>
      <w:r>
        <w:rPr>
          <w:rFonts w:ascii="Calibri" w:hAnsi="Calibri"/>
          <w:color w:val="2F3A30"/>
          <w:sz w:val="21"/>
        </w:rPr>
        <w:t xml:space="preserve"> se calcula sobre la </w:t>
      </w:r>
      <w:r>
        <w:rPr>
          <w:rFonts w:ascii="Calibri" w:hAnsi="Calibri"/>
          <w:b/>
          <w:color w:val="113927"/>
          <w:sz w:val="21"/>
        </w:rPr>
        <w:t>base reguladora</w:t>
      </w:r>
      <w:r>
        <w:rPr>
          <w:rFonts w:ascii="Calibri" w:hAnsi="Calibri"/>
          <w:color w:val="2F3A30"/>
          <w:sz w:val="21"/>
        </w:rPr>
        <w:t xml:space="preserve">, el promedio de la base de cotización por desempleo de los últimos 180 días. Es del </w:t>
      </w:r>
      <w:r>
        <w:rPr>
          <w:rFonts w:ascii="Calibri" w:hAnsi="Calibri"/>
          <w:b/>
          <w:color w:val="113927"/>
          <w:sz w:val="21"/>
        </w:rPr>
        <w:t>70% durante los primeros 180 días y del 50% a partir del día 181</w:t>
      </w:r>
      <w:r>
        <w:rPr>
          <w:rFonts w:ascii="Calibri" w:hAnsi="Calibri"/>
          <w:color w:val="2F3A30"/>
          <w:sz w:val="21"/>
        </w:rPr>
        <w:t>. El diseño decreciente pretende reforzar los incentivos a la búsqueda a medida que avanza el paro, aunque puede comprometer el nivel de vida en los desempleos largos. Durante 2026 el Gobierno ha anunciado elevar el segundo tramo al 60%; en el momento de redactar estos apuntes, conviene comprobar si esa modificación ha llegado a publicarse en el BOE antes de darla por vigente.</w:t>
      </w:r>
    </w:p>
    <w:p>
      <w:pPr>
        <w:spacing w:after="90" w:line="276" w:lineRule="auto"/>
        <w:jc w:val="both"/>
      </w:pPr>
      <w:r>
        <w:rPr>
          <w:rFonts w:ascii="Calibri" w:hAnsi="Calibri"/>
          <w:color w:val="2F3A30"/>
          <w:sz w:val="21"/>
        </w:rPr>
        <w:t xml:space="preserve">La prestación está sujeta a </w:t>
      </w:r>
      <w:r>
        <w:rPr>
          <w:rFonts w:ascii="Calibri" w:hAnsi="Calibri"/>
          <w:b/>
          <w:color w:val="113927"/>
          <w:sz w:val="21"/>
        </w:rPr>
        <w:t>topes mínimos y máximos</w:t>
      </w:r>
      <w:r>
        <w:rPr>
          <w:rFonts w:ascii="Calibri" w:hAnsi="Calibri"/>
          <w:color w:val="2F3A30"/>
          <w:sz w:val="21"/>
        </w:rPr>
        <w:t xml:space="preserve"> que dependen del Indicador Público de Renta de Efectos Múltiples (IPREM) y de los hijos a cargo. Con el IPREM de 2026 (600 euros mensuales, el mismo que en 2025) los importes mensuales son los de la tabla siguiente:</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3168"/>
            <w:shd w:val="clear" w:color="auto" w:fill="113927"/>
            <w:tcMar>
              <w:top w:w="100" w:type="dxa"/>
              <w:left w:w="120" w:type="dxa"/>
              <w:bottom w:w="100" w:type="dxa"/>
              <w:right w:w="120" w:type="dxa"/>
            </w:tcMar>
          </w:tcPr>
          <w:p>
            <w:pPr>
              <w:spacing w:after="0"/>
              <w:jc w:val="left"/>
            </w:pPr>
            <w:r>
              <w:rPr>
                <w:rFonts w:ascii="Outfit" w:hAnsi="Outfit"/>
                <w:b/>
                <w:color w:val="FFFFFF"/>
                <w:sz w:val="19"/>
              </w:rPr>
              <w:t>Situación familiar</w:t>
            </w:r>
          </w:p>
        </w:tc>
        <w:tc>
          <w:tcPr>
            <w:tcW w:type="dxa" w:w="3024"/>
            <w:shd w:val="clear" w:color="auto" w:fill="113927"/>
            <w:tcMar>
              <w:top w:w="100" w:type="dxa"/>
              <w:left w:w="120" w:type="dxa"/>
              <w:bottom w:w="100" w:type="dxa"/>
              <w:right w:w="120" w:type="dxa"/>
            </w:tcMar>
          </w:tcPr>
          <w:p>
            <w:pPr>
              <w:spacing w:after="0"/>
              <w:jc w:val="left"/>
            </w:pPr>
            <w:r>
              <w:rPr>
                <w:rFonts w:ascii="Outfit" w:hAnsi="Outfit"/>
                <w:b/>
                <w:color w:val="FFFFFF"/>
                <w:sz w:val="19"/>
              </w:rPr>
              <w:t>Mínimo</w:t>
            </w:r>
          </w:p>
        </w:tc>
        <w:tc>
          <w:tcPr>
            <w:tcW w:type="dxa" w:w="3024"/>
            <w:shd w:val="clear" w:color="auto" w:fill="113927"/>
            <w:tcMar>
              <w:top w:w="100" w:type="dxa"/>
              <w:left w:w="120" w:type="dxa"/>
              <w:bottom w:w="100" w:type="dxa"/>
              <w:right w:w="120" w:type="dxa"/>
            </w:tcMar>
          </w:tcPr>
          <w:p>
            <w:pPr>
              <w:spacing w:after="0"/>
              <w:jc w:val="left"/>
            </w:pPr>
            <w:r>
              <w:rPr>
                <w:rFonts w:ascii="Outfit" w:hAnsi="Outfit"/>
                <w:b/>
                <w:color w:val="FFFFFF"/>
                <w:sz w:val="19"/>
              </w:rPr>
              <w:t>Máximo</w:t>
            </w:r>
          </w:p>
        </w:tc>
      </w:tr>
      <w:tr>
        <w:trPr>
          <w:cantSplit/>
        </w:trPr>
        <w:tc>
          <w:tcPr>
            <w:tcW w:type="dxa" w:w="3168"/>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Sin hijos a cargo</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80% IPREM · 560 €</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175% IPREM · 1.225 €</w:t>
            </w:r>
          </w:p>
        </w:tc>
      </w:tr>
      <w:tr>
        <w:trPr>
          <w:cantSplit/>
        </w:trPr>
        <w:tc>
          <w:tcPr>
            <w:tcW w:type="dxa" w:w="3168"/>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Un hijo a cargo</w:t>
            </w:r>
          </w:p>
        </w:tc>
        <w:tc>
          <w:tcPr>
            <w:tcW w:type="dxa" w:w="302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107% IPREM · 749 €</w:t>
            </w:r>
          </w:p>
        </w:tc>
        <w:tc>
          <w:tcPr>
            <w:tcW w:type="dxa" w:w="302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200% IPREM · 1.400 €</w:t>
            </w:r>
          </w:p>
        </w:tc>
      </w:tr>
      <w:tr>
        <w:trPr>
          <w:cantSplit/>
        </w:trPr>
        <w:tc>
          <w:tcPr>
            <w:tcW w:type="dxa" w:w="3168"/>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Dos o más hijos a cargo</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107% IPREM · 749 €</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225% IPREM · 1.575 €</w:t>
            </w:r>
          </w:p>
        </w:tc>
      </w:tr>
    </w:tbl>
    <w:p>
      <w:pPr>
        <w:spacing w:after="120"/>
      </w:pPr>
    </w:p>
    <w:p>
      <w:pPr>
        <w:spacing w:after="90" w:line="276" w:lineRule="auto"/>
        <w:jc w:val="both"/>
      </w:pPr>
      <w:r>
        <w:rPr>
          <w:rFonts w:ascii="Calibri" w:hAnsi="Calibri"/>
          <w:color w:val="2F3A30"/>
          <w:sz w:val="21"/>
        </w:rPr>
        <w:t>Los porcentajes se aplican sobre el IPREM incrementado en una sexta parte (700 euros). Los topes tienen efectos redistributivos: los trabajadores con salarios bajos pueden obtener una tasa de sustitución superior al 70% gracias al mínimo, mientras que los de salarios altos ven limitada su prestación por el máximo.</w:t>
      </w:r>
    </w:p>
    <w:p>
      <w:pPr>
        <w:spacing w:after="90" w:line="276" w:lineRule="auto"/>
        <w:jc w:val="both"/>
      </w:pPr>
      <w:r>
        <w:rPr>
          <w:rFonts w:ascii="Calibri" w:hAnsi="Calibri"/>
          <w:color w:val="2F3A30"/>
          <w:sz w:val="21"/>
        </w:rPr>
        <w:t xml:space="preserve">Las prestaciones contributivas siguen una lógica de seguro con tres diferencias respecto a los seguros privados. </w:t>
      </w:r>
      <w:r>
        <w:rPr>
          <w:rFonts w:ascii="Calibri" w:hAnsi="Calibri"/>
          <w:b/>
          <w:color w:val="113927"/>
          <w:sz w:val="21"/>
        </w:rPr>
        <w:t>No hay relación entre riesgo individual y prima</w:t>
      </w:r>
      <w:r>
        <w:rPr>
          <w:rFonts w:ascii="Calibri" w:hAnsi="Calibri"/>
          <w:color w:val="2F3A30"/>
          <w:sz w:val="21"/>
        </w:rPr>
        <w:t xml:space="preserve">: todos cotizan el mismo porcentaje, sea cual sea su probabilidad de quedar en paro. El sistema funciona </w:t>
      </w:r>
      <w:r>
        <w:rPr>
          <w:rFonts w:ascii="Calibri" w:hAnsi="Calibri"/>
          <w:b/>
          <w:color w:val="113927"/>
          <w:sz w:val="21"/>
        </w:rPr>
        <w:t>por reparto</w:t>
      </w:r>
      <w:r>
        <w:rPr>
          <w:rFonts w:ascii="Calibri" w:hAnsi="Calibri"/>
          <w:color w:val="2F3A30"/>
          <w:sz w:val="21"/>
        </w:rPr>
        <w:t xml:space="preserve">, sin fondos individuales. Y la cotización es </w:t>
      </w:r>
      <w:r>
        <w:rPr>
          <w:rFonts w:ascii="Calibri" w:hAnsi="Calibri"/>
          <w:b/>
          <w:color w:val="113927"/>
          <w:sz w:val="21"/>
        </w:rPr>
        <w:t>obligatoria</w:t>
      </w:r>
      <w:r>
        <w:rPr>
          <w:rFonts w:ascii="Calibri" w:hAnsi="Calibri"/>
          <w:color w:val="2F3A30"/>
          <w:sz w:val="21"/>
        </w:rPr>
        <w:t>, lo que, junto con los topes, introduce una redistribución implícita desde los salarios altos hacia los bajos.</w:t>
      </w:r>
    </w:p>
    <w:p>
      <w:pPr>
        <w:pStyle w:val="Heading3"/>
        <w:keepNext/>
        <w:spacing w:before="240" w:after="60"/>
        <w:jc w:val="left"/>
      </w:pPr>
      <w:r>
        <w:rPr>
          <w:rFonts w:ascii="Outfit" w:hAnsi="Outfit"/>
          <w:b/>
          <w:color w:val="113927"/>
          <w:sz w:val="22"/>
        </w:rPr>
        <w:t>2.2.2. Prestaciones asistenciales: el segundo nivel de protección</w:t>
      </w:r>
    </w:p>
    <w:p>
      <w:pPr>
        <w:spacing w:after="90" w:line="276" w:lineRule="auto"/>
        <w:jc w:val="both"/>
      </w:pPr>
      <w:r>
        <w:rPr>
          <w:rFonts w:ascii="Calibri" w:hAnsi="Calibri"/>
          <w:color w:val="2F3A30"/>
          <w:sz w:val="21"/>
        </w:rPr>
        <w:t xml:space="preserve">Los subsidios por desempleo responden a una lógica de asistencia social. Se dirigen a quienes han </w:t>
      </w:r>
      <w:r>
        <w:rPr>
          <w:rFonts w:ascii="Calibri" w:hAnsi="Calibri"/>
          <w:b/>
          <w:color w:val="113927"/>
          <w:sz w:val="21"/>
        </w:rPr>
        <w:t>agotado la prestación contributiva</w:t>
      </w:r>
      <w:r>
        <w:rPr>
          <w:rFonts w:ascii="Calibri" w:hAnsi="Calibri"/>
          <w:color w:val="2F3A30"/>
          <w:sz w:val="21"/>
        </w:rPr>
        <w:t xml:space="preserve"> sin encontrar empleo y a quienes </w:t>
      </w:r>
      <w:r>
        <w:rPr>
          <w:rFonts w:ascii="Calibri" w:hAnsi="Calibri"/>
          <w:b/>
          <w:color w:val="113927"/>
          <w:sz w:val="21"/>
        </w:rPr>
        <w:t>no alcanzan los 360 días cotizados</w:t>
      </w:r>
      <w:r>
        <w:rPr>
          <w:rFonts w:ascii="Calibri" w:hAnsi="Calibri"/>
          <w:color w:val="2F3A30"/>
          <w:sz w:val="21"/>
        </w:rPr>
        <w:t>. La reforma de 2024 amplió la cobertura a colectivos antes excluidos: los menores de 45 años sin responsabilidades familiares, los trabajadores agrarios eventuales, los trabajadores transfronterizos de Ceuta y Melilla, los emigrantes retornados y las víctimas de violencia de género o sexual.</w:t>
      </w:r>
    </w:p>
    <w:p>
      <w:pPr>
        <w:spacing w:after="90" w:line="276" w:lineRule="auto"/>
        <w:jc w:val="both"/>
      </w:pPr>
      <w:r>
        <w:rPr>
          <w:rFonts w:ascii="Calibri" w:hAnsi="Calibri"/>
          <w:color w:val="2F3A30"/>
          <w:sz w:val="21"/>
        </w:rPr>
        <w:t xml:space="preserve">El requisito económico central es </w:t>
      </w:r>
      <w:r>
        <w:rPr>
          <w:rFonts w:ascii="Calibri" w:hAnsi="Calibri"/>
          <w:b/>
          <w:color w:val="113927"/>
          <w:sz w:val="21"/>
        </w:rPr>
        <w:t>carecer de rentas superiores al 75% del salario mínimo interprofesional</w:t>
      </w:r>
      <w:r>
        <w:rPr>
          <w:rFonts w:ascii="Calibri" w:hAnsi="Calibri"/>
          <w:color w:val="2F3A30"/>
          <w:sz w:val="21"/>
        </w:rPr>
        <w:t xml:space="preserve">, excluida la parte proporcional de las pagas extraordinarias. Cuando existen responsabilidades familiares, se computan los ingresos de toda la unidad familiar divididos entre sus miembros. Esta prueba de medios focaliza la ayuda, pero crea </w:t>
      </w:r>
      <w:r>
        <w:rPr>
          <w:rFonts w:ascii="Calibri" w:hAnsi="Calibri"/>
          <w:b/>
          <w:color w:val="113927"/>
          <w:sz w:val="21"/>
        </w:rPr>
        <w:t>efectos umbral</w:t>
      </w:r>
      <w:r>
        <w:rPr>
          <w:rFonts w:ascii="Calibri" w:hAnsi="Calibri"/>
          <w:color w:val="2F3A30"/>
          <w:sz w:val="21"/>
        </w:rPr>
        <w:t>: quien queda ligeramente por encima del límite pierde todo el derecho.</w:t>
      </w:r>
    </w:p>
    <w:p>
      <w:pPr>
        <w:spacing w:after="90" w:line="276" w:lineRule="auto"/>
        <w:jc w:val="both"/>
      </w:pPr>
      <w:r>
        <w:rPr>
          <w:rFonts w:ascii="Calibri" w:hAnsi="Calibri"/>
          <w:color w:val="2F3A30"/>
          <w:sz w:val="21"/>
        </w:rPr>
        <w:t xml:space="preserve">A diferencia de la prestación contributiva, el subsidio tiene una </w:t>
      </w:r>
      <w:r>
        <w:rPr>
          <w:rFonts w:ascii="Calibri" w:hAnsi="Calibri"/>
          <w:b/>
          <w:color w:val="113927"/>
          <w:sz w:val="21"/>
        </w:rPr>
        <w:t>cuantía fija</w:t>
      </w:r>
      <w:r>
        <w:rPr>
          <w:rFonts w:ascii="Calibri" w:hAnsi="Calibri"/>
          <w:color w:val="2F3A30"/>
          <w:sz w:val="21"/>
        </w:rPr>
        <w:t xml:space="preserve"> ligada al IPREM y decreciente por tramos: el 95% del IPREM durante los seis primeros meses (570 euros al mes con el IPREM de 2026), el 90% del séptimo al duodécimo mes (540 euros) y el 80% a partir de entonces (480 euros). El </w:t>
      </w:r>
      <w:r>
        <w:rPr>
          <w:rFonts w:ascii="Calibri" w:hAnsi="Calibri"/>
          <w:b/>
          <w:color w:val="113927"/>
          <w:sz w:val="21"/>
        </w:rPr>
        <w:t>subsidio para mayores de 52 años</w:t>
      </w:r>
      <w:r>
        <w:rPr>
          <w:rFonts w:ascii="Calibri" w:hAnsi="Calibri"/>
          <w:color w:val="2F3A30"/>
          <w:sz w:val="21"/>
        </w:rPr>
        <w:t xml:space="preserve"> mantiene una cuantía fija del 80% del IPREM durante toda su duración y puede extenderse hasta la edad de jubilación, por lo que actúa como puente hacia el sistema de pensiones. La duración del subsidio ordinario oscila, según el caso, entre 6 y 30 meses.</w:t>
      </w:r>
    </w:p>
    <w:p>
      <w:pPr>
        <w:pStyle w:val="Heading2"/>
        <w:keepNext/>
        <w:spacing w:before="360" w:after="100"/>
        <w:jc w:val="left"/>
      </w:pPr>
      <w:r>
        <w:rPr>
          <w:rFonts w:ascii="Outfit" w:hAnsi="Outfit"/>
          <w:b/>
          <w:color w:val="76927A"/>
          <w:sz w:val="25"/>
        </w:rPr>
        <w:t>2.3. Financiación del sistema</w:t>
      </w:r>
    </w:p>
    <w:p>
      <w:pPr>
        <w:spacing w:after="90" w:line="276" w:lineRule="auto"/>
        <w:jc w:val="both"/>
      </w:pPr>
      <w:r>
        <w:rPr>
          <w:rFonts w:ascii="Calibri" w:hAnsi="Calibri"/>
          <w:color w:val="2F3A30"/>
          <w:sz w:val="21"/>
        </w:rPr>
        <w:t xml:space="preserve">Las </w:t>
      </w:r>
      <w:r>
        <w:rPr>
          <w:rFonts w:ascii="Calibri" w:hAnsi="Calibri"/>
          <w:b/>
          <w:color w:val="113927"/>
          <w:sz w:val="21"/>
        </w:rPr>
        <w:t>prestaciones contributivas</w:t>
      </w:r>
      <w:r>
        <w:rPr>
          <w:rFonts w:ascii="Calibri" w:hAnsi="Calibri"/>
          <w:color w:val="2F3A30"/>
          <w:sz w:val="21"/>
        </w:rPr>
        <w:t xml:space="preserve"> se financian con las </w:t>
      </w:r>
      <w:r>
        <w:rPr>
          <w:rFonts w:ascii="Calibri" w:hAnsi="Calibri"/>
          <w:b/>
          <w:color w:val="113927"/>
          <w:sz w:val="21"/>
        </w:rPr>
        <w:t>cotizaciones por desempleo</w:t>
      </w:r>
      <w:r>
        <w:rPr>
          <w:rFonts w:ascii="Calibri" w:hAnsi="Calibri"/>
          <w:color w:val="2F3A30"/>
          <w:sz w:val="21"/>
        </w:rPr>
        <w:t xml:space="preserve"> de trabajadores y empresas, lo que refuerza su carácter de seguro. Cuando la recaudación supera el gasto, el excedente puede financiar políticas activas. Los </w:t>
      </w:r>
      <w:r>
        <w:rPr>
          <w:rFonts w:ascii="Calibri" w:hAnsi="Calibri"/>
          <w:b/>
          <w:color w:val="113927"/>
          <w:sz w:val="21"/>
        </w:rPr>
        <w:t>subsidios</w:t>
      </w:r>
      <w:r>
        <w:rPr>
          <w:rFonts w:ascii="Calibri" w:hAnsi="Calibri"/>
          <w:color w:val="2F3A30"/>
          <w:sz w:val="21"/>
        </w:rPr>
        <w:t xml:space="preserve"> se financian con los </w:t>
      </w:r>
      <w:r>
        <w:rPr>
          <w:rFonts w:ascii="Calibri" w:hAnsi="Calibri"/>
          <w:b/>
          <w:color w:val="113927"/>
          <w:sz w:val="21"/>
        </w:rPr>
        <w:t>Presupuestos Generales del Estado</w:t>
      </w:r>
      <w:r>
        <w:rPr>
          <w:rFonts w:ascii="Calibri" w:hAnsi="Calibri"/>
          <w:color w:val="2F3A30"/>
          <w:sz w:val="21"/>
        </w:rPr>
        <w:t>, es decir, con impuestos generales, lo que los expone más a las restricciones fiscales y a los cambios de prioridades políticas.</w:t>
      </w:r>
    </w:p>
    <w:p>
      <w:pPr>
        <w:pStyle w:val="Heading1"/>
        <w:keepNext/>
        <w:spacing w:before="520" w:after="120"/>
        <w:jc w:val="left"/>
      </w:pPr>
      <w:r>
        <w:rPr>
          <w:rFonts w:ascii="Outfit" w:hAnsi="Outfit"/>
          <w:b/>
          <w:color w:val="113927"/>
          <w:sz w:val="30"/>
        </w:rPr>
        <w:t>3. GENEROSIDAD Y COMPARATIVA INTERNACIONAL</w:t>
      </w:r>
    </w:p>
    <w:p>
      <w:pPr>
        <w:pStyle w:val="Heading2"/>
        <w:keepNext/>
        <w:spacing w:before="360" w:after="100"/>
        <w:jc w:val="left"/>
      </w:pPr>
      <w:r>
        <w:rPr>
          <w:rFonts w:ascii="Outfit" w:hAnsi="Outfit"/>
          <w:b/>
          <w:color w:val="76927A"/>
          <w:sz w:val="25"/>
        </w:rPr>
        <w:t>3.1. El gasto público en políticas pasivas: una paradoja española</w:t>
      </w:r>
    </w:p>
    <w:p>
      <w:pPr>
        <w:spacing w:after="90" w:line="276" w:lineRule="auto"/>
        <w:jc w:val="both"/>
      </w:pPr>
      <w:r>
        <w:rPr>
          <w:rFonts w:ascii="Calibri" w:hAnsi="Calibri"/>
          <w:color w:val="2F3A30"/>
          <w:sz w:val="21"/>
        </w:rPr>
        <w:t>La metodología de Eurostat y la OCDE sobre políticas de mercado de trabajo permite comparar el esfuerzo de cada país. Las políticas pasivas incluyen las prestaciones por desempleo y las ayudas a la jubilación anticipada, y su gasto se mide en porcentaje del PIB para neutralizar el tamaño de cada economía.</w:t>
      </w:r>
    </w:p>
    <w:p>
      <w:pPr>
        <w:keepNext/>
        <w:spacing w:before="160" w:after="60"/>
        <w:jc w:val="center"/>
      </w:pPr>
      <w:r>
        <w:drawing>
          <wp:inline xmlns:a="http://schemas.openxmlformats.org/drawingml/2006/main" xmlns:pic="http://schemas.openxmlformats.org/drawingml/2006/picture">
            <wp:extent cx="5669280" cy="2411688"/>
            <wp:docPr id="2" name="Picture 2"/>
            <wp:cNvGraphicFramePr>
              <a:graphicFrameLocks noChangeAspect="1"/>
            </wp:cNvGraphicFramePr>
            <a:graphic>
              <a:graphicData uri="http://schemas.openxmlformats.org/drawingml/2006/picture">
                <pic:pic>
                  <pic:nvPicPr>
                    <pic:cNvPr id="0" name="gasto_pasivas_pib.png"/>
                    <pic:cNvPicPr/>
                  </pic:nvPicPr>
                  <pic:blipFill>
                    <a:blip r:embed="rId10"/>
                    <a:stretch>
                      <a:fillRect/>
                    </a:stretch>
                  </pic:blipFill>
                  <pic:spPr>
                    <a:xfrm>
                      <a:off x="0" y="0"/>
                      <a:ext cx="5669280" cy="2411688"/>
                    </a:xfrm>
                    <a:prstGeom prst="rect"/>
                  </pic:spPr>
                </pic:pic>
              </a:graphicData>
            </a:graphic>
          </wp:inline>
        </w:drawing>
      </w:r>
    </w:p>
    <w:p>
      <w:pPr>
        <w:keepNext/>
        <w:spacing w:before="0" w:after="20"/>
        <w:jc w:val="center"/>
      </w:pPr>
      <w:r>
        <w:rPr>
          <w:rFonts w:ascii="Outfit" w:hAnsi="Outfit"/>
          <w:b/>
          <w:color w:val="113927"/>
          <w:sz w:val="18"/>
        </w:rPr>
        <w:t>Figura 3.1: Gasto en políticas pasivas en porcentaje del PIB y por punto de desempleo (2022).</w:t>
      </w:r>
    </w:p>
    <w:p>
      <w:pPr>
        <w:spacing w:before="0" w:after="160"/>
        <w:jc w:val="center"/>
      </w:pPr>
      <w:r>
        <w:rPr>
          <w:rFonts w:ascii="Calibri" w:hAnsi="Calibri"/>
          <w:i/>
          <w:color w:val="76927A"/>
          <w:sz w:val="16"/>
        </w:rPr>
        <w:t>Fuente: Elaboración propia para Políticas Sociolaborales (UPO) a partir de Eurostat, base de datos de políticas de mercado de trabajo (LMP).</w:t>
      </w:r>
    </w:p>
    <w:p>
      <w:pPr>
        <w:spacing w:after="90" w:line="276" w:lineRule="auto"/>
        <w:jc w:val="both"/>
      </w:pPr>
      <w:r>
        <w:rPr>
          <w:rFonts w:ascii="Calibri" w:hAnsi="Calibri"/>
          <w:color w:val="2F3A30"/>
          <w:sz w:val="21"/>
        </w:rPr>
        <w:t xml:space="preserve">En 2022, España destinó a estas políticas el 1,75% de su PIB, casi el doble que la media de la Unión Europea (0,96%) y muy por encima de Alemania (0,81%), Portugal (0,72%) o Suecia (0,52%). La lectura inmediata, un sistema excepcionalmente generoso, es engañosa. La medida relevante es el </w:t>
      </w:r>
      <w:r>
        <w:rPr>
          <w:rFonts w:ascii="Calibri" w:hAnsi="Calibri"/>
          <w:b/>
          <w:color w:val="113927"/>
          <w:sz w:val="21"/>
        </w:rPr>
        <w:t>gasto por punto de desempleo</w:t>
      </w:r>
      <w:r>
        <w:rPr>
          <w:rFonts w:ascii="Calibri" w:hAnsi="Calibri"/>
          <w:color w:val="2F3A30"/>
          <w:sz w:val="21"/>
        </w:rPr>
        <w:t>: mientras la media de la UE dedicaba aproximadamente un 0,18% del PIB por cada punto de paro, España destinaba un 0,11%, por detrás de Dinamarca (0,26%) o Alemania (0,21%). La diferencia se explica por la elevada tasa de paro española, que obliga a repartir los recursos entre muchos más desempleados. El mismo patrón apareció en el Tema 2 con el gasto en políticas activas.</w:t>
      </w:r>
    </w:p>
    <w:p>
      <w:pPr>
        <w:spacing w:after="90" w:line="276" w:lineRule="auto"/>
        <w:jc w:val="both"/>
      </w:pPr>
      <w:r>
        <w:rPr>
          <w:rFonts w:ascii="Calibri" w:hAnsi="Calibri"/>
          <w:color w:val="2F3A30"/>
          <w:sz w:val="21"/>
        </w:rPr>
        <w:t>Durante la pandemia, el gasto español subió hasta el 3,18% del PIB en 2020, por el aumento del paro y el uso masivo de los ERTE, y volvió después a niveles similares a los previos. Ese aumento no mejoró la protección individual: reflejó el mayor número de beneficiarios, como corresponde a un estabilizador automático. En suma, España no gasta más porque sea más generosa, sino porque tiene muchos más desempleados que atender.</w:t>
      </w:r>
    </w:p>
    <w:p>
      <w:pPr>
        <w:pStyle w:val="Heading2"/>
        <w:keepNext/>
        <w:spacing w:before="360" w:after="100"/>
        <w:jc w:val="left"/>
      </w:pPr>
      <w:r>
        <w:rPr>
          <w:rFonts w:ascii="Outfit" w:hAnsi="Outfit"/>
          <w:b/>
          <w:color w:val="76927A"/>
          <w:sz w:val="25"/>
        </w:rPr>
        <w:t>3.2. Generosidad real: las tasas de reemplazo</w:t>
      </w:r>
    </w:p>
    <w:p>
      <w:pPr>
        <w:spacing w:after="90" w:line="276" w:lineRule="auto"/>
        <w:jc w:val="both"/>
      </w:pPr>
      <w:r>
        <w:rPr>
          <w:rFonts w:ascii="Calibri" w:hAnsi="Calibri"/>
          <w:color w:val="2F3A30"/>
          <w:sz w:val="21"/>
        </w:rPr>
        <w:t xml:space="preserve">La </w:t>
      </w:r>
      <w:r>
        <w:rPr>
          <w:rFonts w:ascii="Calibri" w:hAnsi="Calibri"/>
          <w:b/>
          <w:color w:val="113927"/>
          <w:sz w:val="21"/>
        </w:rPr>
        <w:t>tasa de reemplazo neta</w:t>
      </w:r>
      <w:r>
        <w:rPr>
          <w:rFonts w:ascii="Calibri" w:hAnsi="Calibri"/>
          <w:color w:val="2F3A30"/>
          <w:sz w:val="21"/>
        </w:rPr>
        <w:t>, calculada por la OCDE, mide el porcentaje del ingreso neto de un trabajador que se sustituye con las prestaciones netas por desempleo y otras ayudas (familiares o de vivienda). Incorpora el diseño de las prestaciones y el sistema fiscal y de ayudas de cada país.</w:t>
      </w:r>
    </w:p>
    <w:p>
      <w:pPr>
        <w:keepNext/>
        <w:spacing w:before="160" w:after="60"/>
        <w:jc w:val="center"/>
      </w:pPr>
      <w:r>
        <w:drawing>
          <wp:inline xmlns:a="http://schemas.openxmlformats.org/drawingml/2006/main" xmlns:pic="http://schemas.openxmlformats.org/drawingml/2006/picture">
            <wp:extent cx="5669280" cy="2239833"/>
            <wp:docPr id="3" name="Picture 3"/>
            <wp:cNvGraphicFramePr>
              <a:graphicFrameLocks noChangeAspect="1"/>
            </wp:cNvGraphicFramePr>
            <a:graphic>
              <a:graphicData uri="http://schemas.openxmlformats.org/drawingml/2006/picture">
                <pic:pic>
                  <pic:nvPicPr>
                    <pic:cNvPr id="0" name="tasas_reemplazo.png"/>
                    <pic:cNvPicPr/>
                  </pic:nvPicPr>
                  <pic:blipFill>
                    <a:blip r:embed="rId11"/>
                    <a:stretch>
                      <a:fillRect/>
                    </a:stretch>
                  </pic:blipFill>
                  <pic:spPr>
                    <a:xfrm>
                      <a:off x="0" y="0"/>
                      <a:ext cx="5669280" cy="2239833"/>
                    </a:xfrm>
                    <a:prstGeom prst="rect"/>
                  </pic:spPr>
                </pic:pic>
              </a:graphicData>
            </a:graphic>
          </wp:inline>
        </w:drawing>
      </w:r>
    </w:p>
    <w:p>
      <w:pPr>
        <w:keepNext/>
        <w:spacing w:before="0" w:after="20"/>
        <w:jc w:val="center"/>
      </w:pPr>
      <w:r>
        <w:rPr>
          <w:rFonts w:ascii="Outfit" w:hAnsi="Outfit"/>
          <w:b/>
          <w:color w:val="113927"/>
          <w:sz w:val="18"/>
        </w:rPr>
        <w:t>Figura 3.2: Tasas de reemplazo netas iniciales por tipo de hogar (2022).</w:t>
      </w:r>
    </w:p>
    <w:p>
      <w:pPr>
        <w:spacing w:before="0" w:after="160"/>
        <w:jc w:val="center"/>
      </w:pPr>
      <w:r>
        <w:rPr>
          <w:rFonts w:ascii="Calibri" w:hAnsi="Calibri"/>
          <w:i/>
          <w:color w:val="76927A"/>
          <w:sz w:val="16"/>
        </w:rPr>
        <w:t>Fuente: Elaboración propia para Políticas Sociolaborales (UPO) a partir de OCDE, modelo de impuestos y prestaciones (Tax-Benefit Model).</w:t>
      </w:r>
    </w:p>
    <w:p>
      <w:pPr>
        <w:spacing w:after="90" w:line="276" w:lineRule="auto"/>
        <w:jc w:val="both"/>
      </w:pPr>
      <w:r>
        <w:rPr>
          <w:rFonts w:ascii="Calibri" w:hAnsi="Calibri"/>
          <w:color w:val="2F3A30"/>
          <w:sz w:val="21"/>
        </w:rPr>
        <w:t>Para una persona soltera sin hijos con salario medio, la tasa de reemplazo inicial en España era del 67% en 2022, algo por encima de la media de la OCDE (65%) e inferior a la de Francia (72%) o Italia (71%). Para una pareja con un único ingreso y dos hijos alcanzaba el 71%, en la franja baja europea frente a Suecia (75%), Italia (76%) o Francia (74%), que incorporan complementos familiares o ayudas a la vivienda más potentes. Estas tasas se refieren al primer mes de desempleo. Como la prestación española baja al 50% de la base reguladora a partir del séptimo mes, la tasa efectiva cae con la duración del paro de forma más marcada que en países que mantienen porcentajes más estables.</w:t>
      </w:r>
    </w:p>
    <w:p>
      <w:pPr>
        <w:pStyle w:val="Heading2"/>
        <w:keepNext/>
        <w:spacing w:before="360" w:after="100"/>
        <w:jc w:val="left"/>
      </w:pPr>
      <w:r>
        <w:rPr>
          <w:rFonts w:ascii="Outfit" w:hAnsi="Outfit"/>
          <w:b/>
          <w:color w:val="76927A"/>
          <w:sz w:val="25"/>
        </w:rPr>
        <w:t>3.3. Duración máxima de la protección</w:t>
      </w:r>
    </w:p>
    <w:p>
      <w:pPr>
        <w:spacing w:after="90" w:line="276" w:lineRule="auto"/>
        <w:jc w:val="both"/>
      </w:pPr>
      <w:r>
        <w:rPr>
          <w:rFonts w:ascii="Calibri" w:hAnsi="Calibri"/>
          <w:color w:val="2F3A30"/>
          <w:sz w:val="21"/>
        </w:rPr>
        <w:t>Con un máximo de 24 meses para quienes han cotizado seis años o más, España se sitúa en la franja alta europea:</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2304"/>
            <w:shd w:val="clear" w:color="auto" w:fill="113927"/>
            <w:tcMar>
              <w:top w:w="100" w:type="dxa"/>
              <w:left w:w="120" w:type="dxa"/>
              <w:bottom w:w="100" w:type="dxa"/>
              <w:right w:w="120" w:type="dxa"/>
            </w:tcMar>
          </w:tcPr>
          <w:p>
            <w:pPr>
              <w:spacing w:after="0"/>
              <w:jc w:val="left"/>
            </w:pPr>
            <w:r>
              <w:rPr>
                <w:rFonts w:ascii="Outfit" w:hAnsi="Outfit"/>
                <w:b/>
                <w:color w:val="FFFFFF"/>
                <w:sz w:val="19"/>
              </w:rPr>
              <w:t>País</w:t>
            </w:r>
          </w:p>
        </w:tc>
        <w:tc>
          <w:tcPr>
            <w:tcW w:type="dxa" w:w="2592"/>
            <w:shd w:val="clear" w:color="auto" w:fill="113927"/>
            <w:tcMar>
              <w:top w:w="100" w:type="dxa"/>
              <w:left w:w="120" w:type="dxa"/>
              <w:bottom w:w="100" w:type="dxa"/>
              <w:right w:w="120" w:type="dxa"/>
            </w:tcMar>
          </w:tcPr>
          <w:p>
            <w:pPr>
              <w:spacing w:after="0"/>
              <w:jc w:val="left"/>
            </w:pPr>
            <w:r>
              <w:rPr>
                <w:rFonts w:ascii="Outfit" w:hAnsi="Outfit"/>
                <w:b/>
                <w:color w:val="FFFFFF"/>
                <w:sz w:val="19"/>
              </w:rPr>
              <w:t>Duración máxima (meses)</w:t>
            </w:r>
          </w:p>
        </w:tc>
        <w:tc>
          <w:tcPr>
            <w:tcW w:type="dxa" w:w="4464"/>
            <w:shd w:val="clear" w:color="auto" w:fill="113927"/>
            <w:tcMar>
              <w:top w:w="100" w:type="dxa"/>
              <w:left w:w="120" w:type="dxa"/>
              <w:bottom w:w="100" w:type="dxa"/>
              <w:right w:w="120" w:type="dxa"/>
            </w:tcMar>
          </w:tcPr>
          <w:p>
            <w:pPr>
              <w:spacing w:after="0"/>
              <w:jc w:val="left"/>
            </w:pPr>
            <w:r>
              <w:rPr>
                <w:rFonts w:ascii="Outfit" w:hAnsi="Outfit"/>
                <w:b/>
                <w:color w:val="FFFFFF"/>
                <w:sz w:val="19"/>
              </w:rPr>
              <w:t>Observaciones</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España</w:t>
            </w:r>
          </w:p>
        </w:tc>
        <w:tc>
          <w:tcPr>
            <w:tcW w:type="dxa" w:w="2592"/>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24</w:t>
            </w:r>
          </w:p>
        </w:tc>
        <w:tc>
          <w:tcPr>
            <w:tcW w:type="dxa" w:w="446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Requiere seis años de cotización</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Alemania</w:t>
            </w:r>
          </w:p>
        </w:tc>
        <w:tc>
          <w:tcPr>
            <w:tcW w:type="dxa" w:w="2592"/>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24</w:t>
            </w:r>
          </w:p>
        </w:tc>
        <w:tc>
          <w:tcPr>
            <w:tcW w:type="dxa" w:w="446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Solo para mayores de 58 años</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Francia</w:t>
            </w:r>
          </w:p>
        </w:tc>
        <w:tc>
          <w:tcPr>
            <w:tcW w:type="dxa" w:w="2592"/>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27</w:t>
            </w:r>
          </w:p>
        </w:tc>
        <w:tc>
          <w:tcPr>
            <w:tcW w:type="dxa" w:w="446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Hasta 36 meses para mayores de 55 años</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Italia</w:t>
            </w:r>
          </w:p>
        </w:tc>
        <w:tc>
          <w:tcPr>
            <w:tcW w:type="dxa" w:w="2592"/>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24</w:t>
            </w:r>
          </w:p>
        </w:tc>
        <w:tc>
          <w:tcPr>
            <w:tcW w:type="dxa" w:w="446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Mitad de las semanas cotizadas</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Portugal</w:t>
            </w:r>
          </w:p>
        </w:tc>
        <w:tc>
          <w:tcPr>
            <w:tcW w:type="dxa" w:w="2592"/>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18</w:t>
            </w:r>
          </w:p>
        </w:tc>
        <w:tc>
          <w:tcPr>
            <w:tcW w:type="dxa" w:w="446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Hasta 26 meses para mayores de 50 años</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Suecia</w:t>
            </w:r>
          </w:p>
        </w:tc>
        <w:tc>
          <w:tcPr>
            <w:tcW w:type="dxa" w:w="2592"/>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14</w:t>
            </w:r>
          </w:p>
        </w:tc>
        <w:tc>
          <w:tcPr>
            <w:tcW w:type="dxa" w:w="446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21 meses con hijos menores de 18 años</w:t>
            </w:r>
          </w:p>
        </w:tc>
      </w:tr>
    </w:tbl>
    <w:p>
      <w:pPr>
        <w:spacing w:after="120"/>
      </w:pPr>
    </w:p>
    <w:p>
      <w:pPr>
        <w:spacing w:after="90" w:line="276" w:lineRule="auto"/>
        <w:jc w:val="both"/>
      </w:pPr>
      <w:r>
        <w:rPr>
          <w:rFonts w:ascii="Calibri" w:hAnsi="Calibri"/>
          <w:color w:val="2F3A30"/>
          <w:sz w:val="21"/>
        </w:rPr>
        <w:t xml:space="preserve">Estas diferencias reflejan filosofías distintas: el modelo mediterráneo tiende a duraciones largas con tasas de reemplazo moderadas, mientras el nórdico combina duraciones más cortas, tasas más altas y servicios de activación mucho más desarrollados. La evidencia muestra además un </w:t>
      </w:r>
      <w:r>
        <w:rPr>
          <w:rFonts w:ascii="Calibri" w:hAnsi="Calibri"/>
          <w:b/>
          <w:color w:val="113927"/>
          <w:sz w:val="21"/>
        </w:rPr>
        <w:t>efecto horizonte</w:t>
      </w:r>
      <w:r>
        <w:rPr>
          <w:rFonts w:ascii="Calibri" w:hAnsi="Calibri"/>
          <w:color w:val="2F3A30"/>
          <w:sz w:val="21"/>
        </w:rPr>
        <w:t>: la intensidad de búsqueda aumenta a medida que se acerca el agotamiento de la prestación (epígrafe 5.3). Por eso, duraciones muy largas pueden prolongar el paro si no se acompañan de activación efectiva.</w:t>
      </w:r>
    </w:p>
    <w:p>
      <w:pPr>
        <w:pStyle w:val="Heading2"/>
        <w:keepNext/>
        <w:spacing w:before="360" w:after="100"/>
        <w:jc w:val="left"/>
      </w:pPr>
      <w:r>
        <w:rPr>
          <w:rFonts w:ascii="Outfit" w:hAnsi="Outfit"/>
          <w:b/>
          <w:color w:val="76927A"/>
          <w:sz w:val="25"/>
        </w:rPr>
        <w:t>3.4. Conclusión: un sistema intermedio con desafíos específicos</w:t>
      </w:r>
    </w:p>
    <w:p>
      <w:pPr>
        <w:spacing w:after="90" w:line="276" w:lineRule="auto"/>
        <w:jc w:val="both"/>
      </w:pPr>
      <w:r>
        <w:rPr>
          <w:rFonts w:ascii="Calibri" w:hAnsi="Calibri"/>
          <w:color w:val="2F3A30"/>
          <w:sz w:val="21"/>
        </w:rPr>
        <w:t>El sistema español no es especialmente generoso ni especialmente restrictivo: tiene tasas de reemplazo intermedias y una duración relativamente larga, pero opera en un mercado laboral con un paro estructural muy superior al de sus vecinos. La paradoja de un gasto agregado alto con una protección individual moderada se explica por ese paro elevado. Sin reducir el desempleo estructural, los ajustes paramétricos de las prestaciones tendrán un efecto limitado.</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10 (SEMANA 7) — ACTIVACIÓN, CONTROL Y EFECTOS SOBRE LA BÚSQUEDA DE EMPLEO</w:t>
            </w:r>
          </w:p>
          <w:p>
            <w:pPr>
              <w:keepNext/>
              <w:spacing w:before="0" w:after="0" w:line="276" w:lineRule="auto"/>
              <w:jc w:val="both"/>
            </w:pPr>
            <w:r>
              <w:rPr>
                <w:rFonts w:ascii="Calibri" w:hAnsi="Calibri"/>
                <w:color w:val="2F3A30"/>
                <w:sz w:val="19"/>
              </w:rPr>
              <w:t>Línea 1: martes 27/10, 09:30-11:30. Línea 2: viernes 30/10, 17:30-19:30. Es la semana de la EPD 2. Contenido: epígrafe 4 (Complemento de Apoyo al Empleo, vinculación con las políticas activas, extinción, colocación adecuada y régimen sancionador) y epígrafes 5.1 a 5.4 (evidencia sobre los efectos de las prestaciones). Lectura autónoma: epígrafe 5.5.</w:t>
            </w:r>
          </w:p>
        </w:tc>
      </w:tr>
    </w:tbl>
    <w:p>
      <w:pPr>
        <w:spacing w:before="0" w:after="80"/>
      </w:pPr>
    </w:p>
    <w:p>
      <w:pPr>
        <w:pStyle w:val="Heading1"/>
        <w:keepNext/>
        <w:spacing w:before="520" w:after="120"/>
        <w:jc w:val="left"/>
      </w:pPr>
      <w:r>
        <w:rPr>
          <w:rFonts w:ascii="Outfit" w:hAnsi="Outfit"/>
          <w:b/>
          <w:color w:val="113927"/>
          <w:sz w:val="30"/>
        </w:rPr>
        <w:t>4. ACTIVACIÓN, CONTROL Y EXTINCIÓN DE LAS PRESTACIONES</w:t>
      </w:r>
    </w:p>
    <w:p>
      <w:pPr>
        <w:pStyle w:val="Heading2"/>
        <w:keepNext/>
        <w:spacing w:before="360" w:after="100"/>
        <w:jc w:val="left"/>
      </w:pPr>
      <w:r>
        <w:rPr>
          <w:rFonts w:ascii="Outfit" w:hAnsi="Outfit"/>
          <w:b/>
          <w:color w:val="76927A"/>
          <w:sz w:val="25"/>
        </w:rPr>
        <w:t>4.1. Compatibilizar prestación y empleo: el Complemento de Apoyo al Empleo</w:t>
      </w:r>
    </w:p>
    <w:p>
      <w:pPr>
        <w:spacing w:after="90" w:line="276" w:lineRule="auto"/>
        <w:jc w:val="both"/>
      </w:pPr>
      <w:r>
        <w:rPr>
          <w:rFonts w:ascii="Calibri" w:hAnsi="Calibri"/>
          <w:color w:val="2F3A30"/>
          <w:sz w:val="21"/>
        </w:rPr>
        <w:t xml:space="preserve">Tradicionalmente, aceptar un empleo, incluso temporal o a tiempo parcial, suponía perder la prestación, un efecto de «todo o nada» que desincentivaba aceptar esos empleos. El </w:t>
      </w:r>
      <w:r>
        <w:rPr>
          <w:rFonts w:ascii="Calibri" w:hAnsi="Calibri"/>
          <w:b/>
          <w:color w:val="113927"/>
          <w:sz w:val="21"/>
        </w:rPr>
        <w:t>Complemento de Apoyo al Empleo (CAE)</w:t>
      </w:r>
      <w:r>
        <w:rPr>
          <w:rFonts w:ascii="Calibri" w:hAnsi="Calibri"/>
          <w:color w:val="2F3A30"/>
          <w:sz w:val="21"/>
        </w:rPr>
        <w:t>, introducido por la reforma de 2024, permite seguir cobrando una parte de la prestación tras encontrar un trabajo por cuenta ajena. Tiene dos modalidades.</w:t>
      </w:r>
    </w:p>
    <w:p>
      <w:pPr>
        <w:spacing w:after="90" w:line="276" w:lineRule="auto"/>
        <w:jc w:val="both"/>
      </w:pPr>
      <w:r>
        <w:rPr>
          <w:rFonts w:ascii="Calibri" w:hAnsi="Calibri"/>
          <w:color w:val="2F3A30"/>
          <w:sz w:val="21"/>
        </w:rPr>
        <w:t xml:space="preserve">El </w:t>
      </w:r>
      <w:r>
        <w:rPr>
          <w:rFonts w:ascii="Calibri" w:hAnsi="Calibri"/>
          <w:b/>
          <w:color w:val="113927"/>
          <w:sz w:val="21"/>
        </w:rPr>
        <w:t>CAE asistencial</w:t>
      </w:r>
      <w:r>
        <w:rPr>
          <w:rFonts w:ascii="Calibri" w:hAnsi="Calibri"/>
          <w:color w:val="2F3A30"/>
          <w:sz w:val="21"/>
        </w:rPr>
        <w:t xml:space="preserve"> permite compatibilizar el subsidio con un empleo durante un máximo de 180 días. Su cuantía es un porcentaje del IPREM que depende de la jornada y disminuye con el tiempo: en el primer trimestre del subsidio es del 80% del IPREM para un empleo a jornada completa (480 euros al mes con el IPREM de 2026) y del 60% para jornadas inferiores al 50%; en el segundo trimestre baja al 60% y al 40%, respectivamente, y sigue descendiendo en los siguientes. El </w:t>
      </w:r>
      <w:r>
        <w:rPr>
          <w:rFonts w:ascii="Calibri" w:hAnsi="Calibri"/>
          <w:b/>
          <w:color w:val="113927"/>
          <w:sz w:val="21"/>
        </w:rPr>
        <w:t>CAE contributivo</w:t>
      </w:r>
      <w:r>
        <w:rPr>
          <w:rFonts w:ascii="Calibri" w:hAnsi="Calibri"/>
          <w:color w:val="2F3A30"/>
          <w:sz w:val="21"/>
        </w:rPr>
        <w:t xml:space="preserve"> se aplica a quienes tienen derecho a una prestación contributiva de más de doce meses y han cobrado ya al menos nueve; permite compatibilizarla con un empleo cuyo salario no supere el 375% del IPREM.</w:t>
      </w:r>
    </w:p>
    <w:p>
      <w:pPr>
        <w:spacing w:after="90" w:line="276" w:lineRule="auto"/>
        <w:jc w:val="both"/>
      </w:pPr>
      <w:r>
        <w:rPr>
          <w:rFonts w:ascii="Calibri" w:hAnsi="Calibri"/>
          <w:color w:val="2F3A30"/>
          <w:sz w:val="21"/>
        </w:rPr>
        <w:t xml:space="preserve">La lógica del CAE es la misma que se desarrolla en el epígrafe 8: reducir el </w:t>
      </w:r>
      <w:r>
        <w:rPr>
          <w:rFonts w:ascii="Calibri" w:hAnsi="Calibri"/>
          <w:b/>
          <w:color w:val="113927"/>
          <w:sz w:val="21"/>
        </w:rPr>
        <w:t>tipo marginal efectivo</w:t>
      </w:r>
      <w:r>
        <w:rPr>
          <w:rFonts w:ascii="Calibri" w:hAnsi="Calibri"/>
          <w:color w:val="2F3A30"/>
          <w:sz w:val="21"/>
        </w:rPr>
        <w:t xml:space="preserve"> que soporta un desempleado cuando empieza a trabajar. Una persona que cobra 570 euros de subsidio y acepta un empleo a jornada completa conserva 480 euros de complemento durante el primer trimestre, de modo que el empleo le reporta casi íntegramente su salario.</w:t>
      </w:r>
    </w:p>
    <w:p>
      <w:pPr>
        <w:pStyle w:val="Heading2"/>
        <w:keepNext/>
        <w:spacing w:before="360" w:after="100"/>
        <w:jc w:val="left"/>
      </w:pPr>
      <w:r>
        <w:rPr>
          <w:rFonts w:ascii="Outfit" w:hAnsi="Outfit"/>
          <w:b/>
          <w:color w:val="76927A"/>
          <w:sz w:val="25"/>
        </w:rPr>
        <w:t>4.2. Vinculación con las políticas activas</w:t>
      </w:r>
    </w:p>
    <w:p>
      <w:pPr>
        <w:spacing w:after="90" w:line="276" w:lineRule="auto"/>
        <w:jc w:val="both"/>
      </w:pPr>
      <w:r>
        <w:rPr>
          <w:rFonts w:ascii="Calibri" w:hAnsi="Calibri"/>
          <w:color w:val="2F3A30"/>
          <w:sz w:val="21"/>
        </w:rPr>
        <w:t xml:space="preserve">La prestación ha dejado de concebirse como un derecho prácticamente incondicionado para integrarse en un sistema de protección y activación. Los beneficiarios deben suscribir un </w:t>
      </w:r>
      <w:r>
        <w:rPr>
          <w:rFonts w:ascii="Calibri" w:hAnsi="Calibri"/>
          <w:b/>
          <w:color w:val="113927"/>
          <w:sz w:val="21"/>
        </w:rPr>
        <w:t>acuerdo o compromiso de actividad</w:t>
      </w:r>
      <w:r>
        <w:rPr>
          <w:rFonts w:ascii="Calibri" w:hAnsi="Calibri"/>
          <w:color w:val="2F3A30"/>
          <w:sz w:val="21"/>
        </w:rPr>
        <w:t xml:space="preserve">, mantener la inscripción como demandantes de empleo, aceptar ofertas adecuadas y participar en acciones de orientación y formación. Como contrapartida, la reforma de 2024 y la Ley de Empleo garantizan a los perceptores del subsidio el acceso a un </w:t>
      </w:r>
      <w:r>
        <w:rPr>
          <w:rFonts w:ascii="Calibri" w:hAnsi="Calibri"/>
          <w:b/>
          <w:color w:val="113927"/>
          <w:sz w:val="21"/>
        </w:rPr>
        <w:t>itinerario personalizado</w:t>
      </w:r>
      <w:r>
        <w:rPr>
          <w:rFonts w:ascii="Calibri" w:hAnsi="Calibri"/>
          <w:color w:val="2F3A30"/>
          <w:sz w:val="21"/>
        </w:rPr>
        <w:t xml:space="preserve"> adaptado a sus competencias, a las oportunidades del mercado local, a sus necesidades formativas y a sus circunstancias personales.</w:t>
      </w:r>
    </w:p>
    <w:p>
      <w:pPr>
        <w:spacing w:after="90" w:line="276" w:lineRule="auto"/>
        <w:jc w:val="both"/>
      </w:pPr>
      <w:r>
        <w:rPr>
          <w:rFonts w:ascii="Calibri" w:hAnsi="Calibri"/>
          <w:color w:val="2F3A30"/>
          <w:sz w:val="21"/>
        </w:rPr>
        <w:t>La evidencia sugiere que esta integración mejora los resultados cuando los servicios activos son de calidad, el seguimiento es personalizado y la inversión en servicios de empleo es suficiente. Un sistema que impone obligaciones sin ofrecer servicios eficaces puede generar frustración sin mejorar la inserción, un riesgo relevante en España dados los recursos limitados de sus servicios de empleo (Tema 2, epígrafe 7).</w:t>
      </w:r>
    </w:p>
    <w:p>
      <w:pPr>
        <w:pStyle w:val="Heading2"/>
        <w:keepNext/>
        <w:spacing w:before="360" w:after="100"/>
        <w:jc w:val="left"/>
      </w:pPr>
      <w:r>
        <w:rPr>
          <w:rFonts w:ascii="Outfit" w:hAnsi="Outfit"/>
          <w:b/>
          <w:color w:val="76927A"/>
          <w:sz w:val="25"/>
        </w:rPr>
        <w:t>4.3. Causas de extinción de las prestaciones</w:t>
      </w:r>
    </w:p>
    <w:p>
      <w:pPr>
        <w:spacing w:after="90" w:line="276" w:lineRule="auto"/>
        <w:jc w:val="both"/>
      </w:pPr>
      <w:r>
        <w:rPr>
          <w:rFonts w:ascii="Calibri" w:hAnsi="Calibri"/>
          <w:color w:val="2F3A30"/>
          <w:sz w:val="21"/>
        </w:rPr>
        <w:t xml:space="preserve">Las causas de extinción se agrupan en tres categorías. La </w:t>
      </w:r>
      <w:r>
        <w:rPr>
          <w:rFonts w:ascii="Calibri" w:hAnsi="Calibri"/>
          <w:b/>
          <w:color w:val="113927"/>
          <w:sz w:val="21"/>
        </w:rPr>
        <w:t>extinción natural</w:t>
      </w:r>
      <w:r>
        <w:rPr>
          <w:rFonts w:ascii="Calibri" w:hAnsi="Calibri"/>
          <w:color w:val="2F3A30"/>
          <w:sz w:val="21"/>
        </w:rPr>
        <w:t xml:space="preserve"> se produce al agotarse el periodo reconocido o al pasar a jubilación o incapacidad permanente. La </w:t>
      </w:r>
      <w:r>
        <w:rPr>
          <w:rFonts w:ascii="Calibri" w:hAnsi="Calibri"/>
          <w:b/>
          <w:color w:val="113927"/>
          <w:sz w:val="21"/>
        </w:rPr>
        <w:t>extinción por colocación</w:t>
      </w:r>
      <w:r>
        <w:rPr>
          <w:rFonts w:ascii="Calibri" w:hAnsi="Calibri"/>
          <w:color w:val="2F3A30"/>
          <w:sz w:val="21"/>
        </w:rPr>
        <w:t xml:space="preserve"> se produce cuando el beneficiario trabaja por cuenta ajena doce meses o más; los empleos más cortos solo </w:t>
      </w:r>
      <w:r>
        <w:rPr>
          <w:rFonts w:ascii="Calibri" w:hAnsi="Calibri"/>
          <w:b/>
          <w:color w:val="113927"/>
          <w:sz w:val="21"/>
        </w:rPr>
        <w:t>suspenden</w:t>
      </w:r>
      <w:r>
        <w:rPr>
          <w:rFonts w:ascii="Calibri" w:hAnsi="Calibri"/>
          <w:color w:val="2F3A30"/>
          <w:sz w:val="21"/>
        </w:rPr>
        <w:t xml:space="preserve"> la prestación, que se reanuda al terminar el contrato. En el trabajo por cuenta propia la suspensión puede durar hasta 24 meses, o 60 meses para menores de 30 años, lo que favorece el emprendimiento juvenil. Por último, la </w:t>
      </w:r>
      <w:r>
        <w:rPr>
          <w:rFonts w:ascii="Calibri" w:hAnsi="Calibri"/>
          <w:b/>
          <w:color w:val="113927"/>
          <w:sz w:val="21"/>
        </w:rPr>
        <w:t>extinción por incumplimiento</w:t>
      </w:r>
      <w:r>
        <w:rPr>
          <w:rFonts w:ascii="Calibri" w:hAnsi="Calibri"/>
          <w:color w:val="2F3A30"/>
          <w:sz w:val="21"/>
        </w:rPr>
        <w:t xml:space="preserve"> deriva del rechazo injustificado de ofertas adecuadas, de la negativa a participar en acciones de formación o empleo y de incumplimientos administrativos.</w:t>
      </w:r>
    </w:p>
    <w:p>
      <w:pPr>
        <w:pStyle w:val="Heading2"/>
        <w:keepNext/>
        <w:spacing w:before="360" w:after="100"/>
        <w:jc w:val="left"/>
      </w:pPr>
      <w:r>
        <w:rPr>
          <w:rFonts w:ascii="Outfit" w:hAnsi="Outfit"/>
          <w:b/>
          <w:color w:val="76927A"/>
          <w:sz w:val="25"/>
        </w:rPr>
        <w:t>4.4. El concepto de colocación adecuada</w:t>
      </w:r>
    </w:p>
    <w:p>
      <w:pPr>
        <w:spacing w:after="90" w:line="276" w:lineRule="auto"/>
        <w:jc w:val="both"/>
      </w:pPr>
      <w:r>
        <w:rPr>
          <w:rFonts w:ascii="Calibri" w:hAnsi="Calibri"/>
          <w:color w:val="2F3A30"/>
          <w:sz w:val="21"/>
        </w:rPr>
        <w:t xml:space="preserve">La </w:t>
      </w:r>
      <w:r>
        <w:rPr>
          <w:rFonts w:ascii="Calibri" w:hAnsi="Calibri"/>
          <w:b/>
          <w:color w:val="113927"/>
          <w:sz w:val="21"/>
        </w:rPr>
        <w:t>colocación adecuada</w:t>
      </w:r>
      <w:r>
        <w:rPr>
          <w:rFonts w:ascii="Calibri" w:hAnsi="Calibri"/>
          <w:color w:val="2F3A30"/>
          <w:sz w:val="21"/>
        </w:rPr>
        <w:t xml:space="preserve"> determina qué ofertas debe aceptar un beneficiario para mantener su prestación, y se amplía a medida que se prolonga el paro. Durante el primer año se considera adecuada la colocación en la última actividad desempeñada durante al menos tres meses; después, se extiende a otras ocupaciones que el servicio público de empleo considere apropiadas. Se valoran además la distancia, con una referencia general de 30 kilómetros que admite excepciones según el tiempo y el coste del desplazamiento; el salario, que debe garantizar al menos el salario mínimo descontados los gastos de desplazamiento; y las circunstancias personales, como las responsabilidades de cuidado, la discapacidad o la violencia de género.</w:t>
      </w:r>
    </w:p>
    <w:p>
      <w:pPr>
        <w:pStyle w:val="Heading2"/>
        <w:keepNext/>
        <w:spacing w:before="360" w:after="100"/>
        <w:jc w:val="left"/>
      </w:pPr>
      <w:r>
        <w:rPr>
          <w:rFonts w:ascii="Outfit" w:hAnsi="Outfit"/>
          <w:b/>
          <w:color w:val="76927A"/>
          <w:sz w:val="25"/>
        </w:rPr>
        <w:t>4.5. El compromiso de actividad y el régimen sancionador</w:t>
      </w:r>
    </w:p>
    <w:p>
      <w:pPr>
        <w:spacing w:after="90" w:line="276" w:lineRule="auto"/>
        <w:jc w:val="both"/>
      </w:pPr>
      <w:r>
        <w:rPr>
          <w:rFonts w:ascii="Calibri" w:hAnsi="Calibri"/>
          <w:color w:val="2F3A30"/>
          <w:sz w:val="21"/>
        </w:rPr>
        <w:t xml:space="preserve">El compromiso de actividad expresa la naturaleza bilateral del sistema: el Estado proporciona protección económica y el beneficiario asume una actitud activa hacia su reinserción. Los incumplimientos se sancionan de forma graduada. Las infracciones </w:t>
      </w:r>
      <w:r>
        <w:rPr>
          <w:rFonts w:ascii="Calibri" w:hAnsi="Calibri"/>
          <w:b/>
          <w:color w:val="113927"/>
          <w:sz w:val="21"/>
        </w:rPr>
        <w:t>leves</w:t>
      </w:r>
      <w:r>
        <w:rPr>
          <w:rFonts w:ascii="Calibri" w:hAnsi="Calibri"/>
          <w:color w:val="2F3A30"/>
          <w:sz w:val="21"/>
        </w:rPr>
        <w:t xml:space="preserve">, como los retrasos en la renovación de la demanda, conllevan amonestaciones o suspensiones breves; las </w:t>
      </w:r>
      <w:r>
        <w:rPr>
          <w:rFonts w:ascii="Calibri" w:hAnsi="Calibri"/>
          <w:b/>
          <w:color w:val="113927"/>
          <w:sz w:val="21"/>
        </w:rPr>
        <w:t>graves</w:t>
      </w:r>
      <w:r>
        <w:rPr>
          <w:rFonts w:ascii="Calibri" w:hAnsi="Calibri"/>
          <w:color w:val="2F3A30"/>
          <w:sz w:val="21"/>
        </w:rPr>
        <w:t xml:space="preserve">, como rechazar sin causa una oferta adecuada o no asistir a la formación, suspensiones más largas; y las </w:t>
      </w:r>
      <w:r>
        <w:rPr>
          <w:rFonts w:ascii="Calibri" w:hAnsi="Calibri"/>
          <w:b/>
          <w:color w:val="113927"/>
          <w:sz w:val="21"/>
        </w:rPr>
        <w:t>muy graves</w:t>
      </w:r>
      <w:r>
        <w:rPr>
          <w:rFonts w:ascii="Calibri" w:hAnsi="Calibri"/>
          <w:color w:val="2F3A30"/>
          <w:sz w:val="21"/>
        </w:rPr>
        <w:t>, como el fraude o trabajar sin declararlo mientras se cobra, la extinción de la prestación y el reintegro de lo percibido, además de posibles responsabilidades penales.</w:t>
      </w:r>
    </w:p>
    <w:p>
      <w:pPr>
        <w:pStyle w:val="Heading1"/>
        <w:keepNext/>
        <w:spacing w:before="520" w:after="120"/>
        <w:jc w:val="left"/>
      </w:pPr>
      <w:r>
        <w:rPr>
          <w:rFonts w:ascii="Outfit" w:hAnsi="Outfit"/>
          <w:b/>
          <w:color w:val="113927"/>
          <w:sz w:val="30"/>
        </w:rPr>
        <w:t>5. EFECTOS Y EFICACIA DE LAS POLÍTICAS PASIVAS DE EMPLEO</w:t>
      </w:r>
    </w:p>
    <w:p>
      <w:pPr>
        <w:spacing w:after="90" w:line="276" w:lineRule="auto"/>
        <w:jc w:val="both"/>
      </w:pPr>
      <w:r>
        <w:rPr>
          <w:rFonts w:ascii="Calibri" w:hAnsi="Calibri"/>
          <w:color w:val="2F3A30"/>
          <w:sz w:val="21"/>
        </w:rPr>
        <w:t>En las últimas décadas, el acceso a datos administrativos y el desarrollo de métodos cuasiexperimentales, como los estudiados en el Tema 2 (epígrafe 6), han permitido establecer relaciones causales creíbles entre prestaciones y resultados laborales. Este epígrafe resume esa evidencia.</w:t>
      </w:r>
    </w:p>
    <w:p>
      <w:pPr>
        <w:pStyle w:val="Heading2"/>
        <w:keepNext/>
        <w:spacing w:before="360" w:after="100"/>
        <w:jc w:val="left"/>
      </w:pPr>
      <w:r>
        <w:rPr>
          <w:rFonts w:ascii="Outfit" w:hAnsi="Outfit"/>
          <w:b/>
          <w:color w:val="76927A"/>
          <w:sz w:val="25"/>
        </w:rPr>
        <w:t>5.1. La justificación económica de las prestaciones por desempleo</w:t>
      </w:r>
    </w:p>
    <w:p>
      <w:pPr>
        <w:spacing w:after="90" w:line="276" w:lineRule="auto"/>
        <w:jc w:val="both"/>
      </w:pPr>
      <w:r>
        <w:rPr>
          <w:rFonts w:ascii="Calibri" w:hAnsi="Calibri"/>
          <w:color w:val="2F3A30"/>
          <w:sz w:val="21"/>
        </w:rPr>
        <w:t xml:space="preserve">La justificación económica de las prestaciones reside en su </w:t>
      </w:r>
      <w:r>
        <w:rPr>
          <w:rFonts w:ascii="Calibri" w:hAnsi="Calibri"/>
          <w:b/>
          <w:color w:val="113927"/>
          <w:sz w:val="21"/>
        </w:rPr>
        <w:t>función aseguradora</w:t>
      </w:r>
      <w:r>
        <w:rPr>
          <w:rFonts w:ascii="Calibri" w:hAnsi="Calibri"/>
          <w:color w:val="2F3A30"/>
          <w:sz w:val="21"/>
        </w:rPr>
        <w:t>. La pérdida del empleo puede reducir los ingresos entre un 30% y un 50%, y sin seguro el consumo cae con fuerza. Gruber (1997) estimó con datos estadounidenses que, sin prestaciones, la caída del consumo al perder el empleo superaría el 20%, frente al 7% observado con ellas.</w:t>
      </w:r>
    </w:p>
    <w:p>
      <w:pPr>
        <w:spacing w:after="90" w:line="276" w:lineRule="auto"/>
        <w:jc w:val="both"/>
      </w:pPr>
      <w:r>
        <w:rPr>
          <w:rFonts w:ascii="Calibri" w:hAnsi="Calibri"/>
          <w:color w:val="2F3A30"/>
          <w:sz w:val="21"/>
        </w:rPr>
        <w:t xml:space="preserve">Los mercados privados no ofrecen este seguro por tres razones. La </w:t>
      </w:r>
      <w:r>
        <w:rPr>
          <w:rFonts w:ascii="Calibri" w:hAnsi="Calibri"/>
          <w:b/>
          <w:color w:val="113927"/>
          <w:sz w:val="21"/>
        </w:rPr>
        <w:t>selección adversa</w:t>
      </w:r>
      <w:r>
        <w:rPr>
          <w:rFonts w:ascii="Calibri" w:hAnsi="Calibri"/>
          <w:color w:val="2F3A30"/>
          <w:sz w:val="21"/>
        </w:rPr>
        <w:t xml:space="preserve">: se asegurarían sobre todo quienes tienen más riesgo de paro, lo que encarecería las primas y expulsaría a los de bajo riesgo. El </w:t>
      </w:r>
      <w:r>
        <w:rPr>
          <w:rFonts w:ascii="Calibri" w:hAnsi="Calibri"/>
          <w:b/>
          <w:color w:val="113927"/>
          <w:sz w:val="21"/>
        </w:rPr>
        <w:t>riesgo moral</w:t>
      </w:r>
      <w:r>
        <w:rPr>
          <w:rFonts w:ascii="Calibri" w:hAnsi="Calibri"/>
          <w:color w:val="2F3A30"/>
          <w:sz w:val="21"/>
        </w:rPr>
        <w:t xml:space="preserve">: cualquier seguro reduce el incentivo a evitar el suceso asegurado. Y las </w:t>
      </w:r>
      <w:r>
        <w:rPr>
          <w:rFonts w:ascii="Calibri" w:hAnsi="Calibri"/>
          <w:b/>
          <w:color w:val="113927"/>
          <w:sz w:val="21"/>
        </w:rPr>
        <w:t>imperfecciones del mercado de crédito</w:t>
      </w:r>
      <w:r>
        <w:rPr>
          <w:rFonts w:ascii="Calibri" w:hAnsi="Calibri"/>
          <w:color w:val="2F3A30"/>
          <w:sz w:val="21"/>
        </w:rPr>
        <w:t>, que impiden a los desempleados endeudarse para mantener su consumo. El seguro público obligatorio elimina la selección adversa y reparte el riesgo entre toda la población trabajadora.</w:t>
      </w:r>
    </w:p>
    <w:p>
      <w:pPr>
        <w:spacing w:after="90" w:line="276" w:lineRule="auto"/>
        <w:jc w:val="both"/>
      </w:pPr>
      <w:r>
        <w:rPr>
          <w:rFonts w:ascii="Calibri" w:hAnsi="Calibri"/>
          <w:color w:val="2F3A30"/>
          <w:sz w:val="21"/>
        </w:rPr>
        <w:t xml:space="preserve">Las prestaciones también alteran los incentivos. Los modelos de búsqueda de empleo de McCall (1970) y Mortensen (1977) muestran que el desempleado elige su intensidad de búsqueda y su </w:t>
      </w:r>
      <w:r>
        <w:rPr>
          <w:rFonts w:ascii="Calibri" w:hAnsi="Calibri"/>
          <w:b/>
          <w:color w:val="113927"/>
          <w:sz w:val="21"/>
        </w:rPr>
        <w:t>salario de reserva</w:t>
      </w:r>
      <w:r>
        <w:rPr>
          <w:rFonts w:ascii="Calibri" w:hAnsi="Calibri"/>
          <w:color w:val="2F3A30"/>
          <w:sz w:val="21"/>
        </w:rPr>
        <w:t>, el mínimo que está dispuesto a aceptar (Tema 1, epígrafe 3). La prestación eleva el valor de seguir buscando y, con él, el salario de reserva. La tensión entre ofrecer un seguro valioso y distorsionar los incentivos es el dilema central del diseño.</w:t>
      </w:r>
    </w:p>
    <w:p>
      <w:pPr>
        <w:pStyle w:val="Heading2"/>
        <w:keepNext/>
        <w:spacing w:before="360" w:after="100"/>
        <w:jc w:val="left"/>
      </w:pPr>
      <w:r>
        <w:rPr>
          <w:rFonts w:ascii="Outfit" w:hAnsi="Outfit"/>
          <w:b/>
          <w:color w:val="76927A"/>
          <w:sz w:val="25"/>
        </w:rPr>
        <w:t>5.2. Liquidez frente a riesgo moral</w:t>
      </w:r>
    </w:p>
    <w:p>
      <w:pPr>
        <w:spacing w:after="90" w:line="276" w:lineRule="auto"/>
        <w:jc w:val="both"/>
      </w:pPr>
      <w:r>
        <w:rPr>
          <w:rFonts w:ascii="Calibri" w:hAnsi="Calibri"/>
          <w:color w:val="2F3A30"/>
          <w:sz w:val="21"/>
        </w:rPr>
        <w:t xml:space="preserve">Chetty (2008) distinguió dos mecanismos por los que las prestaciones alargan el paro. El </w:t>
      </w:r>
      <w:r>
        <w:rPr>
          <w:rFonts w:ascii="Calibri" w:hAnsi="Calibri"/>
          <w:b/>
          <w:color w:val="113927"/>
          <w:sz w:val="21"/>
        </w:rPr>
        <w:t>efecto riesgo moral</w:t>
      </w:r>
      <w:r>
        <w:rPr>
          <w:rFonts w:ascii="Calibri" w:hAnsi="Calibri"/>
          <w:color w:val="2F3A30"/>
          <w:sz w:val="21"/>
        </w:rPr>
        <w:t xml:space="preserve"> es el tradicional: la prestación reduce la ganancia neta de trabajar y el desempleado busca con menos intensidad. Es un efecto que reduce el bienestar, porque genera duraciones del paro socialmente ineficientes. El </w:t>
      </w:r>
      <w:r>
        <w:rPr>
          <w:rFonts w:ascii="Calibri" w:hAnsi="Calibri"/>
          <w:b/>
          <w:color w:val="113927"/>
          <w:sz w:val="21"/>
        </w:rPr>
        <w:t>efecto liquidez</w:t>
      </w:r>
      <w:r>
        <w:rPr>
          <w:rFonts w:ascii="Calibri" w:hAnsi="Calibri"/>
          <w:color w:val="2F3A30"/>
          <w:sz w:val="21"/>
        </w:rPr>
        <w:t xml:space="preserve"> es distinto: un desempleado sin ahorros ni acceso al crédito se ve obligado a aceptar cualquier oferta para cubrir sus gastos, y la prestación le permite rechazar empleos de baja calidad y seguir buscando uno mejor ajustado. En este caso el paro más largo refleja una búsqueda más eficiente.</w:t>
      </w:r>
    </w:p>
    <w:p>
      <w:pPr>
        <w:spacing w:after="90" w:line="276" w:lineRule="auto"/>
        <w:jc w:val="both"/>
      </w:pPr>
      <w:r>
        <w:rPr>
          <w:rFonts w:ascii="Calibri" w:hAnsi="Calibri"/>
          <w:color w:val="2F3A30"/>
          <w:sz w:val="21"/>
        </w:rPr>
        <w:t xml:space="preserve">Para separar ambos efectos, Chetty utilizó dos estrategias. Comprobó que la prestación alarga mucho más el paro de los hogares con pocos activos líquidos, como predice el efecto liquidez. Y utilizó las </w:t>
      </w:r>
      <w:r>
        <w:rPr>
          <w:rFonts w:ascii="Calibri" w:hAnsi="Calibri"/>
          <w:b/>
          <w:color w:val="113927"/>
          <w:sz w:val="21"/>
        </w:rPr>
        <w:t>indemnizaciones por despido</w:t>
      </w:r>
      <w:r>
        <w:rPr>
          <w:rFonts w:ascii="Calibri" w:hAnsi="Calibri"/>
          <w:color w:val="2F3A30"/>
          <w:sz w:val="21"/>
        </w:rPr>
        <w:t xml:space="preserve">, que aportan liquidez pero no dependen de seguir en paro: si todo fuera riesgo moral, no deberían alargar el desempleo, y sí lo hacían en los hogares con restricciones de liquidez. Su estimación es que alrededor del </w:t>
      </w:r>
      <w:r>
        <w:rPr>
          <w:rFonts w:ascii="Calibri" w:hAnsi="Calibri"/>
          <w:b/>
          <w:color w:val="113927"/>
          <w:sz w:val="21"/>
        </w:rPr>
        <w:t>60%</w:t>
      </w:r>
      <w:r>
        <w:rPr>
          <w:rFonts w:ascii="Calibri" w:hAnsi="Calibri"/>
          <w:color w:val="2F3A30"/>
          <w:sz w:val="21"/>
        </w:rPr>
        <w:t xml:space="preserve"> del efecto de las prestaciones sobre la duración del paro se debe a la liquidez, lo que implica tasas de reemplazo óptimas más altas de lo que sugerían los cálculos que ignoraban este canal.</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DF4F0"/>
            <w:tcMar>
              <w:top w:w="140" w:type="dxa"/>
              <w:left w:w="200" w:type="dxa"/>
              <w:bottom w:w="140" w:type="dxa"/>
              <w:right w:w="160" w:type="dxa"/>
            </w:tcMar>
            <w:tcBorders>
              <w:top w:val="none"/>
              <w:left w:val="single" w:sz="26" w:space="0" w:color="E98F71"/>
              <w:bottom w:val="none"/>
              <w:right w:val="none"/>
            </w:tcBorders>
          </w:tcPr>
          <w:p>
            <w:pPr>
              <w:keepNext/>
              <w:spacing w:before="0" w:after="40"/>
              <w:jc w:val="left"/>
            </w:pPr>
            <w:r>
              <w:rPr>
                <w:rFonts w:ascii="Outfit" w:hAnsi="Outfit"/>
                <w:b/>
                <w:color w:val="E98F71"/>
                <w:sz w:val="19"/>
              </w:rPr>
              <w:t>⚠️  ALERTA DE EXAMEN: UN PARO MÁS LARGO NO SIEMPRE ES PEOR</w:t>
            </w:r>
          </w:p>
          <w:p>
            <w:pPr>
              <w:keepNext/>
              <w:spacing w:before="0" w:after="0" w:line="276" w:lineRule="auto"/>
              <w:jc w:val="both"/>
            </w:pPr>
            <w:r>
              <w:rPr>
                <w:rFonts w:ascii="Calibri" w:hAnsi="Calibri"/>
                <w:color w:val="2F3A30"/>
                <w:sz w:val="19"/>
              </w:rPr>
              <w:t>Que una prestación alargue la duración del desempleo no demuestra que genere riesgo moral. Si el alargamiento se debe al efecto liquidez, el desempleado está buscando un empleo mejor, no evitando trabajar. La pregunta relevante es qué parte del efecto corresponde a cada mecanismo.</w:t>
            </w:r>
          </w:p>
        </w:tc>
      </w:tr>
    </w:tbl>
    <w:p>
      <w:pPr>
        <w:spacing w:before="0" w:after="80"/>
      </w:pPr>
    </w:p>
    <w:p>
      <w:pPr>
        <w:pStyle w:val="Heading2"/>
        <w:keepNext/>
        <w:spacing w:before="360" w:after="100"/>
        <w:jc w:val="left"/>
      </w:pPr>
      <w:r>
        <w:rPr>
          <w:rFonts w:ascii="Outfit" w:hAnsi="Outfit"/>
          <w:b/>
          <w:color w:val="76927A"/>
          <w:sz w:val="25"/>
        </w:rPr>
        <w:t>5.3. Efectos sobre la duración del desempleo</w:t>
      </w:r>
    </w:p>
    <w:p>
      <w:pPr>
        <w:spacing w:after="90" w:line="276" w:lineRule="auto"/>
        <w:jc w:val="both"/>
      </w:pPr>
      <w:r>
        <w:rPr>
          <w:rFonts w:ascii="Calibri" w:hAnsi="Calibri"/>
          <w:color w:val="2F3A30"/>
          <w:sz w:val="21"/>
        </w:rPr>
        <w:t>El resultado más replicado de la literatura es que las prestaciones aumentan la duración del desempleo, aunque las magnitudes se han revisado a la baja. Katz y Meyer (1990) estimaron, con datos de doce estados de Estados Unidos, que cada semana adicional de duración potencial de la prestación alargaba el paro entre 0,16 y 0,20 semanas.</w:t>
      </w:r>
    </w:p>
    <w:p>
      <w:pPr>
        <w:spacing w:after="90" w:line="276" w:lineRule="auto"/>
        <w:jc w:val="both"/>
      </w:pPr>
      <w:r>
        <w:rPr>
          <w:rFonts w:ascii="Calibri" w:hAnsi="Calibri"/>
          <w:color w:val="2F3A30"/>
          <w:sz w:val="21"/>
        </w:rPr>
        <w:t xml:space="preserve">Schmieder, von Wachter y Bender (2012) utilizaron veinte años de datos administrativos alemanes y aprovecharon que la duración potencial de la prestación aumenta de forma discontinua con la edad: un trabajador de 41 años y 364 días tenía derecho a 12 meses y uno de 42 años, a 18. Como ambos son prácticamente idénticos salvo en su derecho, la comparación es un experimento natural, una </w:t>
      </w:r>
      <w:r>
        <w:rPr>
          <w:rFonts w:ascii="Calibri" w:hAnsi="Calibri"/>
          <w:b/>
          <w:color w:val="113927"/>
          <w:sz w:val="21"/>
        </w:rPr>
        <w:t>regresión discontinua</w:t>
      </w:r>
      <w:r>
        <w:rPr>
          <w:rFonts w:ascii="Calibri" w:hAnsi="Calibri"/>
          <w:color w:val="2F3A30"/>
          <w:sz w:val="21"/>
        </w:rPr>
        <w:t xml:space="preserve"> como la descrita en el Tema 2. Encontraron efectos moderados y documentaron </w:t>
      </w:r>
      <w:r>
        <w:rPr>
          <w:rFonts w:ascii="Calibri" w:hAnsi="Calibri"/>
          <w:b/>
          <w:color w:val="113927"/>
          <w:sz w:val="21"/>
        </w:rPr>
        <w:t>picos en la salida del paro justo antes del agotamiento</w:t>
      </w:r>
      <w:r>
        <w:rPr>
          <w:rFonts w:ascii="Calibri" w:hAnsi="Calibri"/>
          <w:color w:val="2F3A30"/>
          <w:sz w:val="21"/>
        </w:rPr>
        <w:t xml:space="preserve"> de la prestación, el efecto horizonte mencionado en el epígrafe 3.3.</w:t>
      </w:r>
    </w:p>
    <w:p>
      <w:pPr>
        <w:spacing w:after="90" w:line="276" w:lineRule="auto"/>
        <w:jc w:val="both"/>
      </w:pPr>
      <w:r>
        <w:rPr>
          <w:rFonts w:ascii="Calibri" w:hAnsi="Calibri"/>
          <w:color w:val="2F3A30"/>
          <w:sz w:val="21"/>
        </w:rPr>
        <w:t xml:space="preserve">Un metaanálisis reciente (Cohen y Ganong, 2024) ha detectado </w:t>
      </w:r>
      <w:r>
        <w:rPr>
          <w:rFonts w:ascii="Calibri" w:hAnsi="Calibri"/>
          <w:b/>
          <w:color w:val="113927"/>
          <w:sz w:val="21"/>
        </w:rPr>
        <w:t>sesgo de publicación</w:t>
      </w:r>
      <w:r>
        <w:rPr>
          <w:rFonts w:ascii="Calibri" w:hAnsi="Calibri"/>
          <w:color w:val="2F3A30"/>
          <w:sz w:val="21"/>
        </w:rPr>
        <w:t xml:space="preserve"> en esta literatura: los resultados estadísticamente significativos tienen ocho veces más probabilidad de publicarse. Al corregirlo, la elasticidad media de la duración del paro respecto a la prestación se reduce en un tercio. El consenso actual apunta a efectos moderados: prolongar la prestación de 12 a 18 meses alarga el paro esperado bastante menos que en esa proporción.</w:t>
      </w:r>
    </w:p>
    <w:p>
      <w:pPr>
        <w:pStyle w:val="Heading2"/>
        <w:keepNext/>
        <w:spacing w:before="360" w:after="100"/>
        <w:jc w:val="left"/>
      </w:pPr>
      <w:r>
        <w:rPr>
          <w:rFonts w:ascii="Outfit" w:hAnsi="Outfit"/>
          <w:b/>
          <w:color w:val="76927A"/>
          <w:sz w:val="25"/>
        </w:rPr>
        <w:t>5.4. Calidad del emparejamiento y estabilización macroeconómica</w:t>
      </w:r>
    </w:p>
    <w:p>
      <w:pPr>
        <w:spacing w:after="90" w:line="276" w:lineRule="auto"/>
        <w:jc w:val="both"/>
      </w:pPr>
      <w:r>
        <w:rPr>
          <w:rFonts w:ascii="Calibri" w:hAnsi="Calibri"/>
          <w:color w:val="2F3A30"/>
          <w:sz w:val="21"/>
        </w:rPr>
        <w:t xml:space="preserve">Si las prestaciones alargan el paro, cabe preguntarse si permiten encontrar mejores empleos. Nekoei y Weber (2017), con discontinuidades de edad en Austria, encontraron que las extensiones de la prestación mejoraban los salarios de reincorporación al permitir una búsqueda más selectiva, sobre todo para trabajadores con restricciones de liquidez. Schmieder, von Wachter y Bender (2016) hallaron en Alemania el efecto contrario: el paro más largo reducía los salarios posteriores por </w:t>
      </w:r>
      <w:r>
        <w:rPr>
          <w:rFonts w:ascii="Calibri" w:hAnsi="Calibri"/>
          <w:b/>
          <w:color w:val="113927"/>
          <w:sz w:val="21"/>
        </w:rPr>
        <w:t>dependencia negativa de la duración</w:t>
      </w:r>
      <w:r>
        <w:rPr>
          <w:rFonts w:ascii="Calibri" w:hAnsi="Calibri"/>
          <w:color w:val="2F3A30"/>
          <w:sz w:val="21"/>
        </w:rPr>
        <w:t>, es decir, por depreciación de habilidades, pérdida de contactos o estigma. La evidencia apunta a efectos positivos modestos cuando las fricciones de emparejamiento y las restricciones de liquidez son importantes.</w:t>
      </w:r>
    </w:p>
    <w:p>
      <w:pPr>
        <w:spacing w:after="90" w:line="276" w:lineRule="auto"/>
        <w:jc w:val="both"/>
      </w:pPr>
      <w:r>
        <w:rPr>
          <w:rFonts w:ascii="Calibri" w:hAnsi="Calibri"/>
          <w:color w:val="2F3A30"/>
          <w:sz w:val="21"/>
        </w:rPr>
        <w:t>En el plano macroeconómico, las prestaciones son estabilizadores automáticos potentes porque transfieren renta a hogares con alta propensión a consumir. Kekre (2023) estima que las extensiones de las prestaciones durante la Gran Recesión tuvieron un multiplicador cercano a 1 y redujeron la tasa de paro. Di Maggio y Kermani (2016) estimaron un multiplicador local de 1,92 en los condados estadounidenses, especialmente elevado en recesión.</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LECTURA AUTÓNOMA · EPÍGRAFE 5.5</w:t>
            </w:r>
          </w:p>
          <w:p>
            <w:pPr>
              <w:keepNext/>
              <w:spacing w:before="0" w:after="0" w:line="276" w:lineRule="auto"/>
              <w:jc w:val="both"/>
            </w:pPr>
            <w:r>
              <w:rPr>
                <w:rFonts w:ascii="Calibri" w:hAnsi="Calibri"/>
                <w:color w:val="2F3A30"/>
                <w:sz w:val="19"/>
              </w:rPr>
              <w:t>El epígrafe 5.5 no se explica en clase.</w:t>
            </w:r>
          </w:p>
        </w:tc>
      </w:tr>
    </w:tbl>
    <w:p>
      <w:pPr>
        <w:spacing w:before="0" w:after="80"/>
      </w:pPr>
    </w:p>
    <w:p>
      <w:pPr>
        <w:pStyle w:val="Heading2"/>
        <w:keepNext/>
        <w:spacing w:before="360" w:after="100"/>
        <w:jc w:val="left"/>
      </w:pPr>
      <w:r>
        <w:rPr>
          <w:rFonts w:ascii="Outfit" w:hAnsi="Outfit"/>
          <w:b/>
          <w:color w:val="76927A"/>
          <w:sz w:val="25"/>
        </w:rPr>
        <w:t>5.5. Balance de la evidencia</w:t>
      </w:r>
    </w:p>
    <w:p>
      <w:pPr>
        <w:spacing w:after="90" w:line="276" w:lineRule="auto"/>
        <w:jc w:val="both"/>
      </w:pPr>
      <w:r>
        <w:rPr>
          <w:rFonts w:ascii="Calibri" w:hAnsi="Calibri"/>
          <w:color w:val="2F3A30"/>
          <w:sz w:val="21"/>
        </w:rPr>
        <w:t>La evidencia permite extraer varias conclusiones. Las prestaciones proporcionan un seguro valioso frente a las caídas de consumo; una parte sustancial de su efecto sobre la duración del paro refleja la corrección de restricciones de liquidez y no una distorsión pura; los efectos sobre la duración son moderados una vez corregido el sesgo de publicación; y su papel como estabilizadores es relevante en las recesiones. Persisten, sin embargo, dilemas entre seguro y eficiencia, simplicidad y ajuste fino, y generosidad y sostenibilidad, que la evidencia informa pero no resuelve por sí sola.</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11 (SEMANA 8) — LOS HUECOS DE LA PROTECCIÓN Y LA GARANTÍA DE RENTAS: DEL SUBSIDIO AL IMV</w:t>
            </w:r>
          </w:p>
          <w:p>
            <w:pPr>
              <w:keepNext/>
              <w:spacing w:before="0" w:after="0" w:line="276" w:lineRule="auto"/>
              <w:jc w:val="both"/>
            </w:pPr>
            <w:r>
              <w:rPr>
                <w:rFonts w:ascii="Calibri" w:hAnsi="Calibri"/>
                <w:color w:val="2F3A30"/>
                <w:sz w:val="19"/>
              </w:rPr>
              <w:t>Línea 1: martes 03/11, 09:30-11:30. Línea 2: viernes 06/11, 17:30-19:30. Es la base teórica del Caso 2 de EPD (EPD 4 y 5). Contenido: epígrafes 6.1 a 6.3 (cobertura, paro de larga duración y dualidad), epígrafe 7 (garantía de rentas e Ingreso Mínimo Vital), epígrafe 8 (trampa de la pobreza y tipo marginal efectivo) y epígrafe 9 (conclusiones). Lectura autónoma: epígrafes 6.4 y 6.5.</w:t>
            </w:r>
          </w:p>
        </w:tc>
      </w:tr>
    </w:tbl>
    <w:p>
      <w:pPr>
        <w:spacing w:before="0" w:after="80"/>
      </w:pPr>
    </w:p>
    <w:p>
      <w:pPr>
        <w:pStyle w:val="Heading1"/>
        <w:keepNext/>
        <w:spacing w:before="520" w:after="120"/>
        <w:jc w:val="left"/>
      </w:pPr>
      <w:r>
        <w:rPr>
          <w:rFonts w:ascii="Outfit" w:hAnsi="Outfit"/>
          <w:b/>
          <w:color w:val="113927"/>
          <w:sz w:val="30"/>
        </w:rPr>
        <w:t>6. DESAFÍOS Y PROBLEMAS ACTUALES DEL SISTEMA</w:t>
      </w:r>
    </w:p>
    <w:p>
      <w:pPr>
        <w:pStyle w:val="Heading2"/>
        <w:keepNext/>
        <w:spacing w:before="360" w:after="100"/>
        <w:jc w:val="left"/>
      </w:pPr>
      <w:r>
        <w:rPr>
          <w:rFonts w:ascii="Outfit" w:hAnsi="Outfit"/>
          <w:b/>
          <w:color w:val="76927A"/>
          <w:sz w:val="25"/>
        </w:rPr>
        <w:t>6.1. El problema de la cobertura insuficiente</w:t>
      </w:r>
    </w:p>
    <w:p>
      <w:pPr>
        <w:spacing w:after="90" w:line="276" w:lineRule="auto"/>
        <w:jc w:val="both"/>
      </w:pPr>
      <w:r>
        <w:rPr>
          <w:rFonts w:ascii="Calibri" w:hAnsi="Calibri"/>
          <w:color w:val="2F3A30"/>
          <w:sz w:val="21"/>
        </w:rPr>
        <w:t>Uno de los problemas más relevantes del sistema es la proporción de desempleados que no recibe ninguna prestación. La prestación contributiva llega aproximadamente a uno de cada cuatro desempleados, y el nivel asistencial ofrece una protección económica mucho más limitada. La falta de cobertura afecta sobre todo a jóvenes y trabajadores temporales que no logran acumular el periodo de cotización necesario, de modo que las desigualdades del mercado laboral se trasladan al sistema de protección.</w:t>
      </w:r>
    </w:p>
    <w:p>
      <w:pPr>
        <w:pStyle w:val="Heading2"/>
        <w:keepNext/>
        <w:spacing w:before="360" w:after="100"/>
        <w:jc w:val="left"/>
      </w:pPr>
      <w:r>
        <w:rPr>
          <w:rFonts w:ascii="Outfit" w:hAnsi="Outfit"/>
          <w:b/>
          <w:color w:val="76927A"/>
          <w:sz w:val="25"/>
        </w:rPr>
        <w:t>6.2. Desempleo de larga duración y agotamiento de prestaciones</w:t>
      </w:r>
    </w:p>
    <w:p>
      <w:pPr>
        <w:spacing w:after="90" w:line="276" w:lineRule="auto"/>
        <w:jc w:val="both"/>
      </w:pPr>
      <w:r>
        <w:rPr>
          <w:rFonts w:ascii="Calibri" w:hAnsi="Calibri"/>
          <w:color w:val="2F3A30"/>
          <w:sz w:val="21"/>
        </w:rPr>
        <w:t>El sistema se diseñó para proteger episodios de paro temporales. Muchos desempleados agotan incluso los 24 meses de prestación máxima antes de encontrar empleo, en especial los trabajadores de más edad, afectados por prejuicios, obsolescencia de competencias o la desaparición de sus ocupaciones. Salvo el subsidio para mayores de 52 años, el sistema de desempleo no tiene instrumentos específicos para el paro de muy larga duración. Cuando se agotan también los subsidios y los ahorros familiares, la protección pasa al último nivel de la red: las rentas mínimas (epígrafe 7).</w:t>
      </w:r>
    </w:p>
    <w:p>
      <w:pPr>
        <w:pStyle w:val="Heading2"/>
        <w:keepNext/>
        <w:spacing w:before="360" w:after="100"/>
        <w:jc w:val="left"/>
      </w:pPr>
      <w:r>
        <w:rPr>
          <w:rFonts w:ascii="Outfit" w:hAnsi="Outfit"/>
          <w:b/>
          <w:color w:val="76927A"/>
          <w:sz w:val="25"/>
        </w:rPr>
        <w:t>6.3. El caso español: dualidad laboral</w:t>
      </w:r>
    </w:p>
    <w:p>
      <w:pPr>
        <w:spacing w:after="90" w:line="276" w:lineRule="auto"/>
        <w:jc w:val="both"/>
      </w:pPr>
      <w:r>
        <w:rPr>
          <w:rFonts w:ascii="Calibri" w:hAnsi="Calibri"/>
          <w:color w:val="2F3A30"/>
          <w:sz w:val="21"/>
        </w:rPr>
        <w:t>La dualidad laboral española ha sido de las más acusadas de la OCDE. Su origen está en la reforma de 1984, que liberalizó la contratación temporal manteniendo una alta protección para los indefinidos. Antes de la reforma laboral de 2021, en torno al 90% de los contratos registrados eran temporales y la tasa de temporalidad de los asalariados rondaba el 25%. Tras la reforma, la temporalidad ha bajado al 15% (EPA, segundo trimestre de 2026), con una tasa de paro del 9,9%, que sigue siendo de las más altas de la Unión Europea.</w:t>
      </w:r>
    </w:p>
    <w:p>
      <w:pPr>
        <w:spacing w:after="90" w:line="276" w:lineRule="auto"/>
        <w:jc w:val="both"/>
      </w:pPr>
      <w:r>
        <w:rPr>
          <w:rFonts w:ascii="Calibri" w:hAnsi="Calibri"/>
          <w:color w:val="2F3A30"/>
          <w:sz w:val="21"/>
        </w:rPr>
        <w:t>La investigación española, basada en la Muestra Continua de Vidas Laborales, aporta resultados relevantes. Rebollo-Sanz y Rodríguez-Planas (2020) estudiaron la reforma de 2012, que redujo la prestación del 60% al 50% de la base reguladora a partir del séptimo mes, y encontraron un aumento sustancial de la probabilidad de reincorporación sin reducción de los salarios de los nuevos empleos. Bentolila, García-Pérez y Jansen (2017) documentaron una fuerte dependencia negativa de la duración en la salida del paro de larga duración. Rebollo-Sanz (2012) encontró evidencia de «riesgo moral del empleador»: el riesgo de despido aumenta cuando el trabajador acumula derecho a prestación.</w:t>
      </w:r>
    </w:p>
    <w:p>
      <w:pPr>
        <w:spacing w:after="90" w:line="276" w:lineRule="auto"/>
        <w:jc w:val="both"/>
      </w:pPr>
      <w:r>
        <w:rPr>
          <w:rFonts w:ascii="Calibri" w:hAnsi="Calibri"/>
          <w:color w:val="2F3A30"/>
          <w:sz w:val="21"/>
        </w:rPr>
        <w:t>La interacción entre prestaciones y dualidad genera dinámicas perversas. Los temporales acumulan menos cotizaciones y tienen menos protección, y los indefinidos quedan parcialmente protegidos por el colchón de temporales que absorbe los ajustes. Para España, la evidencia sugiere que corregir la dualidad es prioritario frente a los ajustes marginales de las prestaciones.</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LECTURA AUTÓNOMA · EPÍGRAFES 6.4 Y 6.5</w:t>
            </w:r>
          </w:p>
          <w:p>
            <w:pPr>
              <w:keepNext/>
              <w:spacing w:before="0" w:after="0" w:line="276" w:lineRule="auto"/>
              <w:jc w:val="both"/>
            </w:pPr>
            <w:r>
              <w:rPr>
                <w:rFonts w:ascii="Calibri" w:hAnsi="Calibri"/>
                <w:color w:val="2F3A30"/>
                <w:sz w:val="19"/>
              </w:rPr>
              <w:t>Los epígrafes 6.4 y 6.5 no se explican en clase.</w:t>
            </w:r>
          </w:p>
        </w:tc>
      </w:tr>
    </w:tbl>
    <w:p>
      <w:pPr>
        <w:spacing w:before="0" w:after="80"/>
      </w:pPr>
    </w:p>
    <w:p>
      <w:pPr>
        <w:pStyle w:val="Heading2"/>
        <w:keepNext/>
        <w:spacing w:before="360" w:after="100"/>
        <w:jc w:val="left"/>
      </w:pPr>
      <w:r>
        <w:rPr>
          <w:rFonts w:ascii="Outfit" w:hAnsi="Outfit"/>
          <w:b/>
          <w:color w:val="76927A"/>
          <w:sz w:val="25"/>
        </w:rPr>
        <w:t>6.4. Suficiencia y sostenibilidad del sistema</w:t>
      </w:r>
    </w:p>
    <w:p>
      <w:pPr>
        <w:spacing w:after="90" w:line="276" w:lineRule="auto"/>
        <w:jc w:val="both"/>
      </w:pPr>
      <w:r>
        <w:rPr>
          <w:rFonts w:ascii="Calibri" w:hAnsi="Calibri"/>
          <w:color w:val="2F3A30"/>
          <w:sz w:val="21"/>
        </w:rPr>
        <w:t>La reducción de la cuantía con el tiempo y los topes máximos reducen de forma notable la capacidad adquisitiva de muchos beneficiarios, lo que puede llevarles a aceptar empleos muy precarios o por debajo de su cualificación, o a complementar ingresos en la economía sumergida. Al mismo tiempo, el paro estructural y la precariedad dificultan la generación de derechos y reducen las cotizaciones que financian el nivel contributivo, en un círculo de protección insuficiente.</w:t>
      </w:r>
    </w:p>
    <w:p>
      <w:pPr>
        <w:pStyle w:val="Heading2"/>
        <w:keepNext/>
        <w:spacing w:before="360" w:after="100"/>
        <w:jc w:val="left"/>
      </w:pPr>
      <w:r>
        <w:rPr>
          <w:rFonts w:ascii="Outfit" w:hAnsi="Outfit"/>
          <w:b/>
          <w:color w:val="76927A"/>
          <w:sz w:val="25"/>
        </w:rPr>
        <w:t>6.5. Necesidades de reforma en un contexto complejo</w:t>
      </w:r>
    </w:p>
    <w:p>
      <w:pPr>
        <w:spacing w:after="90" w:line="276" w:lineRule="auto"/>
        <w:jc w:val="both"/>
      </w:pPr>
      <w:r>
        <w:rPr>
          <w:rFonts w:ascii="Calibri" w:hAnsi="Calibri"/>
          <w:color w:val="2F3A30"/>
          <w:sz w:val="21"/>
        </w:rPr>
        <w:t>Cualquier reforma debe equilibrar una protección adecuada, los incentivos a la búsqueda, la sostenibilidad financiera y la adaptación a nuevas formas de empleo como la economía de plataformas o el teletrabajo. Las líneas de actuación incluyen reforzar la vinculación entre políticas activas y pasivas, crear mecanismos específicos para el paro de larga duración, mejorar la coordinación entre niveles de protección y adaptar el sistema a las nuevas relaciones laborales, dentro de una estrategia más amplia de modernización del mercado de trabajo.</w:t>
      </w:r>
    </w:p>
    <w:p>
      <w:pPr>
        <w:pStyle w:val="Heading1"/>
        <w:keepNext/>
        <w:spacing w:before="520" w:after="120"/>
        <w:jc w:val="left"/>
      </w:pPr>
      <w:r>
        <w:rPr>
          <w:rFonts w:ascii="Outfit" w:hAnsi="Outfit"/>
          <w:b/>
          <w:color w:val="113927"/>
          <w:sz w:val="30"/>
        </w:rPr>
        <w:t>7. LA GARANTÍA DE RENTAS: DE LAS RENTAS MÍNIMAS AUTONÓMICAS AL INGRESO MÍNIMO VITAL</w:t>
      </w:r>
    </w:p>
    <w:p>
      <w:pPr>
        <w:pStyle w:val="Heading2"/>
        <w:keepNext/>
        <w:spacing w:before="360" w:after="100"/>
        <w:jc w:val="left"/>
      </w:pPr>
      <w:r>
        <w:rPr>
          <w:rFonts w:ascii="Outfit" w:hAnsi="Outfit"/>
          <w:b/>
          <w:color w:val="76927A"/>
          <w:sz w:val="25"/>
        </w:rPr>
        <w:t>7.1. El último nivel de la red de protección</w:t>
      </w:r>
    </w:p>
    <w:p>
      <w:pPr>
        <w:spacing w:after="90" w:line="276" w:lineRule="auto"/>
        <w:jc w:val="both"/>
      </w:pPr>
      <w:r>
        <w:rPr>
          <w:rFonts w:ascii="Calibri" w:hAnsi="Calibri"/>
          <w:color w:val="2F3A30"/>
          <w:sz w:val="21"/>
        </w:rPr>
        <w:t xml:space="preserve">La protección frente a la falta de ingresos puede representarse como una red con tres niveles. El primero es la </w:t>
      </w:r>
      <w:r>
        <w:rPr>
          <w:rFonts w:ascii="Calibri" w:hAnsi="Calibri"/>
          <w:b/>
          <w:color w:val="113927"/>
          <w:sz w:val="21"/>
        </w:rPr>
        <w:t>prestación contributiva</w:t>
      </w:r>
      <w:r>
        <w:rPr>
          <w:rFonts w:ascii="Calibri" w:hAnsi="Calibri"/>
          <w:color w:val="2F3A30"/>
          <w:sz w:val="21"/>
        </w:rPr>
        <w:t xml:space="preserve">, un seguro ligado al empleo anterior. El segundo es el </w:t>
      </w:r>
      <w:r>
        <w:rPr>
          <w:rFonts w:ascii="Calibri" w:hAnsi="Calibri"/>
          <w:b/>
          <w:color w:val="113927"/>
          <w:sz w:val="21"/>
        </w:rPr>
        <w:t>subsidio por desempleo</w:t>
      </w:r>
      <w:r>
        <w:rPr>
          <w:rFonts w:ascii="Calibri" w:hAnsi="Calibri"/>
          <w:color w:val="2F3A30"/>
          <w:sz w:val="21"/>
        </w:rPr>
        <w:t xml:space="preserve">, asistencial pero todavía vinculado a haber trabajado o a situaciones concretas. El tercero es la </w:t>
      </w:r>
      <w:r>
        <w:rPr>
          <w:rFonts w:ascii="Calibri" w:hAnsi="Calibri"/>
          <w:b/>
          <w:color w:val="113927"/>
          <w:sz w:val="21"/>
        </w:rPr>
        <w:t>renta mínima o garantía de rentas</w:t>
      </w:r>
      <w:r>
        <w:rPr>
          <w:rFonts w:ascii="Calibri" w:hAnsi="Calibri"/>
          <w:color w:val="2F3A30"/>
          <w:sz w:val="21"/>
        </w:rPr>
        <w:t>, que no depende de la historia laboral sino de la situación de necesidad del hogar. Su objetivo no es sustituir un salario perdido, sino asegurar a todo hogar un nivel mínimo de ingresos.</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2354"/>
        <w:gridCol w:w="2354"/>
        <w:gridCol w:w="2354"/>
        <w:gridCol w:w="2354"/>
      </w:tblGrid>
      <w:tr>
        <w:trPr>
          <w:tblHeader w:val="true"/>
          <w:cantSplit/>
        </w:trPr>
        <w:tc>
          <w:tcPr>
            <w:tcW w:type="dxa" w:w="2304"/>
            <w:shd w:val="clear" w:color="auto" w:fill="113927"/>
            <w:tcMar>
              <w:top w:w="100" w:type="dxa"/>
              <w:left w:w="120" w:type="dxa"/>
              <w:bottom w:w="100" w:type="dxa"/>
              <w:right w:w="120" w:type="dxa"/>
            </w:tcMar>
          </w:tcPr>
          <w:p>
            <w:pPr>
              <w:spacing w:after="0"/>
              <w:jc w:val="left"/>
            </w:pPr>
            <w:r>
              <w:rPr>
                <w:rFonts w:ascii="Outfit" w:hAnsi="Outfit"/>
                <w:b/>
                <w:color w:val="FFFFFF"/>
                <w:sz w:val="19"/>
              </w:rPr>
              <w:t>Nivel</w:t>
            </w:r>
          </w:p>
        </w:tc>
        <w:tc>
          <w:tcPr>
            <w:tcW w:type="dxa" w:w="2160"/>
            <w:shd w:val="clear" w:color="auto" w:fill="113927"/>
            <w:tcMar>
              <w:top w:w="100" w:type="dxa"/>
              <w:left w:w="120" w:type="dxa"/>
              <w:bottom w:w="100" w:type="dxa"/>
              <w:right w:w="120" w:type="dxa"/>
            </w:tcMar>
          </w:tcPr>
          <w:p>
            <w:pPr>
              <w:spacing w:after="0"/>
              <w:jc w:val="left"/>
            </w:pPr>
            <w:r>
              <w:rPr>
                <w:rFonts w:ascii="Outfit" w:hAnsi="Outfit"/>
                <w:b/>
                <w:color w:val="FFFFFF"/>
                <w:sz w:val="19"/>
              </w:rPr>
              <w:t>Lógica</w:t>
            </w:r>
          </w:p>
        </w:tc>
        <w:tc>
          <w:tcPr>
            <w:tcW w:type="dxa" w:w="3024"/>
            <w:shd w:val="clear" w:color="auto" w:fill="113927"/>
            <w:tcMar>
              <w:top w:w="100" w:type="dxa"/>
              <w:left w:w="120" w:type="dxa"/>
              <w:bottom w:w="100" w:type="dxa"/>
              <w:right w:w="120" w:type="dxa"/>
            </w:tcMar>
          </w:tcPr>
          <w:p>
            <w:pPr>
              <w:spacing w:after="0"/>
              <w:jc w:val="left"/>
            </w:pPr>
            <w:r>
              <w:rPr>
                <w:rFonts w:ascii="Outfit" w:hAnsi="Outfit"/>
                <w:b/>
                <w:color w:val="FFFFFF"/>
                <w:sz w:val="19"/>
              </w:rPr>
              <w:t>Qué exige</w:t>
            </w:r>
          </w:p>
        </w:tc>
        <w:tc>
          <w:tcPr>
            <w:tcW w:type="dxa" w:w="1872"/>
            <w:shd w:val="clear" w:color="auto" w:fill="113927"/>
            <w:tcMar>
              <w:top w:w="100" w:type="dxa"/>
              <w:left w:w="120" w:type="dxa"/>
              <w:bottom w:w="100" w:type="dxa"/>
              <w:right w:w="120" w:type="dxa"/>
            </w:tcMar>
          </w:tcPr>
          <w:p>
            <w:pPr>
              <w:spacing w:after="0"/>
              <w:jc w:val="left"/>
            </w:pPr>
            <w:r>
              <w:rPr>
                <w:rFonts w:ascii="Outfit" w:hAnsi="Outfit"/>
                <w:b/>
                <w:color w:val="FFFFFF"/>
                <w:sz w:val="19"/>
              </w:rPr>
              <w:t>Unidad de referencia</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Prestación contributiva</w:t>
            </w:r>
          </w:p>
        </w:tc>
        <w:tc>
          <w:tcPr>
            <w:tcW w:type="dxa" w:w="216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Seguro</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Cotización previa (360 días)</w:t>
            </w:r>
          </w:p>
        </w:tc>
        <w:tc>
          <w:tcPr>
            <w:tcW w:type="dxa" w:w="1872"/>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Individuo</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Subsidio por desempleo</w:t>
            </w:r>
          </w:p>
        </w:tc>
        <w:tc>
          <w:tcPr>
            <w:tcW w:type="dxa" w:w="216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Asistencial ligada al empleo</w:t>
            </w:r>
          </w:p>
        </w:tc>
        <w:tc>
          <w:tcPr>
            <w:tcW w:type="dxa" w:w="302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Agotamiento o cotización insuficiente y rentas bajas</w:t>
            </w:r>
          </w:p>
        </w:tc>
        <w:tc>
          <w:tcPr>
            <w:tcW w:type="dxa" w:w="1872"/>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Individuo o unidad familiar</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Renta mínima (IMV)</w:t>
            </w:r>
          </w:p>
        </w:tc>
        <w:tc>
          <w:tcPr>
            <w:tcW w:type="dxa" w:w="216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Garantía de ingresos</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Vulnerabilidad económica del hogar</w:t>
            </w:r>
          </w:p>
        </w:tc>
        <w:tc>
          <w:tcPr>
            <w:tcW w:type="dxa" w:w="1872"/>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Unidad de convivencia</w:t>
            </w:r>
          </w:p>
        </w:tc>
      </w:tr>
    </w:tbl>
    <w:p>
      <w:pPr>
        <w:spacing w:after="120"/>
      </w:pPr>
    </w:p>
    <w:p>
      <w:pPr>
        <w:pStyle w:val="Heading2"/>
        <w:keepNext/>
        <w:spacing w:before="360" w:after="100"/>
        <w:jc w:val="left"/>
      </w:pPr>
      <w:r>
        <w:rPr>
          <w:rFonts w:ascii="Outfit" w:hAnsi="Outfit"/>
          <w:b/>
          <w:color w:val="76927A"/>
          <w:sz w:val="25"/>
        </w:rPr>
        <w:t>7.2. De las rentas mínimas autonómicas al IMV</w:t>
      </w:r>
    </w:p>
    <w:p>
      <w:pPr>
        <w:spacing w:after="90" w:line="276" w:lineRule="auto"/>
        <w:jc w:val="both"/>
      </w:pPr>
      <w:r>
        <w:rPr>
          <w:rFonts w:ascii="Calibri" w:hAnsi="Calibri"/>
          <w:color w:val="2F3A30"/>
          <w:sz w:val="21"/>
        </w:rPr>
        <w:t xml:space="preserve">Hasta 2020, el último nivel de la red lo formaban las </w:t>
      </w:r>
      <w:r>
        <w:rPr>
          <w:rFonts w:ascii="Calibri" w:hAnsi="Calibri"/>
          <w:b/>
          <w:color w:val="113927"/>
          <w:sz w:val="21"/>
        </w:rPr>
        <w:t>rentas mínimas de inserción</w:t>
      </w:r>
      <w:r>
        <w:rPr>
          <w:rFonts w:ascii="Calibri" w:hAnsi="Calibri"/>
          <w:color w:val="2F3A30"/>
          <w:sz w:val="21"/>
        </w:rPr>
        <w:t xml:space="preserve"> de las comunidades autónomas, desarrolladas desde finales de los años ochenta. Eran muy heterogéneas en cuantía, requisitos y cobertura, dependían de la capacidad presupuestaria de cada comunidad y dejaban fuera a una parte importante de los hogares pobres. En Andalucía, la prestación vigente es la Renta Mínima de Inserción Social, regulada en 2017.</w:t>
      </w:r>
    </w:p>
    <w:p>
      <w:pPr>
        <w:spacing w:after="90" w:line="276" w:lineRule="auto"/>
        <w:jc w:val="both"/>
      </w:pPr>
      <w:r>
        <w:rPr>
          <w:rFonts w:ascii="Calibri" w:hAnsi="Calibri"/>
          <w:color w:val="2F3A30"/>
          <w:sz w:val="21"/>
        </w:rPr>
        <w:t xml:space="preserve">El </w:t>
      </w:r>
      <w:r>
        <w:rPr>
          <w:rFonts w:ascii="Calibri" w:hAnsi="Calibri"/>
          <w:b/>
          <w:color w:val="113927"/>
          <w:sz w:val="21"/>
        </w:rPr>
        <w:t>Ingreso Mínimo Vital (IMV)</w:t>
      </w:r>
      <w:r>
        <w:rPr>
          <w:rFonts w:ascii="Calibri" w:hAnsi="Calibri"/>
          <w:color w:val="2F3A30"/>
          <w:sz w:val="21"/>
        </w:rPr>
        <w:t xml:space="preserve"> se creó mediante el Real Decreto-ley 20/2020, de 29 de mayo, en plena pandemia, y se consolidó con la </w:t>
      </w:r>
      <w:r>
        <w:rPr>
          <w:rFonts w:ascii="Calibri" w:hAnsi="Calibri"/>
          <w:b/>
          <w:color w:val="113927"/>
          <w:sz w:val="21"/>
        </w:rPr>
        <w:t>Ley 19/2021, de 20 de diciembre</w:t>
      </w:r>
      <w:r>
        <w:rPr>
          <w:rFonts w:ascii="Calibri" w:hAnsi="Calibri"/>
          <w:color w:val="2F3A30"/>
          <w:sz w:val="21"/>
        </w:rPr>
        <w:t>. Es una prestación no contributiva de la Seguridad Social, gestionada por el Instituto Nacional de la Seguridad Social, que establece un suelo común de ingresos en todo el territorio. Las rentas autonómicas se mantienen, en su mayoría, como complemento del IMV o para situaciones que este no cubre.</w:t>
      </w:r>
    </w:p>
    <w:p>
      <w:pPr>
        <w:pStyle w:val="Heading2"/>
        <w:keepNext/>
        <w:spacing w:before="360" w:after="100"/>
        <w:jc w:val="left"/>
      </w:pPr>
      <w:r>
        <w:rPr>
          <w:rFonts w:ascii="Outfit" w:hAnsi="Outfit"/>
          <w:b/>
          <w:color w:val="76927A"/>
          <w:sz w:val="25"/>
        </w:rPr>
        <w:t>7.3. El diseño del IMV</w:t>
      </w:r>
    </w:p>
    <w:p>
      <w:pPr>
        <w:spacing w:after="90" w:line="276" w:lineRule="auto"/>
        <w:jc w:val="both"/>
      </w:pPr>
      <w:r>
        <w:rPr>
          <w:rFonts w:ascii="Calibri" w:hAnsi="Calibri"/>
          <w:color w:val="2F3A30"/>
          <w:sz w:val="21"/>
        </w:rPr>
        <w:t xml:space="preserve">El IMV garantiza a cada </w:t>
      </w:r>
      <w:r>
        <w:rPr>
          <w:rFonts w:ascii="Calibri" w:hAnsi="Calibri"/>
          <w:b/>
          <w:color w:val="113927"/>
          <w:sz w:val="21"/>
        </w:rPr>
        <w:t>unidad de convivencia</w:t>
      </w:r>
      <w:r>
        <w:rPr>
          <w:rFonts w:ascii="Calibri" w:hAnsi="Calibri"/>
          <w:color w:val="2F3A30"/>
          <w:sz w:val="21"/>
        </w:rPr>
        <w:t xml:space="preserve"> una </w:t>
      </w:r>
      <w:r>
        <w:rPr>
          <w:rFonts w:ascii="Calibri" w:hAnsi="Calibri"/>
          <w:b/>
          <w:color w:val="113927"/>
          <w:sz w:val="21"/>
        </w:rPr>
        <w:t>renta garantizada</w:t>
      </w:r>
      <w:r>
        <w:rPr>
          <w:rFonts w:ascii="Calibri" w:hAnsi="Calibri"/>
          <w:color w:val="2F3A30"/>
          <w:sz w:val="21"/>
        </w:rPr>
        <w:t xml:space="preserve"> anual, y la prestación cubre la diferencia entre esa renta y los ingresos del hogar. Su lógica es, por tanto, </w:t>
      </w:r>
      <w:r>
        <w:rPr>
          <w:rFonts w:ascii="Calibri" w:hAnsi="Calibri"/>
          <w:b/>
          <w:color w:val="113927"/>
          <w:sz w:val="21"/>
        </w:rPr>
        <w:t>diferencial</w:t>
      </w:r>
      <w:r>
        <w:rPr>
          <w:rFonts w:ascii="Calibri" w:hAnsi="Calibri"/>
          <w:color w:val="2F3A30"/>
          <w:sz w:val="21"/>
        </w:rPr>
        <w:t>: si el hogar no tiene ingresos cobra la renta garantizada completa; si tiene ingresos, cobra solo lo que le falta hasta alcanzarla.</w:t>
      </w:r>
    </w:p>
    <w:p>
      <w:pPr>
        <w:spacing w:before="120" w:after="120"/>
        <w:jc w:val="center"/>
      </w:pPr>
      <w:r>
        <w:rPr>
          <w:rFonts w:ascii="Calibri" w:hAnsi="Calibri"/>
          <w:b/>
          <w:color w:val="113927"/>
          <w:sz w:val="22"/>
        </w:rPr>
        <w:t>IMV = Renta garantizada − Ingresos computables del hogar</w:t>
      </w:r>
    </w:p>
    <w:p>
      <w:pPr>
        <w:spacing w:after="90" w:line="276" w:lineRule="auto"/>
        <w:jc w:val="both"/>
      </w:pPr>
      <w:r>
        <w:rPr>
          <w:rFonts w:ascii="Calibri" w:hAnsi="Calibri"/>
          <w:color w:val="2F3A30"/>
          <w:sz w:val="21"/>
        </w:rPr>
        <w:t xml:space="preserve">En 2025, la renta garantizada para una persona sola era de 7.905,72 euros anuales (658,81 euros al mes). En 2026 se revalorizó un 11,4%, hasta unos 8.800 euros anuales (en torno a 734 euros al mes). La cuantía aumenta un 30% por cada miembro adicional del hogar, hasta un máximo del 220% de la renta individual, y se añade un complemento para los hogares monoparentales. El </w:t>
      </w:r>
      <w:r>
        <w:rPr>
          <w:rFonts w:ascii="Calibri" w:hAnsi="Calibri"/>
          <w:b/>
          <w:color w:val="113927"/>
          <w:sz w:val="21"/>
        </w:rPr>
        <w:t>Complemento de Ayuda para la Infancia</w:t>
      </w:r>
      <w:r>
        <w:rPr>
          <w:rFonts w:ascii="Calibri" w:hAnsi="Calibri"/>
          <w:color w:val="2F3A30"/>
          <w:sz w:val="21"/>
        </w:rPr>
        <w:t xml:space="preserve"> (CAPI) añade una cantidad mensual por cada menor, que en 2025 era de 115 euros para menores de 3 años, 80,50 euros de 3 a 6 años y 57,50 euros de 6 a 18 años, y puede percibirse también en hogares con ingresos algo superiores al umbral del IMV.</w:t>
      </w:r>
    </w:p>
    <w:p>
      <w:pPr>
        <w:spacing w:after="90" w:line="276" w:lineRule="auto"/>
        <w:jc w:val="both"/>
      </w:pPr>
      <w:r>
        <w:rPr>
          <w:rFonts w:ascii="Calibri" w:hAnsi="Calibri"/>
          <w:color w:val="2F3A30"/>
          <w:sz w:val="21"/>
        </w:rPr>
        <w:t xml:space="preserve">Para acceder, el hogar debe acreditar </w:t>
      </w:r>
      <w:r>
        <w:rPr>
          <w:rFonts w:ascii="Calibri" w:hAnsi="Calibri"/>
          <w:b/>
          <w:color w:val="113927"/>
          <w:sz w:val="21"/>
        </w:rPr>
        <w:t>residencia legal y efectiva</w:t>
      </w:r>
      <w:r>
        <w:rPr>
          <w:rFonts w:ascii="Calibri" w:hAnsi="Calibri"/>
          <w:color w:val="2F3A30"/>
          <w:sz w:val="21"/>
        </w:rPr>
        <w:t xml:space="preserve"> en España, en general durante al menos un año, y una situación de </w:t>
      </w:r>
      <w:r>
        <w:rPr>
          <w:rFonts w:ascii="Calibri" w:hAnsi="Calibri"/>
          <w:b/>
          <w:color w:val="113927"/>
          <w:sz w:val="21"/>
        </w:rPr>
        <w:t>vulnerabilidad económica</w:t>
      </w:r>
      <w:r>
        <w:rPr>
          <w:rFonts w:ascii="Calibri" w:hAnsi="Calibri"/>
          <w:color w:val="2F3A30"/>
          <w:sz w:val="21"/>
        </w:rPr>
        <w:t xml:space="preserve"> medida por sus ingresos y su patrimonio del año anterior. Los beneficiarios en edad de trabajar deben, salvo excepciones, inscribirse como demandantes de empleo. Como los ingresos se comprueban con datos fiscales del ejercicio anterior y se revisan anualmente, la cuantía puede modificarse a posteriori, lo que genera reclamaciones de cobros indebidos.</w:t>
      </w:r>
    </w:p>
    <w:p>
      <w:pPr>
        <w:pStyle w:val="Heading2"/>
        <w:keepNext/>
        <w:spacing w:before="360" w:after="100"/>
        <w:jc w:val="left"/>
      </w:pPr>
      <w:r>
        <w:rPr>
          <w:rFonts w:ascii="Outfit" w:hAnsi="Outfit"/>
          <w:b/>
          <w:color w:val="76927A"/>
          <w:sz w:val="25"/>
        </w:rPr>
        <w:t>7.4. Cobertura y non-take-up</w:t>
      </w:r>
    </w:p>
    <w:p>
      <w:pPr>
        <w:spacing w:after="90" w:line="276" w:lineRule="auto"/>
        <w:jc w:val="both"/>
      </w:pPr>
      <w:r>
        <w:rPr>
          <w:rFonts w:ascii="Calibri" w:hAnsi="Calibri"/>
          <w:color w:val="2F3A30"/>
          <w:sz w:val="21"/>
        </w:rPr>
        <w:t xml:space="preserve">El principal problema del IMV no ha sido su diseño teórico, sino su alcance. Se denomina </w:t>
      </w:r>
      <w:r>
        <w:rPr>
          <w:rFonts w:ascii="Calibri" w:hAnsi="Calibri"/>
          <w:b/>
          <w:color w:val="113927"/>
          <w:sz w:val="21"/>
        </w:rPr>
        <w:t>non-take-up</w:t>
      </w:r>
      <w:r>
        <w:rPr>
          <w:rFonts w:ascii="Calibri" w:hAnsi="Calibri"/>
          <w:color w:val="2F3A30"/>
          <w:sz w:val="21"/>
        </w:rPr>
        <w:t xml:space="preserve"> a la situación de los hogares que cumplen los requisitos de una prestación pero no la reciben. Según la cuarta opinión de la Autoridad Independiente de Responsabilidad Fiscal sobre el IMV (AIReF, 2025), en 2024 el </w:t>
      </w:r>
      <w:r>
        <w:rPr>
          <w:rFonts w:ascii="Calibri" w:hAnsi="Calibri"/>
          <w:b/>
          <w:color w:val="113927"/>
          <w:sz w:val="21"/>
        </w:rPr>
        <w:t>55% de los hogares elegibles no percibía el IMV</w:t>
      </w:r>
      <w:r>
        <w:rPr>
          <w:rFonts w:ascii="Calibri" w:hAnsi="Calibri"/>
          <w:color w:val="2F3A30"/>
          <w:sz w:val="21"/>
        </w:rPr>
        <w:t xml:space="preserve">, y el porcentaje llegaba al </w:t>
      </w:r>
      <w:r>
        <w:rPr>
          <w:rFonts w:ascii="Calibri" w:hAnsi="Calibri"/>
          <w:b/>
          <w:color w:val="113927"/>
          <w:sz w:val="21"/>
        </w:rPr>
        <w:t>72% en el caso del CAPI</w:t>
      </w:r>
      <w:r>
        <w:rPr>
          <w:rFonts w:ascii="Calibri" w:hAnsi="Calibri"/>
          <w:color w:val="2F3A30"/>
          <w:sz w:val="21"/>
        </w:rPr>
        <w:t>. La cifra apenas había variado desde la creación de la prestación.</w:t>
      </w:r>
    </w:p>
    <w:p>
      <w:pPr>
        <w:spacing w:after="90" w:line="276" w:lineRule="auto"/>
        <w:jc w:val="both"/>
      </w:pPr>
      <w:r>
        <w:rPr>
          <w:rFonts w:ascii="Calibri" w:hAnsi="Calibri"/>
          <w:color w:val="2F3A30"/>
          <w:sz w:val="21"/>
        </w:rPr>
        <w:t xml:space="preserve">Las causas identificadas son la </w:t>
      </w:r>
      <w:r>
        <w:rPr>
          <w:rFonts w:ascii="Calibri" w:hAnsi="Calibri"/>
          <w:b/>
          <w:color w:val="113927"/>
          <w:sz w:val="21"/>
        </w:rPr>
        <w:t>falta de información</w:t>
      </w:r>
      <w:r>
        <w:rPr>
          <w:rFonts w:ascii="Calibri" w:hAnsi="Calibri"/>
          <w:color w:val="2F3A30"/>
          <w:sz w:val="21"/>
        </w:rPr>
        <w:t xml:space="preserve"> sobre los requisitos y el procedimiento, la </w:t>
      </w:r>
      <w:r>
        <w:rPr>
          <w:rFonts w:ascii="Calibri" w:hAnsi="Calibri"/>
          <w:b/>
          <w:color w:val="113927"/>
          <w:sz w:val="21"/>
        </w:rPr>
        <w:t>complejidad administrativa</w:t>
      </w:r>
      <w:r>
        <w:rPr>
          <w:rFonts w:ascii="Calibri" w:hAnsi="Calibri"/>
          <w:color w:val="2F3A30"/>
          <w:sz w:val="21"/>
        </w:rPr>
        <w:t xml:space="preserve"> (en 2024, el 68% de las denegaciones se debieron a problemas con el empadronamiento o con la definición de la unidad de convivencia) y el </w:t>
      </w:r>
      <w:r>
        <w:rPr>
          <w:rFonts w:ascii="Calibri" w:hAnsi="Calibri"/>
          <w:b/>
          <w:color w:val="113927"/>
          <w:sz w:val="21"/>
        </w:rPr>
        <w:t>temor a tener que devolver cantidades</w:t>
      </w:r>
      <w:r>
        <w:rPr>
          <w:rFonts w:ascii="Calibri" w:hAnsi="Calibri"/>
          <w:color w:val="2F3A30"/>
          <w:sz w:val="21"/>
        </w:rPr>
        <w:t xml:space="preserve"> por las revisiones posteriores: dos de cada tres hogares beneficiarios vieron modificada su prestación tras la revisión de ingresos. Conviene distinguir este problema del peso muerto del Tema 2: allí el riesgo era pagar a quien no lo necesitaba; aquí, no llegar a quien sí lo necesita.</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DATO EMPÍRICO · AIREF (2025), CUARTA OPINIÓN SOBRE EL IMV</w:t>
            </w:r>
          </w:p>
          <w:p>
            <w:pPr>
              <w:keepNext/>
              <w:spacing w:before="0" w:after="0" w:line="276" w:lineRule="auto"/>
              <w:jc w:val="both"/>
            </w:pPr>
            <w:r>
              <w:rPr>
                <w:rFonts w:ascii="Calibri" w:hAnsi="Calibri"/>
                <w:color w:val="2F3A30"/>
                <w:sz w:val="19"/>
              </w:rPr>
              <w:t>Non-take-up del 55% en el IMV y del 72% en el CAPI (2024). Percibir el IMV reducía en 3 puntos porcentuales la probabilidad de trabajar, un 12% menos, con efectos mayores entre los menores de 30 años y en los hogares monoparentales. El 90% de los beneficiarios seguía en la prestación al cabo de un año y el 75%, al cabo de dos. La AIReF concluyó que el incentivo al empleo vigente no lograba mitigar el desincentivo y recomendó rediseñarlo.</w:t>
            </w:r>
          </w:p>
        </w:tc>
      </w:tr>
    </w:tbl>
    <w:p>
      <w:pPr>
        <w:spacing w:before="0" w:after="80"/>
      </w:pP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CONEXIÓN CON LAS EPD · CASO 2</w:t>
            </w:r>
          </w:p>
          <w:p>
            <w:pPr>
              <w:keepNext/>
              <w:spacing w:before="0" w:after="0" w:line="276" w:lineRule="auto"/>
              <w:jc w:val="both"/>
            </w:pPr>
            <w:r>
              <w:rPr>
                <w:rFonts w:ascii="Calibri" w:hAnsi="Calibri"/>
                <w:color w:val="2F3A30"/>
                <w:sz w:val="19"/>
              </w:rPr>
              <w:t>En la EPD 4 se diagnostican la cobertura del IMV y las causas del non-take-up con los informes de la AIReF. En la EPD 5 se diseña una fórmula de compatibilidad entre el IMV y el empleo a partir del epígrafe 8.</w:t>
            </w:r>
          </w:p>
        </w:tc>
      </w:tr>
    </w:tbl>
    <w:p>
      <w:pPr>
        <w:spacing w:before="0" w:after="80"/>
      </w:pPr>
    </w:p>
    <w:p>
      <w:pPr>
        <w:pStyle w:val="Heading1"/>
        <w:keepNext/>
        <w:spacing w:before="520" w:after="120"/>
        <w:jc w:val="left"/>
      </w:pPr>
      <w:r>
        <w:rPr>
          <w:rFonts w:ascii="Outfit" w:hAnsi="Outfit"/>
          <w:b/>
          <w:color w:val="113927"/>
          <w:sz w:val="30"/>
        </w:rPr>
        <w:t>8. LA TRAMPA DE LA POBREZA Y EL TIPO MARGINAL EFECTIVO</w:t>
      </w:r>
    </w:p>
    <w:p>
      <w:pPr>
        <w:pStyle w:val="Heading2"/>
        <w:keepNext/>
        <w:spacing w:before="360" w:after="100"/>
        <w:jc w:val="left"/>
      </w:pPr>
      <w:r>
        <w:rPr>
          <w:rFonts w:ascii="Outfit" w:hAnsi="Outfit"/>
          <w:b/>
          <w:color w:val="76927A"/>
          <w:sz w:val="25"/>
        </w:rPr>
        <w:t>8.1. El concepto de tipo marginal efectivo</w:t>
      </w:r>
    </w:p>
    <w:p>
      <w:pPr>
        <w:spacing w:after="90" w:line="276" w:lineRule="auto"/>
        <w:jc w:val="both"/>
      </w:pPr>
      <w:r>
        <w:rPr>
          <w:rFonts w:ascii="Calibri" w:hAnsi="Calibri"/>
          <w:color w:val="2F3A30"/>
          <w:sz w:val="21"/>
        </w:rPr>
        <w:t xml:space="preserve">Cuando una persona que percibe una prestación empieza a trabajar o trabaja más horas, no se queda con todo lo que gana. Pierde parte de la prestación, paga cotizaciones y, en su caso, impuestos. El </w:t>
      </w:r>
      <w:r>
        <w:rPr>
          <w:rFonts w:ascii="Calibri" w:hAnsi="Calibri"/>
          <w:b/>
          <w:color w:val="113927"/>
          <w:sz w:val="21"/>
        </w:rPr>
        <w:t>tipo marginal efectivo</w:t>
      </w:r>
      <w:r>
        <w:rPr>
          <w:rFonts w:ascii="Calibri" w:hAnsi="Calibri"/>
          <w:color w:val="2F3A30"/>
          <w:sz w:val="21"/>
        </w:rPr>
        <w:t xml:space="preserve"> (en inglés, </w:t>
      </w:r>
      <w:r>
        <w:rPr>
          <w:rFonts w:ascii="Calibri" w:hAnsi="Calibri"/>
          <w:i/>
          <w:color w:val="2F3A30"/>
          <w:sz w:val="21"/>
        </w:rPr>
        <w:t>marginal effective tax rate</w:t>
      </w:r>
      <w:r>
        <w:rPr>
          <w:rFonts w:ascii="Calibri" w:hAnsi="Calibri"/>
          <w:color w:val="2F3A30"/>
          <w:sz w:val="21"/>
        </w:rPr>
        <w:t xml:space="preserve"> o METR) mide qué proporción de un euro adicional de salario bruto se pierde por esas tres vías:</w:t>
      </w:r>
    </w:p>
    <w:p>
      <w:pPr>
        <w:spacing w:before="120" w:after="120"/>
        <w:jc w:val="center"/>
      </w:pPr>
      <w:r>
        <w:rPr>
          <w:rFonts w:ascii="Calibri" w:hAnsi="Calibri"/>
          <w:b/>
          <w:color w:val="113927"/>
          <w:sz w:val="22"/>
        </w:rPr>
        <w:t>Tipo marginal efectivo = 1 − (Aumento de la renta disponible / Aumento del salario bruto)</w:t>
      </w:r>
    </w:p>
    <w:p>
      <w:pPr>
        <w:spacing w:after="90" w:line="276" w:lineRule="auto"/>
        <w:jc w:val="both"/>
      </w:pPr>
      <w:r>
        <w:rPr>
          <w:rFonts w:ascii="Calibri" w:hAnsi="Calibri"/>
          <w:color w:val="2F3A30"/>
          <w:sz w:val="21"/>
        </w:rPr>
        <w:t xml:space="preserve">Si una persona gana 100 euros más de salario y su renta disponible solo aumenta en 20, el tipo marginal efectivo es del 80%. La </w:t>
      </w:r>
      <w:r>
        <w:rPr>
          <w:rFonts w:ascii="Calibri" w:hAnsi="Calibri"/>
          <w:b/>
          <w:color w:val="113927"/>
          <w:sz w:val="21"/>
        </w:rPr>
        <w:t>trampa de la pobreza</w:t>
      </w:r>
      <w:r>
        <w:rPr>
          <w:rFonts w:ascii="Calibri" w:hAnsi="Calibri"/>
          <w:color w:val="2F3A30"/>
          <w:sz w:val="21"/>
        </w:rPr>
        <w:t xml:space="preserve"> aparece cuando ese tipo es tan alto, cercano o superior al 100%, que trabajar más no mejora o incluso empeora la situación económica del hogar. Enlaza con el salario de reserva del Tema 1: si la renta disponible no aumenta al trabajar, el salario de reserva efectivo se sitúa por encima de los salarios que el trabajador puede obtener.</w:t>
      </w:r>
    </w:p>
    <w:p>
      <w:pPr>
        <w:pStyle w:val="Heading2"/>
        <w:keepNext/>
        <w:spacing w:before="360" w:after="100"/>
        <w:jc w:val="left"/>
      </w:pPr>
      <w:r>
        <w:rPr>
          <w:rFonts w:ascii="Outfit" w:hAnsi="Outfit"/>
          <w:b/>
          <w:color w:val="76927A"/>
          <w:sz w:val="25"/>
        </w:rPr>
        <w:t>8.2. La trampa en una renta mínima diferencial</w:t>
      </w:r>
    </w:p>
    <w:p>
      <w:pPr>
        <w:spacing w:after="90" w:line="276" w:lineRule="auto"/>
        <w:jc w:val="both"/>
      </w:pPr>
      <w:r>
        <w:rPr>
          <w:rFonts w:ascii="Calibri" w:hAnsi="Calibri"/>
          <w:color w:val="2F3A30"/>
          <w:sz w:val="21"/>
        </w:rPr>
        <w:t>El diseño diferencial de una renta mínima genera, por construcción, una trampa de la pobreza. Si la prestación es la diferencia entre la renta garantizada y los ingresos del hogar, cada euro ganado reduce la prestación en un euro: el tipo marginal efectivo es del 100% hasta que el salario supera la renta garantizada. La Figura 3.3 lo representa para una persona sola con una renta garantizada de unos 8.800 euros anuales.</w:t>
      </w:r>
    </w:p>
    <w:p>
      <w:pPr>
        <w:keepNext/>
        <w:spacing w:before="160" w:after="60"/>
        <w:jc w:val="center"/>
      </w:pPr>
      <w:r>
        <w:drawing>
          <wp:inline xmlns:a="http://schemas.openxmlformats.org/drawingml/2006/main" xmlns:pic="http://schemas.openxmlformats.org/drawingml/2006/picture">
            <wp:extent cx="5669280" cy="3115129"/>
            <wp:docPr id="4" name="Picture 4"/>
            <wp:cNvGraphicFramePr>
              <a:graphicFrameLocks noChangeAspect="1"/>
            </wp:cNvGraphicFramePr>
            <a:graphic>
              <a:graphicData uri="http://schemas.openxmlformats.org/drawingml/2006/picture">
                <pic:pic>
                  <pic:nvPicPr>
                    <pic:cNvPr id="0" name="trampa_pobreza_imv.png"/>
                    <pic:cNvPicPr/>
                  </pic:nvPicPr>
                  <pic:blipFill>
                    <a:blip r:embed="rId12"/>
                    <a:stretch>
                      <a:fillRect/>
                    </a:stretch>
                  </pic:blipFill>
                  <pic:spPr>
                    <a:xfrm>
                      <a:off x="0" y="0"/>
                      <a:ext cx="5669280" cy="3115129"/>
                    </a:xfrm>
                    <a:prstGeom prst="rect"/>
                  </pic:spPr>
                </pic:pic>
              </a:graphicData>
            </a:graphic>
          </wp:inline>
        </w:drawing>
      </w:r>
    </w:p>
    <w:p>
      <w:pPr>
        <w:keepNext/>
        <w:spacing w:before="0" w:after="20"/>
        <w:jc w:val="center"/>
      </w:pPr>
      <w:r>
        <w:rPr>
          <w:rFonts w:ascii="Outfit" w:hAnsi="Outfit"/>
          <w:b/>
          <w:color w:val="113927"/>
          <w:sz w:val="18"/>
        </w:rPr>
        <w:t>Figura 3.3: Restricción presupuestaria de una persona sola con IMV, con retirada del 100% y con el incentivo al empleo de 2026.</w:t>
      </w:r>
    </w:p>
    <w:p>
      <w:pPr>
        <w:spacing w:before="0" w:after="160"/>
        <w:jc w:val="center"/>
      </w:pPr>
      <w:r>
        <w:rPr>
          <w:rFonts w:ascii="Calibri" w:hAnsi="Calibri"/>
          <w:i/>
          <w:color w:val="76927A"/>
          <w:sz w:val="16"/>
        </w:rPr>
        <w:t>Fuente: Elaboración propia para Políticas Sociolaborales (UPO) a partir de la Ley 19/2021 y del Real Decreto 240/2026. Esquema simplificado: ignora cotizaciones, IRPF y el desfase temporal de las revisiones.</w:t>
      </w:r>
    </w:p>
    <w:p>
      <w:pPr>
        <w:spacing w:before="80" w:after="160"/>
        <w:jc w:val="both"/>
      </w:pPr>
      <w:r>
        <w:rPr>
          <w:rFonts w:ascii="Calibri" w:hAnsi="Calibri"/>
          <w:i/>
          <w:color w:val="2F3A30"/>
          <w:sz w:val="19"/>
        </w:rPr>
        <w:t>Interpretación de la Figura 3.3: con una retirada del 100% (línea coral), la renta disponible permanece plana hasta que el salario alcanza la renta garantizada: trabajar no aumenta los ingresos del hogar. Con el incentivo de 2026 (línea verde), los primeros 6.000 euros de aumento salarial no reducen la prestación y, por encima de esa cifra, la prestación se retira a razón de 50 céntimos por euro, de modo que trabajar siempre mejora la renta disponible.</w:t>
      </w:r>
    </w:p>
    <w:p>
      <w:pPr>
        <w:spacing w:after="90" w:line="276" w:lineRule="auto"/>
        <w:jc w:val="both"/>
      </w:pPr>
      <w:r>
        <w:rPr>
          <w:rFonts w:ascii="Calibri" w:hAnsi="Calibri"/>
          <w:color w:val="2F3A30"/>
          <w:sz w:val="21"/>
        </w:rPr>
        <w:t>Un ejemplo numérico permite ver la diferencia. Una persona sola que cobra 8.800 euros de IMV encuentra un empleo a tiempo parcial con el que gana 6.000 euros al año. Con retirada del 100%, su IMV baja a 2.800 euros y su renta total sigue siendo de 8.800 euros: el tipo marginal efectivo es del 100%. Con el incentivo de 2026, el aumento de 6.000 euros queda exento y su renta pasa a 14.800 euros. Si el empleo le reporta 10.000 euros, quedan exentos 8.000 (los 6.000 primeros más la mitad de los 4.000 restantes), el IMV baja a 6.800 euros y la renta total llega a 16.800 euros: el tipo marginal efectivo sobre esos 10.000 euros es del 20%.</w:t>
      </w:r>
    </w:p>
    <w:p>
      <w:pPr>
        <w:pStyle w:val="Heading2"/>
        <w:keepNext/>
        <w:spacing w:before="360" w:after="100"/>
        <w:jc w:val="left"/>
      </w:pPr>
      <w:r>
        <w:rPr>
          <w:rFonts w:ascii="Outfit" w:hAnsi="Outfit"/>
          <w:b/>
          <w:color w:val="76927A"/>
          <w:sz w:val="25"/>
        </w:rPr>
        <w:t>8.3. Las respuestas de diseño</w:t>
      </w:r>
    </w:p>
    <w:p>
      <w:pPr>
        <w:spacing w:after="90" w:line="276" w:lineRule="auto"/>
        <w:jc w:val="both"/>
      </w:pPr>
      <w:r>
        <w:rPr>
          <w:rFonts w:ascii="Calibri" w:hAnsi="Calibri"/>
          <w:color w:val="2F3A30"/>
          <w:sz w:val="21"/>
        </w:rPr>
        <w:t xml:space="preserve">La forma de reducir la trampa sin eliminar la protección es permitir que parte de los ingresos laborales </w:t>
      </w:r>
      <w:r>
        <w:rPr>
          <w:rFonts w:ascii="Calibri" w:hAnsi="Calibri"/>
          <w:b/>
          <w:color w:val="113927"/>
          <w:sz w:val="21"/>
        </w:rPr>
        <w:t>no se descuenten</w:t>
      </w:r>
      <w:r>
        <w:rPr>
          <w:rFonts w:ascii="Calibri" w:hAnsi="Calibri"/>
          <w:color w:val="2F3A30"/>
          <w:sz w:val="21"/>
        </w:rPr>
        <w:t xml:space="preserve"> de la prestación, o se descuenten solo en parte. En España se han aplicado tres instrumentos con esa lógica.</w:t>
      </w:r>
    </w:p>
    <w:p>
      <w:pPr>
        <w:spacing w:after="90" w:line="276" w:lineRule="auto"/>
        <w:jc w:val="both"/>
      </w:pPr>
      <w:r>
        <w:rPr>
          <w:rFonts w:ascii="Calibri" w:hAnsi="Calibri"/>
          <w:color w:val="2F3A30"/>
          <w:sz w:val="21"/>
        </w:rPr>
        <w:t xml:space="preserve">El primero es el </w:t>
      </w:r>
      <w:r>
        <w:rPr>
          <w:rFonts w:ascii="Calibri" w:hAnsi="Calibri"/>
          <w:b/>
          <w:color w:val="113927"/>
          <w:sz w:val="21"/>
        </w:rPr>
        <w:t>incentivo al empleo del IMV</w:t>
      </w:r>
      <w:r>
        <w:rPr>
          <w:rFonts w:ascii="Calibri" w:hAnsi="Calibri"/>
          <w:color w:val="2F3A30"/>
          <w:sz w:val="21"/>
        </w:rPr>
        <w:t xml:space="preserve">. El Real Decreto 789/2022 lo introdujo a partir de 2023 con una fórmula compleja que, según la AIReF, no lograba compensar el desincentivo. El </w:t>
      </w:r>
      <w:r>
        <w:rPr>
          <w:rFonts w:ascii="Calibri" w:hAnsi="Calibri"/>
          <w:b/>
          <w:color w:val="113927"/>
          <w:sz w:val="21"/>
        </w:rPr>
        <w:t>Real Decreto 240/2026, de 25 de marzo</w:t>
      </w:r>
      <w:r>
        <w:rPr>
          <w:rFonts w:ascii="Calibri" w:hAnsi="Calibri"/>
          <w:color w:val="2F3A30"/>
          <w:sz w:val="21"/>
        </w:rPr>
        <w:t>, lo simplificó: el aumento de los ingresos del trabajo respecto al año anterior queda exento al 100% hasta 6.000 euros y, por encima, se exime el 50% del exceso (el 55% en hogares con complemento de discapacidad o monoparentalidad). La exención se aplica en la revisión anual de la prestación.</w:t>
      </w:r>
    </w:p>
    <w:p>
      <w:pPr>
        <w:spacing w:after="90" w:line="276" w:lineRule="auto"/>
        <w:jc w:val="both"/>
      </w:pPr>
      <w:r>
        <w:rPr>
          <w:rFonts w:ascii="Calibri" w:hAnsi="Calibri"/>
          <w:color w:val="2F3A30"/>
          <w:sz w:val="21"/>
        </w:rPr>
        <w:t xml:space="preserve">El segundo es el </w:t>
      </w:r>
      <w:r>
        <w:rPr>
          <w:rFonts w:ascii="Calibri" w:hAnsi="Calibri"/>
          <w:b/>
          <w:color w:val="113927"/>
          <w:sz w:val="21"/>
        </w:rPr>
        <w:t>Complemento de Apoyo al Empleo</w:t>
      </w:r>
      <w:r>
        <w:rPr>
          <w:rFonts w:ascii="Calibri" w:hAnsi="Calibri"/>
          <w:color w:val="2F3A30"/>
          <w:sz w:val="21"/>
        </w:rPr>
        <w:t xml:space="preserve"> del epígrafe 4.1, que aplica la misma idea a los subsidios y prestaciones por desempleo. El tercero, fuera del ámbito de las prestaciones, son los </w:t>
      </w:r>
      <w:r>
        <w:rPr>
          <w:rFonts w:ascii="Calibri" w:hAnsi="Calibri"/>
          <w:b/>
          <w:color w:val="113927"/>
          <w:sz w:val="21"/>
        </w:rPr>
        <w:t>complementos salariales</w:t>
      </w:r>
      <w:r>
        <w:rPr>
          <w:rFonts w:ascii="Calibri" w:hAnsi="Calibri"/>
          <w:color w:val="2F3A30"/>
          <w:sz w:val="21"/>
        </w:rPr>
        <w:t xml:space="preserve"> tipo </w:t>
      </w:r>
      <w:r>
        <w:rPr>
          <w:rFonts w:ascii="Calibri" w:hAnsi="Calibri"/>
          <w:i/>
          <w:color w:val="2F3A30"/>
          <w:sz w:val="21"/>
        </w:rPr>
        <w:t>Earned Income Tax Credit</w:t>
      </w:r>
      <w:r>
        <w:rPr>
          <w:rFonts w:ascii="Calibri" w:hAnsi="Calibri"/>
          <w:color w:val="2F3A30"/>
          <w:sz w:val="21"/>
        </w:rPr>
        <w:t xml:space="preserve"> (EITC) estadounidense, que no se retiran al trabajar sino que se conceden precisamente por trabajar, dentro de un tramo de salarios bajos. Se estudian en el Tema 6 junto al salario mínimo.</w:t>
      </w:r>
    </w:p>
    <w:p>
      <w:pPr>
        <w:spacing w:after="90" w:line="276" w:lineRule="auto"/>
        <w:jc w:val="both"/>
      </w:pPr>
      <w:r>
        <w:rPr>
          <w:rFonts w:ascii="Calibri" w:hAnsi="Calibri"/>
          <w:color w:val="2F3A30"/>
          <w:sz w:val="21"/>
        </w:rPr>
        <w:t>Todos estos instrumentos tienen un coste. Cuanto más lenta es la retirada de la prestación, más se prolonga el tramo de ingresos en el que se cobra, lo que aumenta el gasto y extiende la prestación a hogares con más ingresos. El diseño busca un equilibrio entre tres objetivos que no pueden maximizarse a la vez: una renta garantizada suficiente, un tipo marginal efectivo bajo y un coste presupuestario contenido.</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76927A"/>
              <w:bottom w:val="none"/>
              <w:right w:val="none"/>
            </w:tcBorders>
          </w:tcPr>
          <w:p>
            <w:pPr>
              <w:keepNext/>
              <w:spacing w:before="0" w:after="100"/>
              <w:jc w:val="left"/>
            </w:pPr>
            <w:r>
              <w:rPr>
                <w:rFonts w:ascii="Outfit" w:hAnsi="Outfit"/>
                <w:b/>
                <w:color w:val="113927"/>
                <w:sz w:val="20"/>
              </w:rPr>
              <w:t>💭  PARADA REFLEXIVA: DISEÑAR LA RETIRADA</w:t>
            </w:r>
          </w:p>
          <w:p>
            <w:pPr>
              <w:keepNext/>
              <w:spacing w:before="40" w:after="30" w:line="276" w:lineRule="auto"/>
              <w:jc w:val="left"/>
            </w:pPr>
            <w:r>
              <w:rPr>
                <w:rFonts w:ascii="Calibri" w:hAnsi="Calibri"/>
                <w:b/>
                <w:color w:val="76927A"/>
                <w:sz w:val="19"/>
              </w:rPr>
              <w:t xml:space="preserve">•  </w:t>
            </w:r>
            <w:r>
              <w:rPr>
                <w:rFonts w:ascii="Calibri" w:hAnsi="Calibri"/>
                <w:b/>
                <w:color w:val="113927"/>
                <w:sz w:val="19"/>
              </w:rPr>
              <w:t>¿Por qué no basta con subir la renta garantizada para reducir la pobreza de los hogares con IMV?</w:t>
            </w:r>
          </w:p>
          <w:p>
            <w:pPr>
              <w:keepNext/>
              <w:spacing w:before="0" w:after="80" w:line="276" w:lineRule="auto"/>
              <w:ind w:left="259"/>
              <w:jc w:val="both"/>
            </w:pPr>
            <w:r>
              <w:rPr>
                <w:rFonts w:ascii="Calibri" w:hAnsi="Calibri"/>
                <w:color w:val="2F3A30"/>
                <w:sz w:val="19"/>
              </w:rPr>
              <w:t>Porque con una retirada del 100%, una renta garantizada más alta alarga el tramo plano de la restricción presupuestaria: hay más salarios con los que trabajar no aumenta la renta disponible, y el desincentivo al empleo se extiende.</w:t>
            </w:r>
          </w:p>
          <w:p>
            <w:pPr>
              <w:keepNext/>
              <w:spacing w:before="100" w:after="30" w:line="276" w:lineRule="auto"/>
              <w:jc w:val="left"/>
            </w:pPr>
            <w:r>
              <w:rPr>
                <w:rFonts w:ascii="Calibri" w:hAnsi="Calibri"/>
                <w:b/>
                <w:color w:val="76927A"/>
                <w:sz w:val="19"/>
              </w:rPr>
              <w:t xml:space="preserve">•  </w:t>
            </w:r>
            <w:r>
              <w:rPr>
                <w:rFonts w:ascii="Calibri" w:hAnsi="Calibri"/>
                <w:b/>
                <w:color w:val="113927"/>
                <w:sz w:val="19"/>
              </w:rPr>
              <w:t>Si la retirada pasa del 100% al 50%, ¿qué ocurre con el número de hogares que cobran la prestación?</w:t>
            </w:r>
          </w:p>
          <w:p>
            <w:pPr>
              <w:keepNext/>
              <w:spacing w:before="0" w:after="80" w:line="276" w:lineRule="auto"/>
              <w:ind w:left="259"/>
              <w:jc w:val="both"/>
            </w:pPr>
            <w:r>
              <w:rPr>
                <w:rFonts w:ascii="Calibri" w:hAnsi="Calibri"/>
                <w:color w:val="2F3A30"/>
                <w:sz w:val="19"/>
              </w:rPr>
              <w:t>Aumenta. Con una retirada del 50%, la prestación se agota con un salario que duplica la renta garantizada, en lugar de igualarla. Más hogares con empleo siguen percibiendo una parte, lo que eleva el coste y cambia la población beneficiaria.</w:t>
            </w:r>
          </w:p>
        </w:tc>
      </w:tr>
    </w:tbl>
    <w:p>
      <w:pPr>
        <w:spacing w:before="0" w:after="80"/>
      </w:pPr>
    </w:p>
    <w:p>
      <w:pPr>
        <w:pStyle w:val="Heading1"/>
        <w:keepNext/>
        <w:spacing w:before="520" w:after="120"/>
        <w:jc w:val="left"/>
      </w:pPr>
      <w:r>
        <w:rPr>
          <w:rFonts w:ascii="Outfit" w:hAnsi="Outfit"/>
          <w:b/>
          <w:color w:val="113927"/>
          <w:sz w:val="30"/>
        </w:rPr>
        <w:t>9. CONCLUSIONES</w:t>
      </w:r>
    </w:p>
    <w:p>
      <w:pPr>
        <w:spacing w:after="90" w:line="276" w:lineRule="auto"/>
        <w:jc w:val="both"/>
      </w:pPr>
      <w:r>
        <w:rPr>
          <w:rFonts w:ascii="Calibri" w:hAnsi="Calibri"/>
          <w:color w:val="2F3A30"/>
          <w:sz w:val="21"/>
        </w:rPr>
        <w:t>El sistema de protección frente a la pérdida de ingresos debe equilibrar objetivos en tensión: proteger a quien pierde su empleo, mantener los incentivos para volver a trabajar y garantizar la sostenibilidad financiera. Las prestaciones cumplen funciones de protección, redistribución, estabilización macroeconómica y mejora del emparejamiento, y por eso reformas aparentemente sencillas pueden tener efectos inesperados.</w:t>
      </w:r>
    </w:p>
    <w:p>
      <w:pPr>
        <w:spacing w:after="90" w:line="276" w:lineRule="auto"/>
        <w:jc w:val="both"/>
      </w:pPr>
      <w:r>
        <w:rPr>
          <w:rFonts w:ascii="Calibri" w:hAnsi="Calibri"/>
          <w:color w:val="2F3A30"/>
          <w:sz w:val="21"/>
        </w:rPr>
        <w:t>El sistema español combina un nivel contributivo, un nivel asistencial ampliado por la reforma de 2024 y, desde 2020, una garantía de rentas estatal, el IMV. Sus principales debilidades son la baja cobertura contributiva, el agotamiento de prestaciones en el paro de larga duración, la dualidad laboral y, en el último nivel de la red, un non-take-up elevado. La tendencia reciente de las reformas, del Complemento de Apoyo al Empleo al nuevo incentivo al empleo del IMV, es reducir la trampa de la pobreza permitiendo compatibilizar protección y empleo. Su eficacia dependerá, como en el Tema 2, de que se acompañe de servicios de empleo con recursos suficientes y de que se evalúe con rigor.</w:t>
      </w:r>
    </w:p>
    <w:p>
      <w:r>
        <w:br w:type="page"/>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60" w:type="dxa"/>
              <w:left w:w="200" w:type="dxa"/>
              <w:bottom w:w="160" w:type="dxa"/>
              <w:right w:w="160" w:type="dxa"/>
            </w:tcMar>
            <w:tcBorders>
              <w:top w:val="none"/>
              <w:left w:val="single" w:sz="26" w:space="0" w:color="76927A"/>
              <w:bottom w:val="none"/>
              <w:right w:val="none"/>
            </w:tcBorders>
          </w:tcPr>
          <w:p>
            <w:pPr>
              <w:keepNext/>
              <w:spacing w:before="0" w:after="120"/>
              <w:jc w:val="left"/>
            </w:pPr>
            <w:r>
              <w:rPr>
                <w:rFonts w:ascii="Outfit" w:hAnsi="Outfit"/>
                <w:b/>
                <w:color w:val="113927"/>
                <w:sz w:val="22"/>
              </w:rPr>
              <w:t>💡  CONCEPTOS CLAVE DEL TEMA 3</w:t>
            </w:r>
          </w:p>
          <w:p>
            <w:pPr>
              <w:keepNext/>
              <w:spacing w:before="0" w:after="40" w:line="276" w:lineRule="auto"/>
              <w:ind w:left="360" w:hanging="216"/>
              <w:jc w:val="both"/>
            </w:pPr>
            <w:r>
              <w:rPr>
                <w:rFonts w:ascii="Calibri" w:hAnsi="Calibri"/>
                <w:b/>
                <w:color w:val="76927A"/>
              </w:rPr>
              <w:t xml:space="preserve">• </w:t>
            </w:r>
            <w:r>
              <w:rPr>
                <w:rFonts w:ascii="Calibri" w:hAnsi="Calibri"/>
                <w:b/>
                <w:color w:val="113927"/>
              </w:rPr>
              <w:t xml:space="preserve">Políticas pasivas: </w:t>
            </w:r>
            <w:r>
              <w:rPr>
                <w:rFonts w:ascii="Calibri" w:hAnsi="Calibri"/>
                <w:color w:val="2F3A30"/>
                <w:sz w:val="19"/>
              </w:rPr>
              <w:t>Prestaciones que sustituyen parcialmente los ingresos perdidos por el desempleo.</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Seguro de búsqueda: </w:t>
            </w:r>
            <w:r>
              <w:rPr>
                <w:rFonts w:ascii="Calibri" w:hAnsi="Calibri"/>
                <w:color w:val="2F3A30"/>
                <w:sz w:val="19"/>
              </w:rPr>
              <w:t>Función de la prestación que permite buscar un empleo mejor ajustado a la cualificación.</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Base reguladora: </w:t>
            </w:r>
            <w:r>
              <w:rPr>
                <w:rFonts w:ascii="Calibri" w:hAnsi="Calibri"/>
                <w:color w:val="2F3A30"/>
                <w:sz w:val="19"/>
              </w:rPr>
              <w:t>Promedio de la base de cotización por desempleo de los últimos 180 días; sobre ella se calcula la prestación contributiva.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IPREM: </w:t>
            </w:r>
            <w:r>
              <w:rPr>
                <w:rFonts w:ascii="Calibri" w:hAnsi="Calibri"/>
                <w:color w:val="2F3A30"/>
                <w:sz w:val="19"/>
              </w:rPr>
              <w:t>Indicador Público de Renta de Efectos Múltiples; referencia de los topes contributivos y de los subsidios (600 €/mes en 2025 y 2026).</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Tasa de reemplazo neta: </w:t>
            </w:r>
            <w:r>
              <w:rPr>
                <w:rFonts w:ascii="Calibri" w:hAnsi="Calibri"/>
                <w:color w:val="2F3A30"/>
                <w:sz w:val="19"/>
              </w:rPr>
              <w:t>Porcentaje del ingreso neto previo que sustituyen las prestaciones netas.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Complemento de Apoyo al Empleo: </w:t>
            </w:r>
            <w:r>
              <w:rPr>
                <w:rFonts w:ascii="Calibri" w:hAnsi="Calibri"/>
                <w:color w:val="2F3A30"/>
                <w:sz w:val="19"/>
              </w:rPr>
              <w:t>Parte de la prestación o del subsidio que se mantiene al empezar a trabajar.</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Colocación adecuada: </w:t>
            </w:r>
            <w:r>
              <w:rPr>
                <w:rFonts w:ascii="Calibri" w:hAnsi="Calibri"/>
                <w:color w:val="2F3A30"/>
                <w:sz w:val="19"/>
              </w:rPr>
              <w:t>Oferta de empleo que el beneficiario debe aceptar para no perder la prestación.</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Riesgo moral: </w:t>
            </w:r>
            <w:r>
              <w:rPr>
                <w:rFonts w:ascii="Calibri" w:hAnsi="Calibri"/>
                <w:color w:val="2F3A30"/>
                <w:sz w:val="19"/>
              </w:rPr>
              <w:t>Reducción de la intensidad de búsqueda porque la prestación reduce la ganancia neta de trabajar.</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Efecto liquidez: </w:t>
            </w:r>
            <w:r>
              <w:rPr>
                <w:rFonts w:ascii="Calibri" w:hAnsi="Calibri"/>
                <w:color w:val="2F3A30"/>
                <w:sz w:val="19"/>
              </w:rPr>
              <w:t>Alargamiento del paro porque la prestación permite rechazar empleos de baja calidad a quien no tiene ahorros.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Efecto horizonte: </w:t>
            </w:r>
            <w:r>
              <w:rPr>
                <w:rFonts w:ascii="Calibri" w:hAnsi="Calibri"/>
                <w:color w:val="2F3A30"/>
                <w:sz w:val="19"/>
              </w:rPr>
              <w:t>Aumento de la salida del paro al acercarse el agotamiento de la prestación.</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Dependencia negativa de la duración: </w:t>
            </w:r>
            <w:r>
              <w:rPr>
                <w:rFonts w:ascii="Calibri" w:hAnsi="Calibri"/>
                <w:color w:val="2F3A30"/>
                <w:sz w:val="19"/>
              </w:rPr>
              <w:t>Menor probabilidad de empleo y menores salarios cuanto más se prolonga el paro.</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Ingreso Mínimo Vital: </w:t>
            </w:r>
            <w:r>
              <w:rPr>
                <w:rFonts w:ascii="Calibri" w:hAnsi="Calibri"/>
                <w:color w:val="2F3A30"/>
                <w:sz w:val="19"/>
              </w:rPr>
              <w:t>Prestación no contributiva que garantiza una renta mínima a los hogares vulnerables (Ley 19/2021).</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Renta garantizada: </w:t>
            </w:r>
            <w:r>
              <w:rPr>
                <w:rFonts w:ascii="Calibri" w:hAnsi="Calibri"/>
                <w:color w:val="2F3A30"/>
                <w:sz w:val="19"/>
              </w:rPr>
              <w:t>Nivel de ingresos que el IMV asegura a cada unidad de convivencia.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Non-take-up: </w:t>
            </w:r>
            <w:r>
              <w:rPr>
                <w:rFonts w:ascii="Calibri" w:hAnsi="Calibri"/>
                <w:color w:val="2F3A30"/>
                <w:sz w:val="19"/>
              </w:rPr>
              <w:t>Situación de los hogares que cumplen los requisitos de una prestación pero no la perciben.</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Tipo marginal efectivo: </w:t>
            </w:r>
            <w:r>
              <w:rPr>
                <w:rFonts w:ascii="Calibri" w:hAnsi="Calibri"/>
                <w:color w:val="2F3A30"/>
                <w:sz w:val="19"/>
              </w:rPr>
              <w:t>Proporción de un euro adicional de salario que se pierde por retirada de prestaciones, cotizaciones e impuestos.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Trampa de la pobreza: </w:t>
            </w:r>
            <w:r>
              <w:rPr>
                <w:rFonts w:ascii="Calibri" w:hAnsi="Calibri"/>
                <w:color w:val="2F3A30"/>
                <w:sz w:val="19"/>
              </w:rPr>
              <w:t>Situación en la que el tipo marginal efectivo es tan alto que trabajar más no mejora la renta del hogar.</w:t>
            </w:r>
          </w:p>
        </w:tc>
      </w:tr>
    </w:tbl>
    <w:p>
      <w:pPr>
        <w:spacing w:before="0" w:after="160"/>
      </w:pPr>
    </w:p>
    <w:p>
      <w:pPr>
        <w:pStyle w:val="Heading1"/>
        <w:keepNext/>
        <w:spacing w:before="520" w:after="120"/>
        <w:jc w:val="left"/>
      </w:pPr>
      <w:r>
        <w:rPr>
          <w:rFonts w:ascii="Outfit" w:hAnsi="Outfit"/>
          <w:b/>
          <w:color w:val="113927"/>
          <w:sz w:val="30"/>
        </w:rPr>
        <w:t>REFERENCIAS BIBLIOGRÁFICAS</w:t>
      </w:r>
    </w:p>
    <w:p>
      <w:pPr>
        <w:spacing w:after="60"/>
        <w:ind w:left="432" w:hanging="432"/>
        <w:jc w:val="left"/>
      </w:pPr>
      <w:r>
        <w:rPr>
          <w:rFonts w:ascii="Calibri" w:hAnsi="Calibri"/>
          <w:color w:val="2F3A30"/>
          <w:sz w:val="19"/>
        </w:rPr>
        <w:t xml:space="preserve">AIReF (2025). </w:t>
      </w:r>
      <w:r>
        <w:rPr>
          <w:rFonts w:ascii="Calibri" w:hAnsi="Calibri"/>
          <w:i/>
          <w:color w:val="2F3A30"/>
          <w:sz w:val="19"/>
        </w:rPr>
        <w:t>Opinión sobre el Ingreso Mínimo Vital (cuarta opinión)</w:t>
      </w:r>
      <w:r>
        <w:rPr>
          <w:rFonts w:ascii="Calibri" w:hAnsi="Calibri"/>
          <w:color w:val="2F3A30"/>
          <w:sz w:val="19"/>
        </w:rPr>
        <w:t>. Autoridad Independiente de Responsabilidad Fiscal.</w:t>
      </w:r>
    </w:p>
    <w:p>
      <w:pPr>
        <w:spacing w:after="60"/>
        <w:ind w:left="432" w:hanging="432"/>
        <w:jc w:val="left"/>
      </w:pPr>
      <w:r>
        <w:rPr>
          <w:rFonts w:ascii="Calibri" w:hAnsi="Calibri"/>
          <w:color w:val="2F3A30"/>
          <w:sz w:val="19"/>
        </w:rPr>
        <w:t xml:space="preserve">Bentolila, S., García-Pérez, J. I., &amp; Jansen, M. (2017). Are the Spanish long-term unemployed unemployable? </w:t>
      </w:r>
      <w:r>
        <w:rPr>
          <w:rFonts w:ascii="Calibri" w:hAnsi="Calibri"/>
          <w:i/>
          <w:color w:val="2F3A30"/>
          <w:sz w:val="19"/>
        </w:rPr>
        <w:t>SERIEs, 8</w:t>
      </w:r>
      <w:r>
        <w:rPr>
          <w:rFonts w:ascii="Calibri" w:hAnsi="Calibri"/>
          <w:color w:val="2F3A30"/>
          <w:sz w:val="19"/>
        </w:rPr>
        <w:t>(1), 1-41.</w:t>
      </w:r>
    </w:p>
    <w:p>
      <w:pPr>
        <w:spacing w:after="60"/>
        <w:ind w:left="432" w:hanging="432"/>
        <w:jc w:val="left"/>
      </w:pPr>
      <w:r>
        <w:rPr>
          <w:rFonts w:ascii="Calibri" w:hAnsi="Calibri"/>
          <w:color w:val="2F3A30"/>
          <w:sz w:val="19"/>
        </w:rPr>
        <w:t xml:space="preserve">Chetty, R. (2008). Moral hazard versus liquidity and optimal unemployment insurance. </w:t>
      </w:r>
      <w:r>
        <w:rPr>
          <w:rFonts w:ascii="Calibri" w:hAnsi="Calibri"/>
          <w:i/>
          <w:color w:val="2F3A30"/>
          <w:sz w:val="19"/>
        </w:rPr>
        <w:t>Journal of Political Economy, 116</w:t>
      </w:r>
      <w:r>
        <w:rPr>
          <w:rFonts w:ascii="Calibri" w:hAnsi="Calibri"/>
          <w:color w:val="2F3A30"/>
          <w:sz w:val="19"/>
        </w:rPr>
        <w:t>(2), 173-234.</w:t>
      </w:r>
    </w:p>
    <w:p>
      <w:pPr>
        <w:spacing w:after="60"/>
        <w:ind w:left="432" w:hanging="432"/>
        <w:jc w:val="left"/>
      </w:pPr>
      <w:r>
        <w:rPr>
          <w:rFonts w:ascii="Calibri" w:hAnsi="Calibri"/>
          <w:color w:val="2F3A30"/>
          <w:sz w:val="19"/>
        </w:rPr>
        <w:t xml:space="preserve">Cohen, J., &amp; Ganong, P. (2024). Disemployment effects of unemployment insurance: A meta-analysis. </w:t>
      </w:r>
      <w:r>
        <w:rPr>
          <w:rFonts w:ascii="Calibri" w:hAnsi="Calibri"/>
          <w:i/>
          <w:color w:val="2F3A30"/>
          <w:sz w:val="19"/>
        </w:rPr>
        <w:t>NBER Working Paper No. 32832</w:t>
      </w:r>
      <w:r>
        <w:rPr>
          <w:rFonts w:ascii="Calibri" w:hAnsi="Calibri"/>
          <w:color w:val="2F3A30"/>
          <w:sz w:val="19"/>
        </w:rPr>
        <w:t>.</w:t>
      </w:r>
    </w:p>
    <w:p>
      <w:pPr>
        <w:spacing w:after="60"/>
        <w:ind w:left="432" w:hanging="432"/>
        <w:jc w:val="left"/>
      </w:pPr>
      <w:r>
        <w:rPr>
          <w:rFonts w:ascii="Calibri" w:hAnsi="Calibri"/>
          <w:color w:val="2F3A30"/>
          <w:sz w:val="19"/>
        </w:rPr>
        <w:t xml:space="preserve">Di Maggio, M., &amp; Kermani, A. (2016). The importance of unemployment insurance as an automatic stabilizer. </w:t>
      </w:r>
      <w:r>
        <w:rPr>
          <w:rFonts w:ascii="Calibri" w:hAnsi="Calibri"/>
          <w:i/>
          <w:color w:val="2F3A30"/>
          <w:sz w:val="19"/>
        </w:rPr>
        <w:t>NBER Working Paper No. 22625</w:t>
      </w:r>
      <w:r>
        <w:rPr>
          <w:rFonts w:ascii="Calibri" w:hAnsi="Calibri"/>
          <w:color w:val="2F3A30"/>
          <w:sz w:val="19"/>
        </w:rPr>
        <w:t>.</w:t>
      </w:r>
    </w:p>
    <w:p>
      <w:pPr>
        <w:spacing w:after="60"/>
        <w:ind w:left="432" w:hanging="432"/>
        <w:jc w:val="left"/>
      </w:pPr>
      <w:r>
        <w:rPr>
          <w:rFonts w:ascii="Calibri" w:hAnsi="Calibri"/>
          <w:color w:val="2F3A30"/>
          <w:sz w:val="19"/>
        </w:rPr>
        <w:t xml:space="preserve">Gruber, J. (1997). The consumption smoothing benefits of unemployment insurance. </w:t>
      </w:r>
      <w:r>
        <w:rPr>
          <w:rFonts w:ascii="Calibri" w:hAnsi="Calibri"/>
          <w:i/>
          <w:color w:val="2F3A30"/>
          <w:sz w:val="19"/>
        </w:rPr>
        <w:t>American Economic Review, 87</w:t>
      </w:r>
      <w:r>
        <w:rPr>
          <w:rFonts w:ascii="Calibri" w:hAnsi="Calibri"/>
          <w:color w:val="2F3A30"/>
          <w:sz w:val="19"/>
        </w:rPr>
        <w:t>(1), 192-205.</w:t>
      </w:r>
    </w:p>
    <w:p>
      <w:pPr>
        <w:spacing w:after="60"/>
        <w:ind w:left="432" w:hanging="432"/>
        <w:jc w:val="left"/>
      </w:pPr>
      <w:r>
        <w:rPr>
          <w:rFonts w:ascii="Calibri" w:hAnsi="Calibri"/>
          <w:color w:val="2F3A30"/>
          <w:sz w:val="19"/>
        </w:rPr>
        <w:t xml:space="preserve">Katz, L. F., &amp; Meyer, B. D. (1990). The impact of the potential duration of unemployment benefits on the duration of unemployment. </w:t>
      </w:r>
      <w:r>
        <w:rPr>
          <w:rFonts w:ascii="Calibri" w:hAnsi="Calibri"/>
          <w:i/>
          <w:color w:val="2F3A30"/>
          <w:sz w:val="19"/>
        </w:rPr>
        <w:t>Journal of Public Economics, 41</w:t>
      </w:r>
      <w:r>
        <w:rPr>
          <w:rFonts w:ascii="Calibri" w:hAnsi="Calibri"/>
          <w:color w:val="2F3A30"/>
          <w:sz w:val="19"/>
        </w:rPr>
        <w:t>(1), 45-72.</w:t>
      </w:r>
    </w:p>
    <w:p>
      <w:pPr>
        <w:spacing w:after="60"/>
        <w:ind w:left="432" w:hanging="432"/>
        <w:jc w:val="left"/>
      </w:pPr>
      <w:r>
        <w:rPr>
          <w:rFonts w:ascii="Calibri" w:hAnsi="Calibri"/>
          <w:color w:val="2F3A30"/>
          <w:sz w:val="19"/>
        </w:rPr>
        <w:t xml:space="preserve">Kekre, R. (2023). Unemployment insurance in macroeconomic stabilization. </w:t>
      </w:r>
      <w:r>
        <w:rPr>
          <w:rFonts w:ascii="Calibri" w:hAnsi="Calibri"/>
          <w:i/>
          <w:color w:val="2F3A30"/>
          <w:sz w:val="19"/>
        </w:rPr>
        <w:t>Review of Economic Studies</w:t>
      </w:r>
      <w:r>
        <w:rPr>
          <w:rFonts w:ascii="Calibri" w:hAnsi="Calibri"/>
          <w:color w:val="2F3A30"/>
          <w:sz w:val="19"/>
        </w:rPr>
        <w:t>.</w:t>
      </w:r>
    </w:p>
    <w:p>
      <w:pPr>
        <w:spacing w:after="60"/>
        <w:ind w:left="432" w:hanging="432"/>
        <w:jc w:val="left"/>
      </w:pPr>
      <w:r>
        <w:rPr>
          <w:rFonts w:ascii="Calibri" w:hAnsi="Calibri"/>
          <w:color w:val="2F3A30"/>
          <w:sz w:val="19"/>
        </w:rPr>
        <w:t xml:space="preserve">McCall, J. J. (1970). Economics of information and job search. </w:t>
      </w:r>
      <w:r>
        <w:rPr>
          <w:rFonts w:ascii="Calibri" w:hAnsi="Calibri"/>
          <w:i/>
          <w:color w:val="2F3A30"/>
          <w:sz w:val="19"/>
        </w:rPr>
        <w:t>Quarterly Journal of Economics, 84</w:t>
      </w:r>
      <w:r>
        <w:rPr>
          <w:rFonts w:ascii="Calibri" w:hAnsi="Calibri"/>
          <w:color w:val="2F3A30"/>
          <w:sz w:val="19"/>
        </w:rPr>
        <w:t>(1), 113-126.</w:t>
      </w:r>
    </w:p>
    <w:p>
      <w:pPr>
        <w:spacing w:after="60"/>
        <w:ind w:left="432" w:hanging="432"/>
        <w:jc w:val="left"/>
      </w:pPr>
      <w:r>
        <w:rPr>
          <w:rFonts w:ascii="Calibri" w:hAnsi="Calibri"/>
          <w:color w:val="2F3A30"/>
          <w:sz w:val="19"/>
        </w:rPr>
        <w:t xml:space="preserve">Mortensen, D. T. (1977). Unemployment insurance and job search decisions. </w:t>
      </w:r>
      <w:r>
        <w:rPr>
          <w:rFonts w:ascii="Calibri" w:hAnsi="Calibri"/>
          <w:i/>
          <w:color w:val="2F3A30"/>
          <w:sz w:val="19"/>
        </w:rPr>
        <w:t>Industrial and Labor Relations Review, 30</w:t>
      </w:r>
      <w:r>
        <w:rPr>
          <w:rFonts w:ascii="Calibri" w:hAnsi="Calibri"/>
          <w:color w:val="2F3A30"/>
          <w:sz w:val="19"/>
        </w:rPr>
        <w:t>(4), 505-517.</w:t>
      </w:r>
    </w:p>
    <w:p>
      <w:pPr>
        <w:spacing w:after="60"/>
        <w:ind w:left="432" w:hanging="432"/>
        <w:jc w:val="left"/>
      </w:pPr>
      <w:r>
        <w:rPr>
          <w:rFonts w:ascii="Calibri" w:hAnsi="Calibri"/>
          <w:color w:val="2F3A30"/>
          <w:sz w:val="19"/>
        </w:rPr>
        <w:t xml:space="preserve">Nekoei, A., &amp; Weber, A. (2017). Does extending unemployment benefits improve job quality? </w:t>
      </w:r>
      <w:r>
        <w:rPr>
          <w:rFonts w:ascii="Calibri" w:hAnsi="Calibri"/>
          <w:i/>
          <w:color w:val="2F3A30"/>
          <w:sz w:val="19"/>
        </w:rPr>
        <w:t>American Economic Review, 107</w:t>
      </w:r>
      <w:r>
        <w:rPr>
          <w:rFonts w:ascii="Calibri" w:hAnsi="Calibri"/>
          <w:color w:val="2F3A30"/>
          <w:sz w:val="19"/>
        </w:rPr>
        <w:t>(2), 527-561.</w:t>
      </w:r>
    </w:p>
    <w:p>
      <w:pPr>
        <w:spacing w:after="60"/>
        <w:ind w:left="432" w:hanging="432"/>
        <w:jc w:val="left"/>
      </w:pPr>
      <w:r>
        <w:rPr>
          <w:rFonts w:ascii="Calibri" w:hAnsi="Calibri"/>
          <w:color w:val="2F3A30"/>
          <w:sz w:val="19"/>
        </w:rPr>
        <w:t xml:space="preserve">Rebollo-Sanz, Y. (2012). Unemployment insurance and job turnover in Spain. </w:t>
      </w:r>
      <w:r>
        <w:rPr>
          <w:rFonts w:ascii="Calibri" w:hAnsi="Calibri"/>
          <w:i/>
          <w:color w:val="2F3A30"/>
          <w:sz w:val="19"/>
        </w:rPr>
        <w:t>Labour Economics, 19</w:t>
      </w:r>
      <w:r>
        <w:rPr>
          <w:rFonts w:ascii="Calibri" w:hAnsi="Calibri"/>
          <w:color w:val="2F3A30"/>
          <w:sz w:val="19"/>
        </w:rPr>
        <w:t>(3), 403-426.</w:t>
      </w:r>
    </w:p>
    <w:p>
      <w:pPr>
        <w:spacing w:after="60"/>
        <w:ind w:left="432" w:hanging="432"/>
        <w:jc w:val="left"/>
      </w:pPr>
      <w:r>
        <w:rPr>
          <w:rFonts w:ascii="Calibri" w:hAnsi="Calibri"/>
          <w:color w:val="2F3A30"/>
          <w:sz w:val="19"/>
        </w:rPr>
        <w:t xml:space="preserve">Rebollo-Sanz, Y., &amp; Rodríguez-Planas, N. (2020). When the going gets tough... Financial incentives, duration of unemployment and job-match quality. </w:t>
      </w:r>
      <w:r>
        <w:rPr>
          <w:rFonts w:ascii="Calibri" w:hAnsi="Calibri"/>
          <w:i/>
          <w:color w:val="2F3A30"/>
          <w:sz w:val="19"/>
        </w:rPr>
        <w:t>Journal of Human Resources, 55</w:t>
      </w:r>
      <w:r>
        <w:rPr>
          <w:rFonts w:ascii="Calibri" w:hAnsi="Calibri"/>
          <w:color w:val="2F3A30"/>
          <w:sz w:val="19"/>
        </w:rPr>
        <w:t>(1), 119-161.</w:t>
      </w:r>
    </w:p>
    <w:p>
      <w:pPr>
        <w:spacing w:after="60"/>
        <w:ind w:left="432" w:hanging="432"/>
        <w:jc w:val="left"/>
      </w:pPr>
      <w:r>
        <w:rPr>
          <w:rFonts w:ascii="Calibri" w:hAnsi="Calibri"/>
          <w:color w:val="2F3A30"/>
          <w:sz w:val="19"/>
        </w:rPr>
        <w:t xml:space="preserve">Schmieder, J. F., von Wachter, T., &amp; Bender, S. (2012). The effects of extended unemployment insurance over the business cycle: Evidence from regression discontinuity estimates over 20 years. </w:t>
      </w:r>
      <w:r>
        <w:rPr>
          <w:rFonts w:ascii="Calibri" w:hAnsi="Calibri"/>
          <w:i/>
          <w:color w:val="2F3A30"/>
          <w:sz w:val="19"/>
        </w:rPr>
        <w:t>Quarterly Journal of Economics, 127</w:t>
      </w:r>
      <w:r>
        <w:rPr>
          <w:rFonts w:ascii="Calibri" w:hAnsi="Calibri"/>
          <w:color w:val="2F3A30"/>
          <w:sz w:val="19"/>
        </w:rPr>
        <w:t>(2), 701-752.</w:t>
      </w:r>
    </w:p>
    <w:p>
      <w:pPr>
        <w:spacing w:after="60"/>
        <w:ind w:left="432" w:hanging="432"/>
        <w:jc w:val="left"/>
      </w:pPr>
      <w:r>
        <w:rPr>
          <w:rFonts w:ascii="Calibri" w:hAnsi="Calibri"/>
          <w:color w:val="2F3A30"/>
          <w:sz w:val="19"/>
        </w:rPr>
        <w:t xml:space="preserve">Schmieder, J. F., von Wachter, T., &amp; Bender, S. (2016). The effect of unemployment benefits and nonemployment durations on wages. </w:t>
      </w:r>
      <w:r>
        <w:rPr>
          <w:rFonts w:ascii="Calibri" w:hAnsi="Calibri"/>
          <w:i/>
          <w:color w:val="2F3A30"/>
          <w:sz w:val="19"/>
        </w:rPr>
        <w:t>American Economic Review, 106</w:t>
      </w:r>
      <w:r>
        <w:rPr>
          <w:rFonts w:ascii="Calibri" w:hAnsi="Calibri"/>
          <w:color w:val="2F3A30"/>
          <w:sz w:val="19"/>
        </w:rPr>
        <w:t>(3), 739-777.</w:t>
      </w:r>
    </w:p>
    <w:p>
      <w:pPr>
        <w:pStyle w:val="Heading2"/>
        <w:keepNext/>
        <w:spacing w:before="360" w:after="100"/>
        <w:jc w:val="left"/>
      </w:pPr>
      <w:r>
        <w:rPr>
          <w:rFonts w:ascii="Outfit" w:hAnsi="Outfit"/>
          <w:b/>
          <w:color w:val="76927A"/>
          <w:sz w:val="25"/>
        </w:rPr>
        <w:t>Normativa y documentos oficiales</w:t>
      </w:r>
    </w:p>
    <w:p>
      <w:pPr>
        <w:spacing w:after="60"/>
        <w:ind w:left="432" w:hanging="432"/>
        <w:jc w:val="left"/>
      </w:pPr>
      <w:r>
        <w:rPr>
          <w:rFonts w:ascii="Calibri" w:hAnsi="Calibri"/>
          <w:color w:val="2F3A30"/>
          <w:sz w:val="19"/>
        </w:rPr>
        <w:t>Real Decreto Legislativo 8/2015, de 30 de octubre, por el que se aprueba el texto refundido de la Ley General de la Seguridad Social (título III, protección por desempleo).</w:t>
      </w:r>
    </w:p>
    <w:p>
      <w:pPr>
        <w:spacing w:after="60"/>
        <w:ind w:left="432" w:hanging="432"/>
        <w:jc w:val="left"/>
      </w:pPr>
      <w:r>
        <w:rPr>
          <w:rFonts w:ascii="Calibri" w:hAnsi="Calibri"/>
          <w:color w:val="2F3A30"/>
          <w:sz w:val="19"/>
        </w:rPr>
        <w:t xml:space="preserve">Real Decreto-ley 20/2020, de 29 de mayo, por el que se establece el ingreso mínimo vital. </w:t>
      </w:r>
      <w:r>
        <w:rPr>
          <w:rFonts w:ascii="Calibri" w:hAnsi="Calibri"/>
          <w:i/>
          <w:color w:val="2F3A30"/>
          <w:sz w:val="19"/>
        </w:rPr>
        <w:t>Boletín Oficial del Estado</w:t>
      </w:r>
      <w:r>
        <w:rPr>
          <w:rFonts w:ascii="Calibri" w:hAnsi="Calibri"/>
          <w:color w:val="2F3A30"/>
          <w:sz w:val="19"/>
        </w:rPr>
        <w:t>, 154, de 1 de junio de 2020.</w:t>
      </w:r>
    </w:p>
    <w:p>
      <w:pPr>
        <w:spacing w:after="60"/>
        <w:ind w:left="432" w:hanging="432"/>
        <w:jc w:val="left"/>
      </w:pPr>
      <w:r>
        <w:rPr>
          <w:rFonts w:ascii="Calibri" w:hAnsi="Calibri"/>
          <w:color w:val="2F3A30"/>
          <w:sz w:val="19"/>
        </w:rPr>
        <w:t xml:space="preserve">Ley 19/2021, de 20 de diciembre, por la que se establece el ingreso mínimo vital. </w:t>
      </w:r>
      <w:r>
        <w:rPr>
          <w:rFonts w:ascii="Calibri" w:hAnsi="Calibri"/>
          <w:i/>
          <w:color w:val="2F3A30"/>
          <w:sz w:val="19"/>
        </w:rPr>
        <w:t>Boletín Oficial del Estado</w:t>
      </w:r>
      <w:r>
        <w:rPr>
          <w:rFonts w:ascii="Calibri" w:hAnsi="Calibri"/>
          <w:color w:val="2F3A30"/>
          <w:sz w:val="19"/>
        </w:rPr>
        <w:t>, 304, de 21 de diciembre de 2021.</w:t>
      </w:r>
    </w:p>
    <w:p>
      <w:pPr>
        <w:spacing w:after="60"/>
        <w:ind w:left="432" w:hanging="432"/>
        <w:jc w:val="left"/>
      </w:pPr>
      <w:r>
        <w:rPr>
          <w:rFonts w:ascii="Calibri" w:hAnsi="Calibri"/>
          <w:color w:val="2F3A30"/>
          <w:sz w:val="19"/>
        </w:rPr>
        <w:t>Real Decreto 789/2022, de 27 de septiembre, por el que se regula la compatibilidad del Ingreso Mínimo Vital con los ingresos procedentes de rentas del trabajo o de la actividad económica por cuenta propia.</w:t>
      </w:r>
    </w:p>
    <w:p>
      <w:pPr>
        <w:spacing w:after="60"/>
        <w:ind w:left="432" w:hanging="432"/>
        <w:jc w:val="left"/>
      </w:pPr>
      <w:r>
        <w:rPr>
          <w:rFonts w:ascii="Calibri" w:hAnsi="Calibri"/>
          <w:color w:val="2F3A30"/>
          <w:sz w:val="19"/>
        </w:rPr>
        <w:t xml:space="preserve">Ley 3/2023, de 28 de febrero, de Empleo. </w:t>
      </w:r>
      <w:r>
        <w:rPr>
          <w:rFonts w:ascii="Calibri" w:hAnsi="Calibri"/>
          <w:i/>
          <w:color w:val="2F3A30"/>
          <w:sz w:val="19"/>
        </w:rPr>
        <w:t>Boletín Oficial del Estado</w:t>
      </w:r>
      <w:r>
        <w:rPr>
          <w:rFonts w:ascii="Calibri" w:hAnsi="Calibri"/>
          <w:color w:val="2F3A30"/>
          <w:sz w:val="19"/>
        </w:rPr>
        <w:t>, 51, de 1 de marzo de 2023.</w:t>
      </w:r>
    </w:p>
    <w:p>
      <w:pPr>
        <w:spacing w:after="60"/>
        <w:ind w:left="432" w:hanging="432"/>
        <w:jc w:val="left"/>
      </w:pPr>
      <w:r>
        <w:rPr>
          <w:rFonts w:ascii="Calibri" w:hAnsi="Calibri"/>
          <w:color w:val="2F3A30"/>
          <w:sz w:val="19"/>
        </w:rPr>
        <w:t xml:space="preserve">Real Decreto-ley 2/2024, de 21 de mayo, por el que se adoptan medidas urgentes para la simplificación y mejora del nivel asistencial de la protección por desempleo. </w:t>
      </w:r>
      <w:r>
        <w:rPr>
          <w:rFonts w:ascii="Calibri" w:hAnsi="Calibri"/>
          <w:i/>
          <w:color w:val="2F3A30"/>
          <w:sz w:val="19"/>
        </w:rPr>
        <w:t>Boletín Oficial del Estado</w:t>
      </w:r>
      <w:r>
        <w:rPr>
          <w:rFonts w:ascii="Calibri" w:hAnsi="Calibri"/>
          <w:color w:val="2F3A30"/>
          <w:sz w:val="19"/>
        </w:rPr>
        <w:t>, 124, de 22 de mayo de 2024.</w:t>
      </w:r>
    </w:p>
    <w:p>
      <w:pPr>
        <w:spacing w:after="60"/>
        <w:ind w:left="432" w:hanging="432"/>
        <w:jc w:val="left"/>
      </w:pPr>
      <w:r>
        <w:rPr>
          <w:rFonts w:ascii="Calibri" w:hAnsi="Calibri"/>
          <w:color w:val="2F3A30"/>
          <w:sz w:val="19"/>
        </w:rPr>
        <w:t xml:space="preserve">Real Decreto 438/2024, de 30 de abril, por el que se desarrollan la Cartera Común de Servicios del Sistema Nacional de Empleo y los servicios garantizados. </w:t>
      </w:r>
      <w:r>
        <w:rPr>
          <w:rFonts w:ascii="Calibri" w:hAnsi="Calibri"/>
          <w:i/>
          <w:color w:val="2F3A30"/>
          <w:sz w:val="19"/>
        </w:rPr>
        <w:t>Boletín Oficial del Estado</w:t>
      </w:r>
      <w:r>
        <w:rPr>
          <w:rFonts w:ascii="Calibri" w:hAnsi="Calibri"/>
          <w:color w:val="2F3A30"/>
          <w:sz w:val="19"/>
        </w:rPr>
        <w:t>, 106, de 2 de mayo de 2024.</w:t>
      </w:r>
    </w:p>
    <w:p>
      <w:pPr>
        <w:spacing w:after="60"/>
        <w:ind w:left="432" w:hanging="432"/>
        <w:jc w:val="left"/>
      </w:pPr>
      <w:r>
        <w:rPr>
          <w:rFonts w:ascii="Calibri" w:hAnsi="Calibri"/>
          <w:color w:val="2F3A30"/>
          <w:sz w:val="19"/>
        </w:rPr>
        <w:t>Real Decreto-ley 3/2026, de 3 de febrero, para la revalorización de las pensiones públicas y otras medidas urgentes en materia de Seguridad Social.</w:t>
      </w:r>
    </w:p>
    <w:p>
      <w:pPr>
        <w:spacing w:after="60"/>
        <w:ind w:left="432" w:hanging="432"/>
        <w:jc w:val="left"/>
      </w:pPr>
      <w:r>
        <w:rPr>
          <w:rFonts w:ascii="Calibri" w:hAnsi="Calibri"/>
          <w:color w:val="2F3A30"/>
          <w:sz w:val="19"/>
        </w:rPr>
        <w:t>Real Decreto 240/2026, de 25 de marzo, por el que se modifica el Real Decreto 789/2022, de 27 de septiembre.</w:t>
      </w:r>
    </w:p>
    <w:sectPr w:rsidR="00FC693F" w:rsidRPr="0006063C" w:rsidSect="00034616">
      <w:headerReference w:type="default" r:id="rId13"/>
      <w:footerReference w:type="default" r:id="rId14"/>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6927A"/>
        <w:sz w:val="17"/>
      </w:rPr>
      <w:t xml:space="preserve">Universidad Pablo de Olavide (UPO) · Grado en RRLL y RRHH | </w:t>
    </w:r>
    <w:r>
      <w:rPr>
        <w:rFonts w:ascii="Calibri" w:hAnsi="Calibri"/>
        <w:color w:val="2F3A30"/>
        <w:sz w:val="17"/>
      </w:rPr>
      <w:t xml:space="preserve">Página </w:t>
    </w:r>
    <w:fldSimple w:instr="PAGE"/>
    <w:r>
      <w:rPr>
        <w:rFonts w:ascii="Calibri" w:hAnsi="Calibri"/>
        <w:color w:val="2F3A30"/>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Outfit" w:hAnsi="Outfit"/>
        <w:color w:val="76927A"/>
        <w:sz w:val="16"/>
      </w:rPr>
      <w:t>POLÍTICAS SOCIOLABORALES Y DE EMPLEO · TEMA 3: POLÍTICAS PASIVAS DEL MERCADO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before="0"/>
      <w:jc w:val="both"/>
    </w:pPr>
    <w:rPr>
      <w:rFonts w:ascii="Calibri" w:hAnsi="Calibri"/>
      <w:color w:val="2F3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20"/>
      <w:outlineLvl w:val="0"/>
    </w:pPr>
    <w:rPr>
      <w:rFonts w:asciiTheme="majorHAnsi" w:eastAsiaTheme="majorEastAsia" w:hAnsiTheme="majorHAnsi" w:cstheme="majorBidi" w:ascii="Outfit" w:hAnsi="Outfit"/>
      <w:b/>
      <w:bCs/>
      <w:color w:val="113927"/>
      <w:sz w:val="31"/>
      <w:szCs w:val="28"/>
    </w:rPr>
  </w:style>
  <w:style w:type="paragraph" w:styleId="Heading2">
    <w:name w:val="heading 2"/>
    <w:basedOn w:val="Normal"/>
    <w:next w:val="Normal"/>
    <w:link w:val="Heading2Char"/>
    <w:uiPriority w:val="9"/>
    <w:unhideWhenUsed/>
    <w:qFormat/>
    <w:rsid w:val="00FC693F"/>
    <w:pPr>
      <w:keepNext/>
      <w:keepLines/>
      <w:spacing w:before="360" w:after="100"/>
      <w:outlineLvl w:val="1"/>
    </w:pPr>
    <w:rPr>
      <w:rFonts w:asciiTheme="majorHAnsi" w:eastAsiaTheme="majorEastAsia" w:hAnsiTheme="majorHAnsi" w:cstheme="majorBidi" w:ascii="Outfit" w:hAnsi="Outfit"/>
      <w:b/>
      <w:bCs/>
      <w:color w:val="76927A"/>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Outfit" w:hAnsi="Outfit"/>
      <w:b/>
      <w:bCs/>
      <w:color w:val="1139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 Políticas Pasivas del Mercado de Trabajo</dc:title>
  <dc:subject/>
  <dc:creator>Manuel A. Hidalgo Pérez</dc:creator>
  <cp:keywords/>
  <dc:description>generated by python-docx</dc:description>
  <cp:lastModifiedBy/>
  <cp:revision>1</cp:revision>
  <dcterms:created xsi:type="dcterms:W3CDTF">2013-12-23T23:15:00Z</dcterms:created>
  <dcterms:modified xsi:type="dcterms:W3CDTF">2013-12-23T23:15:00Z</dcterms:modified>
  <cp:category/>
</cp:coreProperties>
</file>