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Outfit" w:hAnsi="Outfit"/>
                <w:b/>
                <w:color w:val="113927"/>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592"/>
          </w:tcPr>
          <w:p>
            <w:pPr>
              <w:spacing w:before="0" w:after="0"/>
              <w:jc w:val="right"/>
            </w:pPr>
            <w:r>
              <w:drawing>
                <wp:inline xmlns:a="http://schemas.openxmlformats.org/drawingml/2006/main" xmlns:pic="http://schemas.openxmlformats.org/drawingml/2006/picture">
                  <wp:extent cx="1645920" cy="897775"/>
                  <wp:docPr id="1" name="Picture 1"/>
                  <wp:cNvGraphicFramePr>
                    <a:graphicFrameLocks noChangeAspect="1"/>
                  </wp:cNvGraphicFramePr>
                  <a:graphic>
                    <a:graphicData uri="http://schemas.openxmlformats.org/drawingml/2006/picture">
                      <pic:pic>
                        <pic:nvPicPr>
                          <pic:cNvPr id="0" name="logo_psll_upo.png"/>
                          <pic:cNvPicPr/>
                        </pic:nvPicPr>
                        <pic:blipFill>
                          <a:blip r:embed="rId9"/>
                          <a:stretch>
                            <a:fillRect/>
                          </a:stretch>
                        </pic:blipFill>
                        <pic:spPr>
                          <a:xfrm>
                            <a:off x="0" y="0"/>
                            <a:ext cx="1645920" cy="897775"/>
                          </a:xfrm>
                          <a:prstGeom prst="rect"/>
                        </pic:spPr>
                      </pic:pic>
                    </a:graphicData>
                  </a:graphic>
                </wp:inline>
              </w:drawing>
            </w:r>
          </w:p>
        </w:tc>
      </w:tr>
    </w:tbl>
    <w:p>
      <w:pPr>
        <w:spacing w:before="80" w:after="320"/>
        <w:jc w:val="left"/>
      </w:pPr>
      <w:r>
        <w:rPr>
          <w:rFonts w:ascii="Outfit" w:hAnsi="Outfit"/>
          <w:color w:val="76927A"/>
          <w:sz w:val="20"/>
        </w:rPr>
        <w:t>――――――――――――――――――――――――――――――――――――――――――――――――</w:t>
      </w:r>
    </w:p>
    <w:p>
      <w:pPr>
        <w:keepNext/>
        <w:spacing w:before="160" w:after="280"/>
        <w:jc w:val="left"/>
      </w:pPr>
      <w:r>
        <w:rPr>
          <w:rFonts w:ascii="Outfit" w:hAnsi="Outfit"/>
          <w:b/>
          <w:color w:val="113927"/>
          <w:sz w:val="40"/>
        </w:rPr>
        <w:t>TEMA 1: EL MERCADO DE TRABAJO: EQUILIBRIO Y TIPOS DE DESEMPLEO</w:t>
      </w:r>
    </w:p>
    <w:p>
      <w:pPr>
        <w:pStyle w:val="Heading1"/>
        <w:keepNext/>
        <w:spacing w:before="520" w:after="120"/>
        <w:jc w:val="left"/>
      </w:pPr>
      <w:r>
        <w:rPr>
          <w:rFonts w:ascii="Outfit" w:hAnsi="Outfit"/>
          <w:b/>
          <w:color w:val="113927"/>
          <w:sz w:val="30"/>
        </w:rPr>
        <w:t>1. FUNDAMENTOS DEL MERCADO DE TRABAJO</w:t>
      </w:r>
    </w:p>
    <w:p>
      <w:pPr>
        <w:pStyle w:val="Heading2"/>
        <w:keepNext/>
        <w:spacing w:before="360" w:after="100"/>
        <w:jc w:val="left"/>
      </w:pPr>
      <w:r>
        <w:rPr>
          <w:rFonts w:ascii="Outfit" w:hAnsi="Outfit"/>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113927"/>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113927"/>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113927"/>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113927"/>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113927"/>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113927"/>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113927"/>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113927"/>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113927"/>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113927"/>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113927"/>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Outfit" w:hAnsi="Outfit"/>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Outfit" w:hAnsi="Outfit"/>
          <w:b/>
          <w:color w:val="113927"/>
          <w:sz w:val="22"/>
        </w:rPr>
        <w:t>1.2.1. Tasa de actividad: concepto y determinantes</w:t>
      </w:r>
    </w:p>
    <w:p>
      <w:pPr>
        <w:keepNext/>
        <w:spacing w:after="40" w:line="276" w:lineRule="auto" w:before="160"/>
        <w:ind w:left="0" w:firstLine="0"/>
        <w:jc w:val="left"/>
      </w:pPr>
      <w:r>
        <w:rPr>
          <w:rFonts w:ascii="Calibri" w:hAnsi="Calibri"/>
          <w:b/>
          <w:color w:val="113927"/>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Tasa de actividad% = Población que desea trabajarPoblación en edad de trabajar×100</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Outfit" w:hAnsi="Outfit"/>
          <w:b/>
          <w:color w:val="113927"/>
          <w:sz w:val="18"/>
        </w:rPr>
        <w:t>Figura 1.1: Taxonomía oficial y articulación de la población según la EPA (INE / OIT).</w:t>
      </w:r>
    </w:p>
    <w:p>
      <w:pPr>
        <w:spacing w:before="0" w:after="160"/>
        <w:jc w:val="center"/>
      </w:pPr>
      <w:r>
        <w:rPr>
          <w:rFonts w:ascii="Calibri" w:hAnsi="Calibri"/>
          <w:i/>
          <w:color w:val="76927A"/>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113927"/>
          <w:bottom w:val="single" w:sz="6" w:space="0" w:color="113927"/>
          <w:insideH w:val="single" w:sz="4" w:space="0" w:color="D0DCD2"/>
          <w:left w:val="none"/>
          <w:right w:val="none"/>
          <w:insideV w:val="none"/>
        </w:tblBorders>
      </w:tblPr>
      <w:tblGrid>
        <w:gridCol w:w="3139"/>
        <w:gridCol w:w="3139"/>
        <w:gridCol w:w="3139"/>
      </w:tblGrid>
      <w:tr>
        <w:tc>
          <w:tcPr>
            <w:tcW w:type="dxa" w:w="2592"/>
            <w:shd w:val="clear" w:color="auto" w:fill="113927"/>
            <w:tcMar>
              <w:top w:w="140" w:type="dxa"/>
              <w:left w:w="140" w:type="dxa"/>
              <w:bottom w:w="140" w:type="dxa"/>
              <w:right w:w="140" w:type="dxa"/>
            </w:tcMar>
          </w:tcPr>
          <w:p>
            <w:pPr>
              <w:spacing w:before="0" w:after="0"/>
              <w:jc w:val="left"/>
            </w:pPr>
            <w:r>
              <w:rPr>
                <w:rFonts w:ascii="Outfit" w:hAnsi="Outfit"/>
                <w:b/>
                <w:color w:val="FFFFFF"/>
                <w:sz w:val="19"/>
              </w:rPr>
              <w:t>Indicador Laboral</w:t>
            </w:r>
          </w:p>
        </w:tc>
        <w:tc>
          <w:tcPr>
            <w:tcW w:type="dxa" w:w="3168"/>
            <w:shd w:val="clear" w:color="auto" w:fill="113927"/>
            <w:tcMar>
              <w:top w:w="140" w:type="dxa"/>
              <w:left w:w="140" w:type="dxa"/>
              <w:bottom w:w="140" w:type="dxa"/>
              <w:right w:w="140" w:type="dxa"/>
            </w:tcMar>
          </w:tcPr>
          <w:p>
            <w:pPr>
              <w:spacing w:before="0" w:after="0"/>
              <w:jc w:val="left"/>
            </w:pPr>
            <w:r>
              <w:rPr>
                <w:rFonts w:ascii="Outfit" w:hAnsi="Outfit"/>
                <w:b/>
                <w:color w:val="FFFFFF"/>
                <w:sz w:val="19"/>
              </w:rPr>
              <w:t>Fórmula Matemática Oficial</w:t>
            </w:r>
          </w:p>
        </w:tc>
        <w:tc>
          <w:tcPr>
            <w:tcW w:type="dxa" w:w="3600"/>
            <w:shd w:val="clear" w:color="auto" w:fill="113927"/>
            <w:tcMar>
              <w:top w:w="140" w:type="dxa"/>
              <w:left w:w="140" w:type="dxa"/>
              <w:bottom w:w="140" w:type="dxa"/>
              <w:right w:w="140" w:type="dxa"/>
            </w:tcMar>
          </w:tcPr>
          <w:p>
            <w:pPr>
              <w:spacing w:before="0" w:after="0"/>
              <w:jc w:val="left"/>
            </w:pPr>
            <w:r>
              <w:rPr>
                <w:rFonts w:ascii="Outfit" w:hAnsi="Outfit"/>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113927"/>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113927"/>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113927"/>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113927"/>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113927"/>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113927"/>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113927"/>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113927"/>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113927"/>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4F8F5"/>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Outfit" w:hAnsi="Outfit"/>
                <w:b/>
                <w:color w:val="113927"/>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113927"/>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113927"/>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113927"/>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Outfit" w:hAnsi="Outfit"/>
          <w:b/>
          <w:color w:val="113927"/>
          <w:sz w:val="18"/>
        </w:rPr>
        <w:t>Figura 1.2: Algoritmo y criterios de clasificación de la población laboral según la OIT y la EPA.</w:t>
      </w:r>
    </w:p>
    <w:p>
      <w:pPr>
        <w:spacing w:before="0" w:after="160"/>
        <w:jc w:val="center"/>
      </w:pPr>
      <w:r>
        <w:rPr>
          <w:rFonts w:ascii="Calibri" w:hAnsi="Calibri"/>
          <w:i/>
          <w:color w:val="76927A"/>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113927"/>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113927"/>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113927"/>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113927"/>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113927"/>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113927"/>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113927"/>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113927"/>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113927"/>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113927"/>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113927"/>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Outfit" w:hAnsi="Outfit"/>
          <w:b/>
          <w:color w:val="113927"/>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Tasa de desempleo%=Población desempleadaPoblación activa×100</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113927"/>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113927"/>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113927"/>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Outfit" w:hAnsi="Outfit"/>
          <w:b/>
          <w:color w:val="113927"/>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spacing w:after="90" w:line="276" w:lineRule="auto"/>
        <w:ind w:left="0" w:firstLine="0"/>
        <w:jc w:val="both"/>
      </w:pPr>
      <w:r>
        <w:rPr>
          <w:rFonts w:ascii="Calibri" w:hAnsi="Calibri"/>
          <w:color w:val="2F3A30"/>
          <w:sz w:val="21"/>
        </w:rPr>
        <w:t>Tasa de empleo%=Población ocupadaPoblación en edad de trabajar×100</w:t>
      </w:r>
    </w:p>
    <w:p>
      <w:pPr>
        <w:keepNext/>
        <w:spacing w:after="40" w:line="276" w:lineRule="auto" w:before="160"/>
        <w:ind w:left="0" w:firstLine="0"/>
        <w:jc w:val="left"/>
      </w:pPr>
      <w:r>
        <w:rPr>
          <w:rFonts w:ascii="Calibri" w:hAnsi="Calibri"/>
          <w:b/>
          <w:color w:val="113927"/>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113927"/>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113927"/>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113927"/>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113927"/>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113927"/>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113927"/>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113927"/>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113927"/>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113927"/>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113927"/>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113927"/>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113927"/>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113927"/>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113927"/>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113927"/>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113927"/>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Outfit" w:hAnsi="Outfit"/>
          <w:b/>
          <w:color w:val="113927"/>
          <w:sz w:val="30"/>
        </w:rPr>
        <w:t>2. EL PIB Y LA PRODUCTIVIDAD EN EL MERCADO LABORAL</w:t>
      </w:r>
    </w:p>
    <w:p>
      <w:pPr>
        <w:pStyle w:val="Heading2"/>
        <w:keepNext/>
        <w:spacing w:before="360" w:after="100"/>
        <w:jc w:val="left"/>
      </w:pPr>
      <w:r>
        <w:rPr>
          <w:rFonts w:ascii="Outfit" w:hAnsi="Outfit"/>
          <w:b/>
          <w:color w:val="76927A"/>
          <w:sz w:val="25"/>
        </w:rPr>
        <w:t>2.1. El PIB como medida de la actividad económica</w:t>
      </w:r>
    </w:p>
    <w:p>
      <w:pPr>
        <w:keepNext/>
        <w:spacing w:after="40" w:line="276" w:lineRule="auto" w:before="160"/>
        <w:ind w:left="0" w:firstLine="0"/>
        <w:jc w:val="left"/>
      </w:pPr>
      <w:r>
        <w:rPr>
          <w:rFonts w:ascii="Calibri" w:hAnsi="Calibri"/>
          <w:b/>
          <w:color w:val="113927"/>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113927"/>
          <w:sz w:val="21"/>
        </w:rPr>
        <w:t>El valor añadido en cada etapa de producción</w:t>
      </w:r>
    </w:p>
    <w:p>
      <w:pPr>
        <w:keepNext/>
        <w:spacing w:after="40" w:line="276" w:lineRule="auto" w:before="160"/>
        <w:ind w:left="0" w:firstLine="0"/>
        <w:jc w:val="left"/>
      </w:pPr>
      <w:r>
        <w:rPr>
          <w:rFonts w:ascii="Calibri" w:hAnsi="Calibri"/>
          <w:b/>
          <w:color w:val="113927"/>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113927"/>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113927"/>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113927"/>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113927"/>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Outfit" w:hAnsi="Outfit"/>
          <w:b/>
          <w:color w:val="113927"/>
          <w:sz w:val="18"/>
        </w:rPr>
        <w:t>Figura 1.3: Cadena de valor añadido bruto (VAB) y proceso de producción del pan.</w:t>
      </w:r>
    </w:p>
    <w:p>
      <w:pPr>
        <w:spacing w:before="0" w:after="160"/>
        <w:jc w:val="center"/>
      </w:pPr>
      <w:r>
        <w:rPr>
          <w:rFonts w:ascii="Calibri" w:hAnsi="Calibri"/>
          <w:i/>
          <w:color w:val="76927A"/>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113927"/>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113927"/>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113927"/>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113927"/>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113927"/>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113927"/>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113927"/>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before="120" w:after="120"/>
        <w:jc w:val="center"/>
      </w:pPr>
      <w:r>
        <w:rPr>
          <w:rFonts w:ascii="Calibri" w:hAnsi="Calibri"/>
          <w:b/>
          <w:color w:val="113927"/>
          <w:sz w:val="22"/>
        </w:rPr>
        <w:t>PIB = VAB + Impuestos indirectos netos de subvenciones</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113927"/>
          <w:sz w:val="21"/>
        </w:rPr>
        <w:t>VAB es el Valor Agregado Bruto</w:t>
      </w:r>
    </w:p>
    <w:p>
      <w:pPr>
        <w:keepNext/>
        <w:spacing w:after="40" w:line="276" w:lineRule="auto" w:before="160"/>
        <w:ind w:left="0" w:firstLine="0"/>
        <w:jc w:val="left"/>
      </w:pPr>
      <w:r>
        <w:rPr>
          <w:rFonts w:ascii="Calibri" w:hAnsi="Calibri"/>
          <w:b/>
          <w:color w:val="113927"/>
          <w:sz w:val="21"/>
        </w:rPr>
        <w:t>Impuestos son aquellos aplicados a los productos</w:t>
      </w:r>
    </w:p>
    <w:p>
      <w:pPr>
        <w:keepNext/>
        <w:spacing w:after="40" w:line="276" w:lineRule="auto" w:before="160"/>
        <w:ind w:left="0" w:firstLine="0"/>
        <w:jc w:val="left"/>
      </w:pPr>
      <w:r>
        <w:rPr>
          <w:rFonts w:ascii="Calibri" w:hAnsi="Calibri"/>
          <w:b/>
          <w:color w:val="113927"/>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670895"/>
            <wp:docPr id="5" name="Picture 5"/>
            <wp:cNvGraphicFramePr>
              <a:graphicFrameLocks noChangeAspect="1"/>
            </wp:cNvGraphicFramePr>
            <a:graphic>
              <a:graphicData uri="http://schemas.openxmlformats.org/drawingml/2006/picture">
                <pic:pic>
                  <pic:nvPicPr>
                    <pic:cNvPr id="0" name="pib_interanual.png"/>
                    <pic:cNvPicPr/>
                  </pic:nvPicPr>
                  <pic:blipFill>
                    <a:blip r:embed="rId13"/>
                    <a:stretch>
                      <a:fillRect/>
                    </a:stretch>
                  </pic:blipFill>
                  <pic:spPr>
                    <a:xfrm>
                      <a:off x="0" y="0"/>
                      <a:ext cx="5669280" cy="3670895"/>
                    </a:xfrm>
                    <a:prstGeom prst="rect"/>
                  </pic:spPr>
                </pic:pic>
              </a:graphicData>
            </a:graphic>
          </wp:inline>
        </w:drawing>
      </w:r>
    </w:p>
    <w:p>
      <w:pPr>
        <w:keepNext/>
        <w:spacing w:before="0" w:after="20"/>
        <w:jc w:val="center"/>
      </w:pPr>
      <w:r>
        <w:rPr>
          <w:rFonts w:ascii="Outfit" w:hAnsi="Outfit"/>
          <w:b/>
          <w:color w:val="113927"/>
          <w:sz w:val="18"/>
        </w:rPr>
        <w:t>Figura 1.4: Evolución del Producto Interior Bruto (PIB) en España: tasas de variación interanual en volumen encadenado (2022T1 - 2026T2).</w:t>
      </w:r>
    </w:p>
    <w:p>
      <w:pPr>
        <w:spacing w:before="0" w:after="160"/>
        <w:jc w:val="center"/>
      </w:pPr>
      <w:r>
        <w:rPr>
          <w:rFonts w:ascii="Calibri" w:hAnsi="Calibri"/>
          <w:i/>
          <w:color w:val="76927A"/>
          <w:sz w:val="16"/>
        </w:rPr>
        <w:t>Fuente: Instituto Nacional de Estadística (INE), Contabilidad Nacional Trimestral de España (CNTR).</w:t>
      </w:r>
    </w:p>
    <w:p>
      <w:pPr>
        <w:keepNext/>
        <w:spacing w:after="40" w:line="276" w:lineRule="auto" w:before="160"/>
        <w:ind w:left="0" w:firstLine="0"/>
        <w:jc w:val="left"/>
      </w:pPr>
      <w:r>
        <w:rPr>
          <w:rFonts w:ascii="Calibri" w:hAnsi="Calibri"/>
          <w:b/>
          <w:color w:val="113927"/>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113927"/>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113927"/>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113927"/>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before="120" w:after="120"/>
        <w:jc w:val="center"/>
      </w:pPr>
      <w:r>
        <w:rPr>
          <w:rFonts w:ascii="Calibri" w:hAnsi="Calibri"/>
          <w:b/>
          <w:color w:val="113927"/>
          <w:sz w:val="22"/>
        </w:rPr>
        <w:t>Tasa de variación interanual:  t.c. X_t = [(X_t - X_{t-1}) / X_{t-1}] × 100</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113927"/>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before="120" w:after="120"/>
        <w:jc w:val="center"/>
      </w:pPr>
      <w:r>
        <w:rPr>
          <w:rFonts w:ascii="Calibri" w:hAnsi="Calibri"/>
          <w:b/>
          <w:color w:val="113927"/>
          <w:sz w:val="22"/>
        </w:rPr>
        <w:t>PIB per cápita = PIB total / Población total</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113927"/>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113927"/>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113927"/>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113927"/>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113927"/>
          <w:sz w:val="21"/>
        </w:rPr>
        <w:t>No captura la economía informal</w:t>
      </w:r>
    </w:p>
    <w:p>
      <w:pPr>
        <w:pStyle w:val="Heading2"/>
        <w:keepNext/>
        <w:spacing w:before="360" w:after="100"/>
        <w:jc w:val="left"/>
      </w:pPr>
      <w:r>
        <w:rPr>
          <w:rFonts w:ascii="Outfit" w:hAnsi="Outfit"/>
          <w:b/>
          <w:color w:val="76927A"/>
          <w:sz w:val="25"/>
        </w:rPr>
        <w:t>2.2. Productividad y mercado de trabajo</w:t>
      </w:r>
    </w:p>
    <w:p>
      <w:pPr>
        <w:keepNext/>
        <w:spacing w:after="40" w:line="276" w:lineRule="auto" w:before="160"/>
        <w:ind w:left="0" w:firstLine="0"/>
        <w:jc w:val="left"/>
      </w:pPr>
      <w:r>
        <w:rPr>
          <w:rFonts w:ascii="Calibri" w:hAnsi="Calibri"/>
          <w:b/>
          <w:color w:val="113927"/>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113927"/>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113927"/>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113927"/>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113927"/>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113927"/>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113927"/>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113927"/>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spacing w:after="90" w:line="276" w:lineRule="auto"/>
        <w:ind w:left="0" w:firstLine="0"/>
        <w:jc w:val="both"/>
      </w:pPr>
      <w:r>
        <w:rPr>
          <w:rFonts w:ascii="Calibri" w:hAnsi="Calibri"/>
          <w:color w:val="2F3A30"/>
          <w:sz w:val="21"/>
        </w:rPr>
        <w:t>Productividad laboral = Producción total (PIB) / (Número de trabajadores o de horas trabajadas)</w:t>
      </w:r>
    </w:p>
    <w:p>
      <w:pPr>
        <w:keepNext/>
        <w:spacing w:after="40" w:line="276" w:lineRule="auto" w:before="160"/>
        <w:ind w:left="0" w:firstLine="0"/>
        <w:jc w:val="left"/>
      </w:pPr>
      <w:r>
        <w:rPr>
          <w:rFonts w:ascii="Calibri" w:hAnsi="Calibri"/>
          <w:b/>
          <w:color w:val="113927"/>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113927"/>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113927"/>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Outfit" w:hAnsi="Outfit"/>
          <w:b/>
          <w:color w:val="113927"/>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113927"/>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113927"/>
          <w:sz w:val="21"/>
        </w:rPr>
        <w:t>Mejores salarios y mayor estabilidad laboral</w:t>
      </w:r>
    </w:p>
    <w:p>
      <w:pPr>
        <w:keepNext/>
        <w:spacing w:after="40" w:line="276" w:lineRule="auto" w:before="160"/>
        <w:ind w:left="0" w:firstLine="0"/>
        <w:jc w:val="left"/>
      </w:pPr>
      <w:r>
        <w:rPr>
          <w:rFonts w:ascii="Calibri" w:hAnsi="Calibri"/>
          <w:b/>
          <w:color w:val="113927"/>
          <w:sz w:val="21"/>
        </w:rPr>
        <w:t>Habilidades demandadas menos manuales y repetitivas</w:t>
      </w:r>
    </w:p>
    <w:p>
      <w:pPr>
        <w:keepNext/>
        <w:spacing w:after="40" w:line="276" w:lineRule="auto" w:before="160"/>
        <w:ind w:left="0" w:firstLine="0"/>
        <w:jc w:val="left"/>
      </w:pPr>
      <w:r>
        <w:rPr>
          <w:rFonts w:ascii="Calibri" w:hAnsi="Calibri"/>
          <w:b/>
          <w:color w:val="113927"/>
          <w:sz w:val="21"/>
        </w:rPr>
        <w:t>Menor grado de sustitución de trabajadores</w:t>
      </w:r>
    </w:p>
    <w:p>
      <w:pPr>
        <w:keepNext/>
        <w:spacing w:after="40" w:line="276" w:lineRule="auto" w:before="160"/>
        <w:ind w:left="0" w:firstLine="0"/>
        <w:jc w:val="left"/>
      </w:pPr>
      <w:r>
        <w:rPr>
          <w:rFonts w:ascii="Calibri" w:hAnsi="Calibri"/>
          <w:b/>
          <w:color w:val="113927"/>
          <w:sz w:val="21"/>
        </w:rPr>
        <w:t>Tipos de contratos más estables</w:t>
      </w:r>
    </w:p>
    <w:p>
      <w:pPr>
        <w:keepNext/>
        <w:spacing w:after="40" w:line="276" w:lineRule="auto" w:before="160"/>
        <w:ind w:left="0" w:firstLine="0"/>
        <w:jc w:val="left"/>
      </w:pPr>
      <w:r>
        <w:rPr>
          <w:rFonts w:ascii="Calibri" w:hAnsi="Calibri"/>
          <w:b/>
          <w:color w:val="113927"/>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Outfit" w:hAnsi="Outfit"/>
          <w:b/>
          <w:color w:val="113927"/>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113927"/>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3489693"/>
            <wp:docPr id="6" name="Picture 6"/>
            <wp:cNvGraphicFramePr>
              <a:graphicFrameLocks noChangeAspect="1"/>
            </wp:cNvGraphicFramePr>
            <a:graphic>
              <a:graphicData uri="http://schemas.openxmlformats.org/drawingml/2006/picture">
                <pic:pic>
                  <pic:nvPicPr>
                    <pic:cNvPr id="0" name="productividad_salarios.png"/>
                    <pic:cNvPicPr/>
                  </pic:nvPicPr>
                  <pic:blipFill>
                    <a:blip r:embed="rId14"/>
                    <a:stretch>
                      <a:fillRect/>
                    </a:stretch>
                  </pic:blipFill>
                  <pic:spPr>
                    <a:xfrm>
                      <a:off x="0" y="0"/>
                      <a:ext cx="5669280" cy="3489693"/>
                    </a:xfrm>
                    <a:prstGeom prst="rect"/>
                  </pic:spPr>
                </pic:pic>
              </a:graphicData>
            </a:graphic>
          </wp:inline>
        </w:drawing>
      </w:r>
    </w:p>
    <w:p>
      <w:pPr>
        <w:keepNext/>
        <w:spacing w:before="0" w:after="20"/>
        <w:jc w:val="center"/>
      </w:pPr>
      <w:r>
        <w:rPr>
          <w:rFonts w:ascii="Outfit" w:hAnsi="Outfit"/>
          <w:b/>
          <w:color w:val="113927"/>
          <w:sz w:val="18"/>
        </w:rPr>
        <w:t>Figura 1.5: Relación entre productividad por hora trabajada y salario medio en la OCDE (2024).</w:t>
      </w:r>
    </w:p>
    <w:p>
      <w:pPr>
        <w:spacing w:before="0" w:after="160"/>
        <w:jc w:val="center"/>
      </w:pPr>
      <w:r>
        <w:rPr>
          <w:rFonts w:ascii="Calibri" w:hAnsi="Calibri"/>
          <w:i/>
          <w:color w:val="76927A"/>
          <w:sz w:val="16"/>
        </w:rPr>
        <w:t>Fuente: Elaboración propia a partir de datos oficiales de la OCDE (Productivity Statistics &amp; Employment Outlook, 2024).</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113927"/>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113927"/>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113927"/>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113927"/>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113927"/>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Outfit" w:hAnsi="Outfit"/>
          <w:b/>
          <w:color w:val="76927A"/>
          <w:sz w:val="25"/>
        </w:rPr>
        <w:t>2.3. Estructura productiva y empleo de calidad</w:t>
      </w:r>
    </w:p>
    <w:p>
      <w:pPr>
        <w:keepNext/>
        <w:spacing w:after="40" w:line="276" w:lineRule="auto" w:before="160"/>
        <w:ind w:left="0" w:firstLine="0"/>
        <w:jc w:val="left"/>
      </w:pPr>
      <w:r>
        <w:rPr>
          <w:rFonts w:ascii="Calibri" w:hAnsi="Calibri"/>
          <w:b/>
          <w:color w:val="113927"/>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113927"/>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113927"/>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113927"/>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113927"/>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113927"/>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113927"/>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Outfit" w:hAnsi="Outfit"/>
          <w:b/>
          <w:color w:val="113927"/>
          <w:sz w:val="30"/>
        </w:rPr>
        <w:t>EQUILIBRIO EN EL MERCADO DE TRABAJO</w:t>
      </w:r>
    </w:p>
    <w:p>
      <w:pPr>
        <w:pStyle w:val="Heading2"/>
        <w:keepNext/>
        <w:spacing w:before="360" w:after="100"/>
        <w:jc w:val="left"/>
      </w:pPr>
      <w:r>
        <w:rPr>
          <w:rFonts w:ascii="Outfit" w:hAnsi="Outfit"/>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113927"/>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3898763"/>
            <wp:docPr id="7" name="Picture 7"/>
            <wp:cNvGraphicFramePr>
              <a:graphicFrameLocks noChangeAspect="1"/>
            </wp:cNvGraphicFramePr>
            <a:graphic>
              <a:graphicData uri="http://schemas.openxmlformats.org/drawingml/2006/picture">
                <pic:pic>
                  <pic:nvPicPr>
                    <pic:cNvPr id="0" name="modelo_desempleo_neoclasico.png"/>
                    <pic:cNvPicPr/>
                  </pic:nvPicPr>
                  <pic:blipFill>
                    <a:blip r:embed="rId15"/>
                    <a:stretch>
                      <a:fillRect/>
                    </a:stretch>
                  </pic:blipFill>
                  <pic:spPr>
                    <a:xfrm>
                      <a:off x="0" y="0"/>
                      <a:ext cx="5669280" cy="3898763"/>
                    </a:xfrm>
                    <a:prstGeom prst="rect"/>
                  </pic:spPr>
                </pic:pic>
              </a:graphicData>
            </a:graphic>
          </wp:inline>
        </w:drawing>
      </w:r>
    </w:p>
    <w:p>
      <w:pPr>
        <w:keepNext/>
        <w:spacing w:before="0" w:after="20"/>
        <w:jc w:val="center"/>
      </w:pPr>
      <w:r>
        <w:rPr>
          <w:rFonts w:ascii="Outfit" w:hAnsi="Outfit"/>
          <w:b/>
          <w:color w:val="113927"/>
          <w:sz w:val="18"/>
        </w:rPr>
        <w:t>Figura 1.6: El desempleo en el modelo neoclásico del mercado de trabajo: rigidez salarial y exceso de oferta.</w:t>
      </w:r>
    </w:p>
    <w:p>
      <w:pPr>
        <w:spacing w:before="0" w:after="160"/>
        <w:jc w:val="center"/>
      </w:pPr>
      <w:r>
        <w:rPr>
          <w:rFonts w:ascii="Calibri" w:hAnsi="Calibri"/>
          <w:i/>
          <w:color w:val="76927A"/>
          <w:sz w:val="16"/>
        </w:rPr>
        <w:t>Fuente: Elaboración propia a partir del modelo neoclásico del mercado de trabajo (adaptado de M. Barneto).</w:t>
      </w:r>
    </w:p>
    <w:p>
      <w:pPr>
        <w:spacing w:after="70"/>
        <w:ind w:left="504" w:hanging="259"/>
        <w:jc w:val="both"/>
      </w:pPr>
      <w:r>
        <w:rPr>
          <w:rFonts w:ascii="Calibri" w:hAnsi="Calibri"/>
          <w:b/>
          <w:color w:val="76927A"/>
        </w:rPr>
        <w:t xml:space="preserve">•  </w:t>
      </w:r>
      <w:r>
        <w:rPr>
          <w:rFonts w:ascii="Calibri" w:hAnsi="Calibri"/>
          <w:b/>
          <w:color w:val="113927"/>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113927"/>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113927"/>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113927"/>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113927"/>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113927"/>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113927"/>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113927"/>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Outfit" w:hAnsi="Outfit"/>
          <w:b/>
          <w:color w:val="76927A"/>
          <w:sz w:val="25"/>
        </w:rPr>
        <w:t>3.2. Determinación de salarios</w:t>
      </w:r>
    </w:p>
    <w:p>
      <w:pPr>
        <w:keepNext/>
        <w:spacing w:after="40" w:line="276" w:lineRule="auto" w:before="160"/>
        <w:ind w:left="0" w:firstLine="0"/>
        <w:jc w:val="left"/>
      </w:pPr>
      <w:r>
        <w:rPr>
          <w:rFonts w:ascii="Calibri" w:hAnsi="Calibri"/>
          <w:b/>
          <w:color w:val="113927"/>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113927"/>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113927"/>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113927"/>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113927"/>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113927"/>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113927"/>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113927"/>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Outfit" w:hAnsi="Outfit"/>
          <w:b/>
          <w:color w:val="76927A"/>
          <w:sz w:val="25"/>
        </w:rPr>
        <w:t>3.3. El papel de la negociación colectiva</w:t>
      </w:r>
    </w:p>
    <w:p>
      <w:pPr>
        <w:keepNext/>
        <w:spacing w:after="40" w:line="276" w:lineRule="auto" w:before="160"/>
        <w:ind w:left="0" w:firstLine="0"/>
        <w:jc w:val="left"/>
      </w:pPr>
      <w:r>
        <w:rPr>
          <w:rFonts w:ascii="Calibri" w:hAnsi="Calibri"/>
          <w:b/>
          <w:color w:val="113927"/>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113927"/>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113927"/>
          <w:sz w:val="21"/>
        </w:rPr>
        <w:t>Bienestar social y condiciones de trabajo</w:t>
      </w:r>
    </w:p>
    <w:p>
      <w:pPr>
        <w:keepNext/>
        <w:spacing w:after="40" w:line="276" w:lineRule="auto" w:before="160"/>
        <w:ind w:left="0" w:firstLine="0"/>
        <w:jc w:val="left"/>
      </w:pPr>
      <w:r>
        <w:rPr>
          <w:rFonts w:ascii="Calibri" w:hAnsi="Calibri"/>
          <w:b/>
          <w:color w:val="113927"/>
          <w:sz w:val="21"/>
        </w:rPr>
        <w:t>Productividad empresarial y competitividad</w:t>
      </w:r>
    </w:p>
    <w:p>
      <w:pPr>
        <w:keepNext/>
        <w:spacing w:after="40" w:line="276" w:lineRule="auto" w:before="160"/>
        <w:ind w:left="0" w:firstLine="0"/>
        <w:jc w:val="left"/>
      </w:pPr>
      <w:r>
        <w:rPr>
          <w:rFonts w:ascii="Calibri" w:hAnsi="Calibri"/>
          <w:b/>
          <w:color w:val="113927"/>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113927"/>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113927"/>
          <w:sz w:val="21"/>
        </w:rPr>
        <w:t>Las tradiciones laborales y cultura empresarial</w:t>
      </w:r>
    </w:p>
    <w:p>
      <w:pPr>
        <w:keepNext/>
        <w:spacing w:after="40" w:line="276" w:lineRule="auto" w:before="160"/>
        <w:ind w:left="0" w:firstLine="0"/>
        <w:jc w:val="left"/>
      </w:pPr>
      <w:r>
        <w:rPr>
          <w:rFonts w:ascii="Calibri" w:hAnsi="Calibri"/>
          <w:b/>
          <w:color w:val="113927"/>
          <w:sz w:val="21"/>
        </w:rPr>
        <w:t>El marco legal e institucional</w:t>
      </w:r>
    </w:p>
    <w:p>
      <w:pPr>
        <w:keepNext/>
        <w:spacing w:after="40" w:line="276" w:lineRule="auto" w:before="160"/>
        <w:ind w:left="0" w:firstLine="0"/>
        <w:jc w:val="left"/>
      </w:pPr>
      <w:r>
        <w:rPr>
          <w:rFonts w:ascii="Calibri" w:hAnsi="Calibri"/>
          <w:b/>
          <w:color w:val="113927"/>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Outfit" w:hAnsi="Outfit"/>
          <w:b/>
          <w:color w:val="76927A"/>
          <w:sz w:val="25"/>
        </w:rPr>
        <w:t>3.4. Factores que influyen en el equilibrio laboral</w:t>
      </w:r>
    </w:p>
    <w:p>
      <w:pPr>
        <w:keepNext/>
        <w:spacing w:after="40" w:line="276" w:lineRule="auto" w:before="160"/>
        <w:ind w:left="0" w:firstLine="0"/>
        <w:jc w:val="left"/>
      </w:pPr>
      <w:r>
        <w:rPr>
          <w:rFonts w:ascii="Calibri" w:hAnsi="Calibri"/>
          <w:b/>
          <w:color w:val="113927"/>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113927"/>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113927"/>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113927"/>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113927"/>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113927"/>
        </w:rPr>
        <w:t xml:space="preserve">Problemas de equidad: </w:t>
      </w:r>
    </w:p>
    <w:p>
      <w:pPr>
        <w:keepNext/>
        <w:spacing w:after="40" w:line="276" w:lineRule="auto" w:before="160"/>
        <w:ind w:left="0" w:firstLine="0"/>
        <w:jc w:val="left"/>
      </w:pPr>
      <w:r>
        <w:rPr>
          <w:rFonts w:ascii="Calibri" w:hAnsi="Calibri"/>
          <w:b/>
          <w:color w:val="113927"/>
          <w:sz w:val="21"/>
        </w:rPr>
        <w:t>Salarios bajos y pobreza laboral</w:t>
      </w:r>
    </w:p>
    <w:p>
      <w:pPr>
        <w:keepNext/>
        <w:spacing w:after="40" w:line="276" w:lineRule="auto" w:before="160"/>
        <w:ind w:left="0" w:firstLine="0"/>
        <w:jc w:val="left"/>
      </w:pPr>
      <w:r>
        <w:rPr>
          <w:rFonts w:ascii="Calibri" w:hAnsi="Calibri"/>
          <w:b/>
          <w:color w:val="113927"/>
          <w:sz w:val="21"/>
        </w:rPr>
        <w:t>Desigualdad salarial excesiva</w:t>
      </w:r>
    </w:p>
    <w:p>
      <w:pPr>
        <w:keepNext/>
        <w:spacing w:after="40" w:line="276" w:lineRule="auto" w:before="160"/>
        <w:ind w:left="0" w:firstLine="0"/>
        <w:jc w:val="left"/>
      </w:pPr>
      <w:r>
        <w:rPr>
          <w:rFonts w:ascii="Calibri" w:hAnsi="Calibri"/>
          <w:b/>
          <w:color w:val="113927"/>
          <w:sz w:val="21"/>
        </w:rPr>
        <w:t>Exclusión de grupos vulnerables del mercado laboral</w:t>
      </w:r>
    </w:p>
    <w:p>
      <w:pPr>
        <w:keepNext/>
        <w:spacing w:after="40" w:line="276" w:lineRule="auto" w:before="160"/>
        <w:ind w:left="0" w:firstLine="0"/>
        <w:jc w:val="left"/>
      </w:pPr>
      <w:r>
        <w:rPr>
          <w:rFonts w:ascii="Calibri" w:hAnsi="Calibri"/>
          <w:b/>
          <w:color w:val="113927"/>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113927"/>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113927"/>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113927"/>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113927"/>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113927"/>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113927"/>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113927"/>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113927"/>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113927"/>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113927"/>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113927"/>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113927"/>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Outfit" w:hAnsi="Outfit"/>
          <w:b/>
          <w:color w:val="113927"/>
          <w:sz w:val="30"/>
        </w:rPr>
        <w:t>4. TIPOLOGÍA DEL DESEMPLEO</w:t>
      </w: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Outfit" w:hAnsi="Outfit"/>
          <w:b/>
          <w:color w:val="76927A"/>
          <w:sz w:val="25"/>
        </w:rPr>
        <w:t>4.1. Desempleo friccional</w:t>
      </w:r>
    </w:p>
    <w:p>
      <w:pPr>
        <w:pStyle w:val="Heading3"/>
        <w:keepNext/>
        <w:spacing w:before="240" w:after="60"/>
        <w:jc w:val="left"/>
      </w:pPr>
      <w:r>
        <w:rPr>
          <w:rFonts w:ascii="Outfit" w:hAnsi="Outfit"/>
          <w:b/>
          <w:color w:val="113927"/>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113927"/>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113927"/>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113927"/>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113927"/>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113927"/>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113927"/>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113927"/>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113927"/>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Outfit" w:hAnsi="Outfit"/>
          <w:b/>
          <w:color w:val="113927"/>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113927"/>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113927"/>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113927"/>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113927"/>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113927"/>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113927"/>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113927"/>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113927"/>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113927"/>
        </w:rPr>
        <w:t xml:space="preserve">Mejora de la Movilidad Laboral: </w:t>
      </w:r>
    </w:p>
    <w:p>
      <w:pPr>
        <w:keepNext/>
        <w:spacing w:after="40" w:line="276" w:lineRule="auto" w:before="160"/>
        <w:ind w:left="0" w:firstLine="0"/>
        <w:jc w:val="left"/>
      </w:pPr>
      <w:r>
        <w:rPr>
          <w:rFonts w:ascii="Calibri" w:hAnsi="Calibri"/>
          <w:b/>
          <w:color w:val="113927"/>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113927"/>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Outfit" w:hAnsi="Outfit"/>
          <w:b/>
          <w:color w:val="76927A"/>
          <w:sz w:val="25"/>
        </w:rPr>
        <w:t>4.2. Desempleo estructural</w:t>
      </w:r>
    </w:p>
    <w:p>
      <w:pPr>
        <w:pStyle w:val="Heading3"/>
        <w:keepNext/>
        <w:spacing w:before="240" w:after="60"/>
        <w:jc w:val="left"/>
      </w:pPr>
      <w:r>
        <w:rPr>
          <w:rFonts w:ascii="Outfit" w:hAnsi="Outfit"/>
          <w:b/>
          <w:color w:val="113927"/>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113927"/>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113927"/>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113927"/>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113927"/>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113927"/>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113927"/>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113927"/>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113927"/>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113927"/>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113927"/>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113927"/>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113927"/>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113927"/>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113927"/>
          <w:sz w:val="21"/>
        </w:rPr>
        <w:t>Experimentar deterioro de sus habilidades</w:t>
      </w:r>
    </w:p>
    <w:p>
      <w:pPr>
        <w:keepNext/>
        <w:spacing w:after="40" w:line="276" w:lineRule="auto" w:before="160"/>
        <w:ind w:left="0" w:firstLine="0"/>
        <w:jc w:val="left"/>
      </w:pPr>
      <w:r>
        <w:rPr>
          <w:rFonts w:ascii="Calibri" w:hAnsi="Calibri"/>
          <w:b/>
          <w:color w:val="113927"/>
          <w:sz w:val="21"/>
        </w:rPr>
        <w:t>Perder contactos profesionales</w:t>
      </w:r>
    </w:p>
    <w:p>
      <w:pPr>
        <w:keepNext/>
        <w:spacing w:after="40" w:line="276" w:lineRule="auto" w:before="160"/>
        <w:ind w:left="0" w:firstLine="0"/>
        <w:jc w:val="left"/>
      </w:pPr>
      <w:r>
        <w:rPr>
          <w:rFonts w:ascii="Calibri" w:hAnsi="Calibri"/>
          <w:b/>
          <w:color w:val="113927"/>
          <w:sz w:val="21"/>
        </w:rPr>
        <w:t>Sufrir estigmatización por parte de los empleadores</w:t>
      </w:r>
    </w:p>
    <w:p>
      <w:pPr>
        <w:keepNext/>
        <w:spacing w:after="40" w:line="276" w:lineRule="auto" w:before="160"/>
        <w:ind w:left="0" w:firstLine="0"/>
        <w:jc w:val="left"/>
      </w:pPr>
      <w:r>
        <w:rPr>
          <w:rFonts w:ascii="Calibri" w:hAnsi="Calibri"/>
          <w:b/>
          <w:color w:val="113927"/>
          <w:sz w:val="21"/>
        </w:rPr>
        <w:t>Desarrollar comportamientos de búsqueda menos intensos</w:t>
      </w:r>
    </w:p>
    <w:p>
      <w:pPr>
        <w:keepNext/>
        <w:spacing w:after="40" w:line="276" w:lineRule="auto" w:before="160"/>
        <w:ind w:left="0" w:firstLine="0"/>
        <w:jc w:val="left"/>
      </w:pPr>
      <w:r>
        <w:rPr>
          <w:rFonts w:ascii="Calibri" w:hAnsi="Calibri"/>
          <w:b/>
          <w:color w:val="113927"/>
          <w:sz w:val="21"/>
        </w:rPr>
        <w:t>Retirarse completamente de la fuerza laboral</w:t>
      </w:r>
    </w:p>
    <w:p>
      <w:pPr>
        <w:pStyle w:val="Heading3"/>
        <w:keepNext/>
        <w:spacing w:before="240" w:after="60"/>
        <w:jc w:val="left"/>
      </w:pPr>
      <w:r>
        <w:rPr>
          <w:rFonts w:ascii="Outfit" w:hAnsi="Outfit"/>
          <w:b/>
          <w:color w:val="113927"/>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113927"/>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113927"/>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113927"/>
          <w:sz w:val="21"/>
        </w:rPr>
        <w:t>Niveles educativos</w:t>
      </w:r>
    </w:p>
    <w:p>
      <w:pPr>
        <w:keepNext/>
        <w:spacing w:after="40" w:line="276" w:lineRule="auto" w:before="160"/>
        <w:ind w:left="0" w:firstLine="0"/>
        <w:jc w:val="left"/>
      </w:pPr>
      <w:r>
        <w:rPr>
          <w:rFonts w:ascii="Calibri" w:hAnsi="Calibri"/>
          <w:b/>
          <w:color w:val="113927"/>
          <w:sz w:val="21"/>
        </w:rPr>
        <w:t>Sectores económicos</w:t>
      </w:r>
    </w:p>
    <w:p>
      <w:pPr>
        <w:keepNext/>
        <w:spacing w:after="40" w:line="276" w:lineRule="auto" w:before="160"/>
        <w:ind w:left="0" w:firstLine="0"/>
        <w:jc w:val="left"/>
      </w:pPr>
      <w:r>
        <w:rPr>
          <w:rFonts w:ascii="Calibri" w:hAnsi="Calibri"/>
          <w:b/>
          <w:color w:val="113927"/>
          <w:sz w:val="21"/>
        </w:rPr>
        <w:t>Grupos de edad</w:t>
      </w:r>
    </w:p>
    <w:p>
      <w:pPr>
        <w:keepNext/>
        <w:spacing w:after="40" w:line="276" w:lineRule="auto" w:before="160"/>
        <w:ind w:left="0" w:firstLine="0"/>
        <w:jc w:val="left"/>
      </w:pPr>
      <w:r>
        <w:rPr>
          <w:rFonts w:ascii="Calibri" w:hAnsi="Calibri"/>
          <w:b/>
          <w:color w:val="113927"/>
          <w:sz w:val="21"/>
        </w:rPr>
        <w:t>Género</w:t>
      </w:r>
    </w:p>
    <w:p>
      <w:pPr>
        <w:spacing w:after="70"/>
        <w:ind w:left="504" w:hanging="259"/>
        <w:jc w:val="both"/>
      </w:pPr>
      <w:r>
        <w:rPr>
          <w:rFonts w:ascii="Calibri" w:hAnsi="Calibri"/>
          <w:b/>
          <w:color w:val="76927A"/>
        </w:rPr>
        <w:t xml:space="preserve">•  </w:t>
      </w:r>
      <w:r>
        <w:rPr>
          <w:rFonts w:ascii="Calibri" w:hAnsi="Calibri"/>
          <w:b/>
          <w:color w:val="113927"/>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Outfit" w:hAnsi="Outfit"/>
          <w:b/>
          <w:color w:val="113927"/>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113927"/>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113927"/>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113927"/>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113927"/>
          <w:sz w:val="21"/>
        </w:rPr>
        <w:t>Promoción de programas de aprendizaje dual</w:t>
      </w:r>
    </w:p>
    <w:p>
      <w:pPr>
        <w:keepNext/>
        <w:spacing w:after="40" w:line="276" w:lineRule="auto" w:before="160"/>
        <w:ind w:left="0" w:firstLine="0"/>
        <w:jc w:val="left"/>
      </w:pPr>
      <w:r>
        <w:rPr>
          <w:rFonts w:ascii="Calibri" w:hAnsi="Calibri"/>
          <w:b/>
          <w:color w:val="113927"/>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113927"/>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113927"/>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113927"/>
          <w:sz w:val="21"/>
        </w:rPr>
        <w:t>Reducción de barreras a la movilidad laboral</w:t>
      </w:r>
    </w:p>
    <w:p>
      <w:pPr>
        <w:pStyle w:val="Heading2"/>
        <w:keepNext/>
        <w:spacing w:before="360" w:after="100"/>
        <w:jc w:val="left"/>
      </w:pPr>
      <w:r>
        <w:rPr>
          <w:rFonts w:ascii="Outfit" w:hAnsi="Outfit"/>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113927"/>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113927"/>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113927"/>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113927"/>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Outfit" w:hAnsi="Outfit"/>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113927"/>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113927"/>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113927"/>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113927"/>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113927"/>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113927"/>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113927"/>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113927"/>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113927"/>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113927"/>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113927"/>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113927"/>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113927"/>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113927"/>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Outfit" w:hAnsi="Outfit"/>
          <w:b/>
          <w:color w:val="113927"/>
          <w:sz w:val="30"/>
        </w:rPr>
        <w:t>5. LA TASA NATURAL DE DESEMPLEO Y LA CURVA DE PHILLIPS</w:t>
      </w: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Outfit" w:hAnsi="Outfit"/>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4679696"/>
            <wp:docPr id="8" name="Picture 8"/>
            <wp:cNvGraphicFramePr>
              <a:graphicFrameLocks noChangeAspect="1"/>
            </wp:cNvGraphicFramePr>
            <a:graphic>
              <a:graphicData uri="http://schemas.openxmlformats.org/drawingml/2006/picture">
                <pic:pic>
                  <pic:nvPicPr>
                    <pic:cNvPr id="0" name="tasa_natural_nairu.png"/>
                    <pic:cNvPicPr/>
                  </pic:nvPicPr>
                  <pic:blipFill>
                    <a:blip r:embed="rId16"/>
                    <a:stretch>
                      <a:fillRect/>
                    </a:stretch>
                  </pic:blipFill>
                  <pic:spPr>
                    <a:xfrm>
                      <a:off x="0" y="0"/>
                      <a:ext cx="5669280" cy="4679696"/>
                    </a:xfrm>
                    <a:prstGeom prst="rect"/>
                  </pic:spPr>
                </pic:pic>
              </a:graphicData>
            </a:graphic>
          </wp:inline>
        </w:drawing>
      </w:r>
    </w:p>
    <w:p>
      <w:pPr>
        <w:keepNext/>
        <w:spacing w:before="0" w:after="20"/>
        <w:jc w:val="center"/>
      </w:pPr>
      <w:r>
        <w:rPr>
          <w:rFonts w:ascii="Outfit" w:hAnsi="Outfit"/>
          <w:b/>
          <w:color w:val="113927"/>
          <w:sz w:val="18"/>
        </w:rPr>
        <w:t>Figura 1.7: Tasa de desempleo observada y tasa natural de desempleo (NAIRU) en España y la Zona Euro (1980–2024): desempleo estructural vs. desempleo cíclico.</w:t>
      </w:r>
    </w:p>
    <w:p>
      <w:pPr>
        <w:spacing w:before="0" w:after="160"/>
        <w:jc w:val="center"/>
      </w:pPr>
      <w:r>
        <w:rPr>
          <w:rFonts w:ascii="Calibri" w:hAnsi="Calibri"/>
          <w:i/>
          <w:color w:val="76927A"/>
          <w:sz w:val="16"/>
        </w:rPr>
        <w:t>Fuente: Elaboración propia a partir de datos oficiales de la base AMECO (Comisión Europea, DG ECFIN, 2024).</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113927"/>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Outfit" w:hAnsi="Outfit"/>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before="120" w:after="120"/>
        <w:jc w:val="center"/>
      </w:pPr>
      <w:r>
        <w:rPr>
          <w:rFonts w:ascii="Calibri" w:hAnsi="Calibri"/>
          <w:b/>
          <w:color w:val="113927"/>
          <w:sz w:val="22"/>
        </w:rPr>
        <w:t>π_t = π_t^e - λ · (u_t - u_n)</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113927"/>
          <w:sz w:val="21"/>
        </w:rPr>
        <w:t>π_t: Tasa de inflación observada actual</w:t>
      </w:r>
    </w:p>
    <w:p>
      <w:pPr>
        <w:spacing w:after="90" w:line="276" w:lineRule="auto"/>
        <w:ind w:left="0" w:firstLine="0"/>
        <w:jc w:val="both"/>
      </w:pPr>
      <w:r>
        <w:rPr>
          <w:rFonts w:ascii="Calibri" w:hAnsi="Calibri"/>
          <w:color w:val="2F3A30"/>
          <w:sz w:val="21"/>
        </w:rPr>
        <w:t>π_t^e: Tasa de inflación esperada por los agentes económicos</w:t>
      </w:r>
    </w:p>
    <w:p>
      <w:pPr>
        <w:keepNext/>
        <w:spacing w:after="40" w:line="276" w:lineRule="auto" w:before="160"/>
        <w:ind w:left="0" w:firstLine="0"/>
        <w:jc w:val="left"/>
      </w:pPr>
      <w:r>
        <w:rPr>
          <w:rFonts w:ascii="Calibri" w:hAnsi="Calibri"/>
          <w:b/>
          <w:color w:val="113927"/>
          <w:sz w:val="21"/>
        </w:rPr>
        <w:t>u_t: Tasa de desempleo observada en el período</w:t>
      </w:r>
    </w:p>
    <w:p>
      <w:pPr>
        <w:keepNext/>
        <w:spacing w:after="40" w:line="276" w:lineRule="auto" w:before="160"/>
        <w:ind w:left="0" w:firstLine="0"/>
        <w:jc w:val="left"/>
      </w:pPr>
      <w:r>
        <w:rPr>
          <w:rFonts w:ascii="Calibri" w:hAnsi="Calibri"/>
          <w:b/>
          <w:color w:val="113927"/>
          <w:sz w:val="21"/>
        </w:rPr>
        <w:t>u_n: Tasa natural de desempleo o NAIRU</w:t>
      </w:r>
    </w:p>
    <w:p>
      <w:pPr>
        <w:spacing w:after="90" w:line="276" w:lineRule="auto"/>
        <w:ind w:left="0" w:firstLine="0"/>
        <w:jc w:val="both"/>
      </w:pPr>
      <w:r>
        <w:rPr>
          <w:rFonts w:ascii="Calibri" w:hAnsi="Calibri"/>
          <w:color w:val="2F3A30"/>
          <w:sz w:val="21"/>
        </w:rPr>
        <w:t>λ: Parámetro de sensibilidad de la inflación a la brecha de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113927"/>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113927"/>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spacing w:after="70"/>
        <w:ind w:left="504" w:hanging="259"/>
        <w:jc w:val="both"/>
      </w:pPr>
      <w:r>
        <w:rPr>
          <w:rFonts w:ascii="Calibri" w:hAnsi="Calibri"/>
          <w:b/>
          <w:color w:val="76927A"/>
        </w:rPr>
        <w:t xml:space="preserve">•  </w:t>
      </w:r>
      <w:r>
        <w:rPr>
          <w:rFonts w:ascii="Calibri" w:hAnsi="Calibri"/>
          <w:b/>
          <w:color w:val="113927"/>
        </w:rPr>
        <w:t xml:space="preserve">Si u_t &gt; u_n: </w:t>
      </w:r>
      <w:r>
        <w:rPr>
          <w:rFonts w:ascii="Calibri" w:hAnsi="Calibri"/>
          <w:color w:val="2F3A30"/>
        </w:rPr>
        <w:t>se generan presiones deflacionarias (la tasa de inflación se reduce).</w:t>
      </w:r>
    </w:p>
    <w:p>
      <w:pPr>
        <w:spacing w:after="70"/>
        <w:ind w:left="504" w:hanging="259"/>
        <w:jc w:val="both"/>
      </w:pPr>
      <w:r>
        <w:rPr>
          <w:rFonts w:ascii="Calibri" w:hAnsi="Calibri"/>
          <w:b/>
          <w:color w:val="76927A"/>
        </w:rPr>
        <w:t xml:space="preserve">•  </w:t>
      </w:r>
      <w:r>
        <w:rPr>
          <w:rFonts w:ascii="Calibri" w:hAnsi="Calibri"/>
          <w:b/>
          <w:color w:val="113927"/>
        </w:rPr>
        <w:t xml:space="preserve">Si u_t &lt; u_n: </w:t>
      </w:r>
      <w:r>
        <w:rPr>
          <w:rFonts w:ascii="Calibri" w:hAnsi="Calibri"/>
          <w:color w:val="2F3A30"/>
        </w:rPr>
        <w:t>se generan presiones inflacionarias (la tasa de inflación aumenta).</w:t>
      </w:r>
    </w:p>
    <w:p>
      <w:pPr>
        <w:spacing w:after="70"/>
        <w:ind w:left="504" w:hanging="259"/>
        <w:jc w:val="both"/>
      </w:pPr>
      <w:r>
        <w:rPr>
          <w:rFonts w:ascii="Calibri" w:hAnsi="Calibri"/>
          <w:b/>
          <w:color w:val="76927A"/>
        </w:rPr>
        <w:t xml:space="preserve">•  </w:t>
      </w:r>
      <w:r>
        <w:rPr>
          <w:rFonts w:ascii="Calibri" w:hAnsi="Calibri"/>
          <w:b/>
          <w:color w:val="113927"/>
        </w:rPr>
        <w:t xml:space="preserve">Si u_t = u_n: </w:t>
      </w:r>
      <w:r>
        <w:rPr>
          <w:rFonts w:ascii="Calibri" w:hAnsi="Calibri"/>
          <w:color w:val="2F3A30"/>
        </w:rPr>
        <w:t>la inflación se mantiene estable en el nivel esperado (equilibrio NAIRU).</w:t>
      </w:r>
    </w:p>
    <w:p>
      <w:pPr>
        <w:keepNext/>
        <w:spacing w:before="160" w:after="60"/>
        <w:jc w:val="center"/>
      </w:pPr>
      <w:r>
        <w:drawing>
          <wp:inline xmlns:a="http://schemas.openxmlformats.org/drawingml/2006/main" xmlns:pic="http://schemas.openxmlformats.org/drawingml/2006/picture">
            <wp:extent cx="5669280" cy="3011056"/>
            <wp:docPr id="9" name="Picture 9"/>
            <wp:cNvGraphicFramePr>
              <a:graphicFrameLocks noChangeAspect="1"/>
            </wp:cNvGraphicFramePr>
            <a:graphic>
              <a:graphicData uri="http://schemas.openxmlformats.org/drawingml/2006/picture">
                <pic:pic>
                  <pic:nvPicPr>
                    <pic:cNvPr id="0" name="curva_phillips_dual.png"/>
                    <pic:cNvPicPr/>
                  </pic:nvPicPr>
                  <pic:blipFill>
                    <a:blip r:embed="rId17"/>
                    <a:stretch>
                      <a:fillRect/>
                    </a:stretch>
                  </pic:blipFill>
                  <pic:spPr>
                    <a:xfrm>
                      <a:off x="0" y="0"/>
                      <a:ext cx="5669280" cy="3011056"/>
                    </a:xfrm>
                    <a:prstGeom prst="rect"/>
                  </pic:spPr>
                </pic:pic>
              </a:graphicData>
            </a:graphic>
          </wp:inline>
        </w:drawing>
      </w:r>
    </w:p>
    <w:p>
      <w:pPr>
        <w:keepNext/>
        <w:spacing w:before="0" w:after="20"/>
        <w:jc w:val="center"/>
      </w:pPr>
      <w:r>
        <w:rPr>
          <w:rFonts w:ascii="Outfit" w:hAnsi="Outfit"/>
          <w:b/>
          <w:color w:val="113927"/>
          <w:sz w:val="18"/>
        </w:rPr>
        <w:t>Figura 1.8: La Curva de Phillips: modelo teórico de expectativas aceleracionistas (Friedman-Phelps) y evidencia empírica en España (2002–2024).</w:t>
      </w:r>
    </w:p>
    <w:p>
      <w:pPr>
        <w:spacing w:before="0" w:after="160"/>
        <w:jc w:val="center"/>
      </w:pPr>
      <w:r>
        <w:rPr>
          <w:rFonts w:ascii="Calibri" w:hAnsi="Calibri"/>
          <w:i/>
          <w:color w:val="76927A"/>
          <w:sz w:val="16"/>
        </w:rPr>
        <w:t>Fuente: Elaboración propia para Políticas Sociolaborales (UPO) a partir de Friedman (1968), Phelps (1967) e Instituto Nacional de Estadística (EPA y ETCL, 2024).</w:t>
      </w:r>
    </w:p>
    <w:p>
      <w:pPr>
        <w:spacing w:before="80" w:after="120" w:line="276" w:lineRule="auto"/>
        <w:jc w:val="both"/>
      </w:pPr>
      <w:r>
        <w:rPr>
          <w:rFonts w:ascii="Calibri" w:hAnsi="Calibri"/>
          <w:i/>
          <w:color w:val="2F3A30"/>
          <w:sz w:val="19"/>
        </w:rPr>
        <w:t>Interpretación analítica de la Figura 1.8: En el Panel A (modelo teórico de Friedman-Phelps), un estímulo de demanda reduce coyunturalmente el desempleo a corto plazo desplazando la economía de A a B sobre CP₁; sin embargo, la revisión al alza de las expectativas de inflación desplaza la curva a CP₂, retornando el desempleo a la NAIRU en C (curva vertical a largo plazo LP). En el Panel B, la serie empírica de España (2002–2024) confirma esta dinámica: la fase de burbuja (2002-2007) dio paso a la severa devaluación salarial de 2012 (-3,6% con paro al 26%) y, tras la recuperación, al reciente shock inflacionista post-COVID con aumentos de costes salariales superiores al 5%.</w:t>
      </w:r>
    </w:p>
    <w:p>
      <w:pPr>
        <w:spacing w:after="70"/>
        <w:ind w:left="504" w:hanging="259"/>
        <w:jc w:val="both"/>
      </w:pPr>
      <w:r>
        <w:rPr>
          <w:rFonts w:ascii="Calibri" w:hAnsi="Calibri"/>
          <w:b/>
          <w:color w:val="76927A"/>
        </w:rPr>
        <w:t xml:space="preserve">•  </w:t>
      </w:r>
      <w:r>
        <w:rPr>
          <w:rFonts w:ascii="Calibri" w:hAnsi="Calibri"/>
          <w:b/>
          <w:color w:val="113927"/>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Outfit" w:hAnsi="Outfit"/>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113927"/>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113927"/>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113927"/>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113927"/>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Outfit" w:hAnsi="Outfit"/>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113927"/>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113927"/>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113927"/>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113927"/>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Outfit" w:hAnsi="Outfit"/>
          <w:b/>
          <w:color w:val="113927"/>
          <w:sz w:val="30"/>
        </w:rPr>
        <w:t>6. LA CURVA DE BEVERIDGE: ANÁLISIS MICROECONÓMICO DEL MERCADO LABORAL</w:t>
      </w:r>
    </w:p>
    <w:p>
      <w:pPr>
        <w:pStyle w:val="Heading2"/>
        <w:keepNext/>
        <w:spacing w:before="360" w:after="100"/>
        <w:jc w:val="left"/>
      </w:pPr>
      <w:r>
        <w:rPr>
          <w:rFonts w:ascii="Outfit" w:hAnsi="Outfit"/>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3019265"/>
            <wp:docPr id="10" name="Picture 10"/>
            <wp:cNvGraphicFramePr>
              <a:graphicFrameLocks noChangeAspect="1"/>
            </wp:cNvGraphicFramePr>
            <a:graphic>
              <a:graphicData uri="http://schemas.openxmlformats.org/drawingml/2006/picture">
                <pic:pic>
                  <pic:nvPicPr>
                    <pic:cNvPr id="0" name="curva_beveridge_dual.png"/>
                    <pic:cNvPicPr/>
                  </pic:nvPicPr>
                  <pic:blipFill>
                    <a:blip r:embed="rId18"/>
                    <a:stretch>
                      <a:fillRect/>
                    </a:stretch>
                  </pic:blipFill>
                  <pic:spPr>
                    <a:xfrm>
                      <a:off x="0" y="0"/>
                      <a:ext cx="5669280" cy="3019265"/>
                    </a:xfrm>
                    <a:prstGeom prst="rect"/>
                  </pic:spPr>
                </pic:pic>
              </a:graphicData>
            </a:graphic>
          </wp:inline>
        </w:drawing>
      </w:r>
    </w:p>
    <w:p>
      <w:pPr>
        <w:keepNext/>
        <w:spacing w:before="0" w:after="20"/>
        <w:jc w:val="center"/>
      </w:pPr>
      <w:r>
        <w:rPr>
          <w:rFonts w:ascii="Outfit" w:hAnsi="Outfit"/>
          <w:b/>
          <w:color w:val="113927"/>
          <w:sz w:val="18"/>
        </w:rPr>
        <w:t>Figura 1.9: La Curva de Beveridge: modelo teórico de emparejamiento (DMP) y evidencia empírica en España (1980–2024).</w:t>
      </w:r>
    </w:p>
    <w:p>
      <w:pPr>
        <w:spacing w:before="0" w:after="160"/>
        <w:jc w:val="center"/>
      </w:pPr>
      <w:r>
        <w:rPr>
          <w:rFonts w:ascii="Calibri" w:hAnsi="Calibri"/>
          <w:i/>
          <w:color w:val="76927A"/>
          <w:sz w:val="16"/>
        </w:rPr>
        <w:t>Fuente: Elaboración propia para Políticas Sociolaborales (UPO) a partir de FEDEA (2017), Nada es Gratis e Instituto Nacional de Estadística (EPA y ETCL, 2024).</w:t>
      </w:r>
    </w:p>
    <w:p>
      <w:pPr>
        <w:spacing w:before="80" w:after="120" w:line="276" w:lineRule="auto"/>
        <w:jc w:val="both"/>
      </w:pPr>
      <w:r>
        <w:rPr>
          <w:rFonts w:ascii="Calibri" w:hAnsi="Calibri"/>
          <w:i/>
          <w:color w:val="2F3A30"/>
          <w:sz w:val="19"/>
        </w:rPr>
        <w:t>Interpretación analítica de la Figura 1.9: El Panel A sintetiza el modelo teórico de emparejamiento (DMP): los ciclos económicos generan oscilaciones a lo largo de la curva (expansión vs. recesión), mientras que los desajustes estructurales de cualificación (mismatch) desplazan la curva hacia el exterior (E₁ → E₂). El Panel B muestra la estimación empírica en España (1980–2024): tras el shock de la Gran Recesión que desplazó la curva del Punto A al Punto B (+5 p.p. de paro estructural), la recuperación reciente hasta 2024 ha situado las vacantes en máximos históricos (0,73%) mientras el desempleo se sitúa en el 11,3%, confirmando un problema persistente de emparejamiento.</w:t>
      </w:r>
    </w:p>
    <w:p>
      <w:pPr>
        <w:spacing w:after="70"/>
        <w:ind w:left="504" w:hanging="259"/>
        <w:jc w:val="both"/>
      </w:pPr>
      <w:r>
        <w:rPr>
          <w:rFonts w:ascii="Calibri" w:hAnsi="Calibri"/>
          <w:b/>
          <w:color w:val="76927A"/>
        </w:rPr>
        <w:t xml:space="preserve">•  </w:t>
      </w:r>
      <w:r>
        <w:rPr>
          <w:rFonts w:ascii="Calibri" w:hAnsi="Calibri"/>
          <w:b/>
          <w:color w:val="113927"/>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113927"/>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113927"/>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113927"/>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113927"/>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113927"/>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113927"/>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before="120" w:after="120"/>
        <w:jc w:val="center"/>
      </w:pPr>
      <w:r>
        <w:rPr>
          <w:rFonts w:ascii="Calibri" w:hAnsi="Calibri"/>
          <w:b/>
          <w:color w:val="113927"/>
          <w:sz w:val="22"/>
        </w:rPr>
        <w:t>Función de emparejamiento (matching function):  m = f(U, V, A) = A · U^α · V^(1-α)</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m: Número de contrataciones o emparejamientos realizados por período</w:t>
      </w:r>
    </w:p>
    <w:p>
      <w:pPr>
        <w:spacing w:after="90" w:line="276" w:lineRule="auto"/>
        <w:ind w:left="0" w:firstLine="0"/>
        <w:jc w:val="both"/>
      </w:pPr>
      <w:r>
        <w:rPr>
          <w:rFonts w:ascii="Calibri" w:hAnsi="Calibri"/>
          <w:color w:val="2F3A30"/>
          <w:sz w:val="21"/>
        </w:rPr>
        <w:t>U: Stock de personas desempleadas al inicio del período</w:t>
      </w:r>
    </w:p>
    <w:p>
      <w:pPr>
        <w:spacing w:after="90" w:line="276" w:lineRule="auto"/>
        <w:ind w:left="0" w:firstLine="0"/>
        <w:jc w:val="both"/>
      </w:pPr>
      <w:r>
        <w:rPr>
          <w:rFonts w:ascii="Calibri" w:hAnsi="Calibri"/>
          <w:color w:val="2F3A30"/>
          <w:sz w:val="21"/>
        </w:rPr>
        <w:t>V: Stock de puestos de trabajo vacantes disponibles en la economía</w:t>
      </w:r>
    </w:p>
    <w:p>
      <w:pPr>
        <w:spacing w:after="90" w:line="276" w:lineRule="auto"/>
        <w:ind w:left="0" w:firstLine="0"/>
        <w:jc w:val="both"/>
      </w:pPr>
      <w:r>
        <w:rPr>
          <w:rFonts w:ascii="Calibri" w:hAnsi="Calibri"/>
          <w:color w:val="2F3A30"/>
          <w:sz w:val="21"/>
        </w:rPr>
        <w:t>A: Parámetro de eficiencia tecnológica e institucional del emparejamiento</w:t>
      </w:r>
    </w:p>
    <w:p>
      <w:pPr>
        <w:spacing w:after="70"/>
        <w:ind w:left="504" w:hanging="259"/>
        <w:jc w:val="both"/>
      </w:pPr>
      <w:r>
        <w:rPr>
          <w:rFonts w:ascii="Calibri" w:hAnsi="Calibri"/>
          <w:b/>
          <w:color w:val="76927A"/>
        </w:rPr>
        <w:t xml:space="preserve">•  </w:t>
      </w:r>
      <w:r>
        <w:rPr>
          <w:rFonts w:ascii="Calibri" w:hAnsi="Calibri"/>
          <w:b/>
          <w:color w:val="113927"/>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Outfit" w:hAnsi="Outfit"/>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113927"/>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113927"/>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113927"/>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113927"/>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113927"/>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113927"/>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113927"/>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113927"/>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Outfit" w:hAnsi="Outfit"/>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113927"/>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113927"/>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113927"/>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113927"/>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113927"/>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113927"/>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113927"/>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113927"/>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113927"/>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113927"/>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113927"/>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113927"/>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113927"/>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113927"/>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Outfit" w:hAnsi="Outfit"/>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113927"/>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spacing w:after="90" w:line="276" w:lineRule="auto"/>
        <w:ind w:left="0" w:firstLine="0"/>
        <w:jc w:val="both"/>
      </w:pPr>
      <w:r>
        <w:rPr>
          <w:rFonts w:ascii="Calibri" w:hAnsi="Calibri"/>
          <w:b/>
          <w:color w:val="2F3A30"/>
          <w:sz w:val="21"/>
        </w:rPr>
        <w:t>Tres fases macroeconómicas identificadas en la serie histórica (ver Panel B de la Figura 1.9):</w:t>
      </w:r>
    </w:p>
    <w:p>
      <w:pPr>
        <w:spacing w:after="70"/>
        <w:ind w:left="504" w:hanging="259"/>
        <w:jc w:val="both"/>
      </w:pPr>
      <w:r>
        <w:rPr>
          <w:rFonts w:ascii="Calibri" w:hAnsi="Calibri"/>
          <w:b/>
          <w:color w:val="76927A"/>
        </w:rPr>
        <w:t xml:space="preserve">•  </w:t>
      </w:r>
      <w:r>
        <w:rPr>
          <w:rFonts w:ascii="Calibri" w:hAnsi="Calibri"/>
          <w:b/>
          <w:color w:val="113927"/>
        </w:rPr>
        <w:t xml:space="preserve">Fase 1 (1980–2007: </w:t>
      </w:r>
      <w:r>
        <w:rPr>
          <w:rFonts w:ascii="Calibri" w:hAnsi="Calibri"/>
          <w:color w:val="2F3A30"/>
        </w:rPr>
        <w:t>Estabilidad pre-crisis y ancla en Punto A)</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113927"/>
        </w:rPr>
        <w:t xml:space="preserve">Fase 2 (2008–2013: </w:t>
      </w:r>
      <w:r>
        <w:rPr>
          <w:rFonts w:ascii="Calibri" w:hAnsi="Calibri"/>
          <w:color w:val="2F3A30"/>
        </w:rPr>
        <w:t>Gran Recesión y desplazamiento hacia el Punto B)</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113927"/>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113927"/>
        </w:rPr>
        <w:t xml:space="preserve">Fase 3 (2014–2024: </w:t>
      </w:r>
      <w:r>
        <w:rPr>
          <w:rFonts w:ascii="Calibri" w:hAnsi="Calibri"/>
          <w:color w:val="2F3A30"/>
        </w:rPr>
        <w:t>Recuperación económica y récord histórico de vacantes)</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pPr>
        <w:pStyle w:val="Heading1"/>
        <w:keepNext/>
        <w:spacing w:before="520" w:after="120"/>
        <w:jc w:val="left"/>
      </w:pPr>
      <w:r>
        <w:rPr>
          <w:rFonts w:ascii="Outfit" w:hAnsi="Outfit"/>
          <w:b/>
          <w:color w:val="113927"/>
          <w:sz w:val="30"/>
        </w:rPr>
        <w:t>2. CURVAS DE OFERTA Y DEMANDA DE TRABAJO</w:t>
      </w:r>
    </w:p>
    <w:p>
      <w:pPr>
        <w:spacing w:after="90" w:line="276" w:lineRule="auto"/>
        <w:ind w:left="0" w:firstLine="0"/>
        <w:jc w:val="both"/>
      </w:pPr>
      <w:r>
        <w:rPr>
          <w:rFonts w:ascii="Calibri" w:hAnsi="Calibri"/>
          <w:color w:val="2F3A30"/>
          <w:sz w:val="21"/>
        </w:rPr>
        <w:t>Gráfico mostrando curva de oferta laboral (forma peculiar con efecto sustitución/renta)</w:t>
      </w:r>
    </w:p>
    <w:p>
      <w:pPr>
        <w:keepNext/>
        <w:spacing w:after="40" w:line="276" w:lineRule="auto" w:before="160"/>
        <w:ind w:left="0" w:firstLine="0"/>
        <w:jc w:val="left"/>
      </w:pPr>
      <w:r>
        <w:rPr>
          <w:rFonts w:ascii="Calibri" w:hAnsi="Calibri"/>
          <w:b/>
          <w:color w:val="113927"/>
          <w:sz w:val="21"/>
        </w:rPr>
        <w:t>Curva de demanda de trabajo (pendiente negativa)</w:t>
      </w:r>
    </w:p>
    <w:p>
      <w:pPr>
        <w:keepNext/>
        <w:spacing w:after="40" w:line="276" w:lineRule="auto" w:before="160"/>
        <w:ind w:left="0" w:firstLine="0"/>
        <w:jc w:val="left"/>
      </w:pPr>
      <w:r>
        <w:rPr>
          <w:rFonts w:ascii="Calibri" w:hAnsi="Calibri"/>
          <w:b/>
          <w:color w:val="113927"/>
          <w:sz w:val="21"/>
        </w:rPr>
        <w:t>Punto de equilibrio teórico</w:t>
      </w:r>
    </w:p>
    <w:p>
      <w:pPr>
        <w:spacing w:after="70"/>
        <w:ind w:left="504" w:hanging="259"/>
        <w:jc w:val="both"/>
      </w:pPr>
      <w:r>
        <w:rPr>
          <w:rFonts w:ascii="Calibri" w:hAnsi="Calibri"/>
          <w:b/>
          <w:color w:val="76927A"/>
        </w:rPr>
        <w:t xml:space="preserve">•  </w:t>
      </w:r>
      <w:r>
        <w:rPr>
          <w:rFonts w:ascii="Calibri" w:hAnsi="Calibri"/>
          <w:b/>
          <w:color w:val="113927"/>
        </w:rPr>
        <w:t xml:space="preserve">Ubicación sugerida: </w:t>
      </w:r>
      <w:r>
        <w:rPr>
          <w:rFonts w:ascii="Calibri" w:hAnsi="Calibri"/>
          <w:color w:val="2F3A30"/>
        </w:rPr>
        <w:t>Sección 3.1</w:t>
      </w:r>
    </w:p>
    <w:p>
      <w:pPr>
        <w:spacing w:after="70"/>
        <w:ind w:left="504" w:hanging="259"/>
        <w:jc w:val="both"/>
      </w:pPr>
      <w:r>
        <w:rPr>
          <w:rFonts w:ascii="Calibri" w:hAnsi="Calibri"/>
          <w:b/>
          <w:color w:val="76927A"/>
        </w:rPr>
        <w:t xml:space="preserve">•  </w:t>
      </w:r>
      <w:r>
        <w:rPr>
          <w:rFonts w:ascii="Calibri" w:hAnsi="Calibri"/>
          <w:b/>
          <w:color w:val="113927"/>
        </w:rPr>
        <w:t xml:space="preserve">Material disponible: </w:t>
      </w:r>
      <w:r>
        <w:rPr>
          <w:rFonts w:ascii="Calibri" w:hAnsi="Calibri"/>
          <w:color w:val="2F3A30"/>
        </w:rPr>
        <w:t>Ya existe en los PDFs fuente</w:t>
      </w:r>
    </w:p>
    <w:p>
      <w:pPr>
        <w:keepNext/>
        <w:spacing w:after="40" w:line="276" w:lineRule="auto" w:before="160"/>
        <w:ind w:left="0" w:firstLine="0"/>
        <w:jc w:val="left"/>
      </w:pPr>
      <w:r>
        <w:rPr>
          <w:rFonts w:ascii="Calibri" w:hAnsi="Calibri"/>
          <w:b/>
          <w:color w:val="113927"/>
          <w:sz w:val="21"/>
        </w:rPr>
        <w:t>GRÁFICOS COMPLEMENTARIOS (ALTAMENTE RECOMENDABLES)</w:t>
      </w:r>
    </w:p>
    <w:p>
      <w:pPr>
        <w:pStyle w:val="Heading1"/>
        <w:keepNext/>
        <w:spacing w:before="520" w:after="120"/>
        <w:jc w:val="left"/>
      </w:pPr>
      <w:r>
        <w:rPr>
          <w:rFonts w:ascii="Outfit" w:hAnsi="Outfit"/>
          <w:b/>
          <w:color w:val="113927"/>
          <w:sz w:val="30"/>
        </w:rPr>
        <w:t>6. CLASIFICACIÓN DE TIPOS DE DESEMPLEO</w:t>
      </w:r>
    </w:p>
    <w:p>
      <w:pPr>
        <w:spacing w:after="70"/>
        <w:ind w:left="504" w:hanging="259"/>
        <w:jc w:val="both"/>
      </w:pPr>
      <w:r>
        <w:rPr>
          <w:rFonts w:ascii="Calibri" w:hAnsi="Calibri"/>
          <w:b/>
          <w:color w:val="76927A"/>
        </w:rPr>
        <w:t xml:space="preserve">•  </w:t>
      </w:r>
      <w:r>
        <w:rPr>
          <w:rFonts w:ascii="Calibri" w:hAnsi="Calibri"/>
          <w:b/>
          <w:color w:val="113927"/>
        </w:rPr>
        <w:t xml:space="preserve">Esquema visual de los 4 tipos: </w:t>
      </w:r>
      <w:r>
        <w:rPr>
          <w:rFonts w:ascii="Calibri" w:hAnsi="Calibri"/>
          <w:color w:val="2F3A30"/>
        </w:rPr>
        <w:t>friccional, estructural, cíclico, estacional</w:t>
      </w:r>
    </w:p>
    <w:p>
      <w:pPr>
        <w:keepNext/>
        <w:spacing w:after="40" w:line="276" w:lineRule="auto" w:before="160"/>
        <w:ind w:left="0" w:firstLine="0"/>
        <w:jc w:val="left"/>
      </w:pPr>
      <w:r>
        <w:rPr>
          <w:rFonts w:ascii="Calibri" w:hAnsi="Calibri"/>
          <w:b/>
          <w:color w:val="113927"/>
          <w:sz w:val="21"/>
        </w:rPr>
        <w:t>Características principales de cada tipo</w:t>
      </w:r>
    </w:p>
    <w:p>
      <w:pPr>
        <w:spacing w:after="70"/>
        <w:ind w:left="504" w:hanging="259"/>
        <w:jc w:val="both"/>
      </w:pPr>
      <w:r>
        <w:rPr>
          <w:rFonts w:ascii="Calibri" w:hAnsi="Calibri"/>
          <w:b/>
          <w:color w:val="76927A"/>
        </w:rPr>
        <w:t xml:space="preserve">•  </w:t>
      </w:r>
      <w:r>
        <w:rPr>
          <w:rFonts w:ascii="Calibri" w:hAnsi="Calibri"/>
          <w:b/>
          <w:color w:val="113927"/>
        </w:rPr>
        <w:t xml:space="preserve">Ubicación sugerida: </w:t>
      </w:r>
      <w:r>
        <w:rPr>
          <w:rFonts w:ascii="Calibri" w:hAnsi="Calibri"/>
          <w:color w:val="2F3A30"/>
        </w:rPr>
        <w:t>Introducción a Sección 4</w:t>
      </w:r>
    </w:p>
    <w:p>
      <w:pPr>
        <w:pStyle w:val="Heading1"/>
        <w:keepNext/>
        <w:spacing w:before="520" w:after="120"/>
        <w:jc w:val="left"/>
      </w:pPr>
      <w:r>
        <w:rPr>
          <w:rFonts w:ascii="Outfit" w:hAnsi="Outfit"/>
          <w:b/>
          <w:color w:val="113927"/>
          <w:sz w:val="30"/>
        </w:rPr>
        <w:t>7. DURACIÓN DEL DESEMPLEO POR TIPOS</w:t>
      </w:r>
    </w:p>
    <w:p>
      <w:pPr>
        <w:spacing w:after="90" w:line="276" w:lineRule="auto"/>
        <w:ind w:left="0" w:firstLine="0"/>
        <w:jc w:val="both"/>
      </w:pPr>
      <w:r>
        <w:rPr>
          <w:rFonts w:ascii="Calibri" w:hAnsi="Calibri"/>
          <w:color w:val="2F3A30"/>
          <w:sz w:val="21"/>
        </w:rPr>
        <w:t>Gráfico temporal mostrando duración característica de cada tipo</w:t>
      </w:r>
    </w:p>
    <w:p>
      <w:pPr>
        <w:spacing w:after="70"/>
        <w:ind w:left="504" w:hanging="259"/>
        <w:jc w:val="both"/>
      </w:pPr>
      <w:r>
        <w:rPr>
          <w:rFonts w:ascii="Calibri" w:hAnsi="Calibri"/>
          <w:b/>
          <w:color w:val="76927A"/>
        </w:rPr>
        <w:t xml:space="preserve">•  </w:t>
      </w:r>
      <w:r>
        <w:rPr>
          <w:rFonts w:ascii="Calibri" w:hAnsi="Calibri"/>
          <w:b/>
          <w:color w:val="113927"/>
        </w:rPr>
        <w:t xml:space="preserve">Ubicación sugerida: </w:t>
      </w:r>
      <w:r>
        <w:rPr>
          <w:rFonts w:ascii="Calibri" w:hAnsi="Calibri"/>
          <w:color w:val="2F3A30"/>
        </w:rPr>
        <w:t>Sección 4.1 y 4.2</w:t>
      </w:r>
    </w:p>
    <w:p>
      <w:pPr>
        <w:keepNext/>
        <w:spacing w:after="40" w:line="276" w:lineRule="auto" w:before="160"/>
        <w:ind w:left="0" w:firstLine="0"/>
        <w:jc w:val="left"/>
      </w:pPr>
      <w:r>
        <w:rPr>
          <w:rFonts w:ascii="Calibri" w:hAnsi="Calibri"/>
          <w:b/>
          <w:color w:val="113927"/>
          <w:sz w:val="21"/>
        </w:rPr>
        <w:t>TABLAS RECOMENDABLES</w:t>
      </w:r>
    </w:p>
    <w:p>
      <w:pPr>
        <w:pStyle w:val="Heading1"/>
        <w:keepNext/>
        <w:spacing w:before="520" w:after="120"/>
        <w:jc w:val="left"/>
      </w:pPr>
      <w:r>
        <w:rPr>
          <w:rFonts w:ascii="Outfit" w:hAnsi="Outfit"/>
          <w:b/>
          <w:color w:val="113927"/>
          <w:sz w:val="30"/>
        </w:rPr>
        <w:t>9. TABLA COMPARATIVA PIB NOMINAL VS REAL</w:t>
      </w:r>
    </w:p>
    <w:p>
      <w:pPr>
        <w:keepNext/>
        <w:spacing w:after="40" w:line="276" w:lineRule="auto" w:before="160"/>
        <w:ind w:left="0" w:firstLine="0"/>
        <w:jc w:val="left"/>
      </w:pPr>
      <w:r>
        <w:rPr>
          <w:rFonts w:ascii="Calibri" w:hAnsi="Calibri"/>
          <w:b/>
          <w:color w:val="113927"/>
          <w:sz w:val="21"/>
        </w:rPr>
        <w:t>Ejemplo numérico mostrando diferencias con inflación</w:t>
      </w:r>
    </w:p>
    <w:p>
      <w:pPr>
        <w:spacing w:after="70"/>
        <w:ind w:left="504" w:hanging="259"/>
        <w:jc w:val="both"/>
      </w:pPr>
      <w:r>
        <w:rPr>
          <w:rFonts w:ascii="Calibri" w:hAnsi="Calibri"/>
          <w:b/>
          <w:color w:val="76927A"/>
        </w:rPr>
        <w:t xml:space="preserve">•  </w:t>
      </w:r>
      <w:r>
        <w:rPr>
          <w:rFonts w:ascii="Calibri" w:hAnsi="Calibri"/>
          <w:b/>
          <w:color w:val="113927"/>
        </w:rPr>
        <w:t xml:space="preserve">Ubicación sugerida: </w:t>
      </w:r>
      <w:r>
        <w:rPr>
          <w:rFonts w:ascii="Calibri" w:hAnsi="Calibri"/>
          <w:color w:val="2F3A30"/>
        </w:rPr>
        <w:t>Sección 2.1</w:t>
      </w:r>
    </w:p>
    <w:p>
      <w:pPr>
        <w:keepNext/>
        <w:spacing w:after="40" w:line="276" w:lineRule="auto" w:before="160"/>
        <w:ind w:left="0" w:firstLine="0"/>
        <w:jc w:val="left"/>
      </w:pPr>
      <w:r>
        <w:rPr>
          <w:rFonts w:ascii="Calibri" w:hAnsi="Calibri"/>
          <w:b/>
          <w:color w:val="113927"/>
          <w:sz w:val="21"/>
        </w:rPr>
        <w:t>ELEMENTOS ADICIONALES OPCIONALES</w:t>
      </w:r>
    </w:p>
    <w:p>
      <w:pPr>
        <w:pStyle w:val="Heading1"/>
        <w:keepNext/>
        <w:spacing w:before="520" w:after="120"/>
        <w:jc w:val="left"/>
      </w:pPr>
      <w:r>
        <w:rPr>
          <w:rFonts w:ascii="Outfit" w:hAnsi="Outfit"/>
          <w:b/>
          <w:color w:val="113927"/>
          <w:sz w:val="30"/>
        </w:rPr>
        <w:t>12. EVOLUCIÓN TEMPORAL DE NAIRU</w:t>
      </w:r>
    </w:p>
    <w:p>
      <w:pPr>
        <w:spacing w:after="90" w:line="276" w:lineRule="auto"/>
        <w:ind w:left="0" w:firstLine="0"/>
        <w:jc w:val="both"/>
      </w:pPr>
      <w:r>
        <w:rPr>
          <w:rFonts w:ascii="Calibri" w:hAnsi="Calibri"/>
          <w:color w:val="2F3A30"/>
          <w:sz w:val="21"/>
        </w:rPr>
        <w:t>Gráfico para zona euro y España mostrando cambios en tasa natural</w:t>
      </w:r>
    </w:p>
    <w:p>
      <w:pPr>
        <w:spacing w:after="70"/>
        <w:ind w:left="504" w:hanging="259"/>
        <w:jc w:val="both"/>
      </w:pPr>
      <w:r>
        <w:rPr>
          <w:rFonts w:ascii="Calibri" w:hAnsi="Calibri"/>
          <w:b/>
          <w:color w:val="76927A"/>
        </w:rPr>
        <w:t xml:space="preserve">•  </w:t>
      </w:r>
      <w:r>
        <w:rPr>
          <w:rFonts w:ascii="Calibri" w:hAnsi="Calibri"/>
          <w:b/>
          <w:color w:val="113927"/>
        </w:rPr>
        <w:t xml:space="preserve">Material disponible: </w:t>
      </w:r>
      <w:r>
        <w:rPr>
          <w:rFonts w:ascii="Calibri" w:hAnsi="Calibri"/>
          <w:color w:val="2F3A30"/>
        </w:rPr>
        <w:t>Gráficos temporales 1965-2015 ya disponibles</w:t>
      </w:r>
    </w:p>
    <w:p>
      <w:pPr>
        <w:pStyle w:val="Heading1"/>
        <w:keepNext/>
        <w:spacing w:before="520" w:after="120"/>
        <w:jc w:val="left"/>
      </w:pPr>
      <w:r>
        <w:rPr>
          <w:rFonts w:ascii="Outfit" w:hAnsi="Outfit"/>
          <w:b/>
          <w:color w:val="113927"/>
          <w:sz w:val="30"/>
        </w:rPr>
        <w:t>13. ESQUEMA DE FLUJOS POBLACIONALES</w:t>
      </w:r>
    </w:p>
    <w:p>
      <w:pPr>
        <w:spacing w:after="90" w:line="276" w:lineRule="auto"/>
        <w:ind w:left="0" w:firstLine="0"/>
        <w:jc w:val="both"/>
      </w:pPr>
      <w:r>
        <w:rPr>
          <w:rFonts w:ascii="Calibri" w:hAnsi="Calibri"/>
          <w:color w:val="2F3A30"/>
          <w:sz w:val="21"/>
        </w:rPr>
        <w:t>Diagrama mostrando población total → población en edad de trabajar → población activa → ocupados/desempleados</w:t>
      </w:r>
    </w:p>
    <w:p>
      <w:pPr>
        <w:spacing w:after="70"/>
        <w:ind w:left="504" w:hanging="259"/>
        <w:jc w:val="both"/>
      </w:pPr>
      <w:r>
        <w:rPr>
          <w:rFonts w:ascii="Calibri" w:hAnsi="Calibri"/>
          <w:b/>
          <w:color w:val="76927A"/>
        </w:rPr>
        <w:t xml:space="preserve">•  </w:t>
      </w:r>
      <w:r>
        <w:rPr>
          <w:rFonts w:ascii="Calibri" w:hAnsi="Calibri"/>
          <w:b/>
          <w:color w:val="113927"/>
        </w:rPr>
        <w:t xml:space="preserve">Material disponible: </w:t>
      </w:r>
      <w:r>
        <w:rPr>
          <w:rFonts w:ascii="Calibri" w:hAnsi="Calibri"/>
          <w:color w:val="2F3A30"/>
        </w:rPr>
        <w:t>Diagrama de flujo ya disponible en PDFs fuente</w:t>
      </w:r>
    </w:p>
    <w:p>
      <w:pPr>
        <w:spacing w:after="70"/>
        <w:ind w:left="504" w:hanging="259"/>
        <w:jc w:val="both"/>
      </w:pPr>
      <w:r>
        <w:rPr>
          <w:rFonts w:ascii="Calibri" w:hAnsi="Calibri"/>
          <w:b/>
          <w:color w:val="76927A"/>
        </w:rPr>
        <w:t xml:space="preserve">•  </w:t>
      </w:r>
      <w:r>
        <w:rPr>
          <w:rFonts w:ascii="Calibri" w:hAnsi="Calibri"/>
          <w:b/>
          <w:color w:val="113927"/>
        </w:rPr>
        <w:t xml:space="preserve">Ubicación sugerida: </w:t>
      </w:r>
      <w:r>
        <w:rPr>
          <w:rFonts w:ascii="Calibri" w:hAnsi="Calibri"/>
          <w:color w:val="2F3A30"/>
        </w:rPr>
        <w:t>Sección 1.2</w:t>
      </w:r>
    </w:p>
    <w:p>
      <w:pPr>
        <w:spacing w:after="90" w:line="276" w:lineRule="auto"/>
        <w:ind w:left="0" w:firstLine="0"/>
        <w:jc w:val="both"/>
      </w:pPr>
      <w:r>
        <w:rPr>
          <w:rFonts w:ascii="Calibri" w:hAnsi="Calibri"/>
          <w:b/>
          <w:color w:val="2F3A30"/>
          <w:sz w:val="21"/>
        </w:rPr>
        <w:t>CONSIDERACIONES TÉCNICAS:</w:t>
      </w:r>
    </w:p>
    <w:p>
      <w:pPr>
        <w:keepNext/>
        <w:spacing w:after="40" w:line="276" w:lineRule="auto" w:before="160"/>
        <w:ind w:left="0" w:firstLine="0"/>
        <w:jc w:val="left"/>
      </w:pPr>
      <w:r>
        <w:rPr>
          <w:rFonts w:ascii="Calibri" w:hAnsi="Calibri"/>
          <w:b/>
          <w:color w:val="113927"/>
          <w:sz w:val="21"/>
        </w:rPr>
        <w:t>Los gráficos deben ser de alta calidad y legibles</w:t>
      </w:r>
    </w:p>
    <w:p>
      <w:pPr>
        <w:keepNext/>
        <w:spacing w:after="40" w:line="276" w:lineRule="auto" w:before="160"/>
        <w:ind w:left="0" w:firstLine="0"/>
        <w:jc w:val="left"/>
      </w:pPr>
      <w:r>
        <w:rPr>
          <w:rFonts w:ascii="Calibri" w:hAnsi="Calibri"/>
          <w:b/>
          <w:color w:val="113927"/>
          <w:sz w:val="21"/>
        </w:rPr>
        <w:t>Incluir fuentes de datos (EPA, INE, ETCL)</w:t>
      </w:r>
    </w:p>
    <w:p>
      <w:pPr>
        <w:keepNext/>
        <w:spacing w:after="40" w:line="276" w:lineRule="auto" w:before="160"/>
        <w:ind w:left="0" w:firstLine="0"/>
        <w:jc w:val="left"/>
      </w:pPr>
      <w:r>
        <w:rPr>
          <w:rFonts w:ascii="Calibri" w:hAnsi="Calibri"/>
          <w:b/>
          <w:color w:val="113927"/>
          <w:sz w:val="21"/>
        </w:rPr>
        <w:t>Usar colores consistentes y profesionales</w:t>
      </w:r>
    </w:p>
    <w:p>
      <w:pPr>
        <w:spacing w:after="90" w:line="276" w:lineRule="auto"/>
        <w:ind w:left="0" w:firstLine="0"/>
        <w:jc w:val="both"/>
      </w:pPr>
      <w:r>
        <w:rPr>
          <w:rFonts w:ascii="Calibri" w:hAnsi="Calibri"/>
          <w:color w:val="2F3A30"/>
          <w:sz w:val="21"/>
        </w:rPr>
        <w:t>Añadir títulos descriptivos y ejes claramente etiquetados</w:t>
      </w:r>
    </w:p>
    <w:p>
      <w:pPr>
        <w:spacing w:after="90" w:line="276" w:lineRule="auto"/>
        <w:ind w:left="0" w:firstLine="0"/>
        <w:jc w:val="both"/>
      </w:pPr>
      <w:r>
        <w:rPr>
          <w:rFonts w:ascii="Calibri" w:hAnsi="Calibri"/>
          <w:color w:val="2F3A30"/>
          <w:sz w:val="21"/>
        </w:rPr>
        <w:t>Considerar la accesibilidad visual (contraste adecuado)</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F4F8F5"/>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Outfit" w:hAnsi="Outfit"/>
                <w:b/>
                <w:color w:val="113927"/>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113927"/>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Eficiencia del emparejamiento: </w:t>
            </w:r>
            <w:r>
              <w:rPr>
                <w:rFonts w:ascii="Calibri" w:hAnsi="Calibri"/>
                <w:color w:val="2F3A30"/>
                <w:sz w:val="19"/>
              </w:rPr>
              <w:t>Capacidad del mercado laboral para conectar trabajadores con empleos</w:t>
            </w:r>
          </w:p>
        </w:tc>
      </w:tr>
    </w:tbl>
    <w:p>
      <w:pPr>
        <w:spacing w:before="0" w:after="160"/>
      </w:pPr>
    </w:p>
    <w:sectPr w:rsidR="00FC693F" w:rsidRPr="0006063C" w:rsidSect="00034616">
      <w:headerReference w:type="default" r:id="rId19"/>
      <w:footerReference w:type="default" r:id="rId20"/>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Outfit" w:hAnsi="Outfit"/>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Outfit" w:hAnsi="Outfit"/>
      <w:b/>
      <w:bCs/>
      <w:color w:val="113927"/>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Outfit" w:hAnsi="Outfit"/>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Outfit" w:hAnsi="Outfit"/>
      <w:b/>
      <w:bCs/>
      <w:color w:val="11392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eader" Target="header1.xm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