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11F" w14:paraId="7B5DA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F6EA"/>
            <w:tcMar>
              <w:top w:w="260" w:type="dxa"/>
              <w:left w:w="240" w:type="dxa"/>
              <w:bottom w:w="240" w:type="dxa"/>
              <w:right w:w="240" w:type="dxa"/>
            </w:tcMar>
          </w:tcPr>
          <w:p w14:paraId="58D3D06A" w14:textId="77777777" w:rsidR="0014311F" w:rsidRDefault="00000000">
            <w:pPr>
              <w:spacing w:after="40"/>
            </w:pPr>
            <w:r>
              <w:rPr>
                <w:b/>
                <w:bCs/>
                <w:color w:val="76927A"/>
                <w:spacing w:val="40"/>
                <w:sz w:val="18"/>
                <w:szCs w:val="18"/>
              </w:rPr>
              <w:t>POLÍTICAS SOCIOLABORALES</w:t>
            </w:r>
          </w:p>
          <w:p w14:paraId="50EF5437" w14:textId="77777777" w:rsidR="0014311F" w:rsidRDefault="00000000">
            <w:pPr>
              <w:spacing w:after="60"/>
            </w:pPr>
            <w:r>
              <w:rPr>
                <w:b/>
                <w:bCs/>
                <w:color w:val="566B56"/>
                <w:sz w:val="34"/>
                <w:szCs w:val="34"/>
              </w:rPr>
              <w:t>Prácticas (EPD) · Curso 2026-27</w:t>
            </w:r>
          </w:p>
          <w:p w14:paraId="087E966E" w14:textId="77777777" w:rsidR="0014311F" w:rsidRDefault="00000000">
            <w:r>
              <w:rPr>
                <w:i/>
                <w:iCs/>
                <w:sz w:val="20"/>
                <w:szCs w:val="20"/>
              </w:rPr>
              <w:t>Propuesta de arquitectura · Simulación de diseño de incentivos a la contratación</w:t>
            </w:r>
          </w:p>
        </w:tc>
      </w:tr>
    </w:tbl>
    <w:p w14:paraId="522726A1" w14:textId="77777777" w:rsidR="0014311F" w:rsidRDefault="0014311F">
      <w:pPr>
        <w:pBdr>
          <w:bottom w:val="single" w:sz="18" w:space="0" w:color="E99073"/>
        </w:pBdr>
        <w:spacing w:before="60" w:after="200"/>
      </w:pPr>
    </w:p>
    <w:p w14:paraId="4301C82D" w14:textId="0997BE6C" w:rsidR="0014311F" w:rsidRDefault="003B0F49">
      <w:pPr>
        <w:spacing w:after="120" w:line="276" w:lineRule="auto"/>
        <w:jc w:val="both"/>
      </w:pPr>
      <w:r>
        <w:t>P</w:t>
      </w:r>
      <w:r w:rsidR="00000000">
        <w:t xml:space="preserve">ropuesta de arquitectura para las prácticas: </w:t>
      </w:r>
      <w:r w:rsidR="00000000">
        <w:rPr>
          <w:b/>
          <w:bCs/>
          <w:color w:val="566B56"/>
        </w:rPr>
        <w:t>simulación de diseño de incentivos</w:t>
      </w:r>
      <w:r w:rsidR="00000000">
        <w:t xml:space="preserve"> a la contratación. El estudiante se pone en el rol de un técnico de la Consejería de Empleo y aprende, no a tramitar subvenciones, sino a entender que </w:t>
      </w:r>
      <w:r w:rsidR="00000000">
        <w:rPr>
          <w:i/>
          <w:iCs/>
        </w:rPr>
        <w:t>según cómo definas el incentivo, las consecuencias sobre el mercado laboral son unas u otras</w:t>
      </w:r>
      <w:r w:rsidR="00000000">
        <w:t>. Es la lógica causa-efecto que se ve en las Enseñanzas Básicas, llevada a la práctica.</w:t>
      </w:r>
    </w:p>
    <w:p w14:paraId="36695072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t>Parámetros de trabajo</w:t>
      </w:r>
    </w:p>
    <w:p w14:paraId="0140070D" w14:textId="77777777" w:rsidR="0014311F" w:rsidRDefault="00000000">
      <w:pPr>
        <w:spacing w:after="120" w:line="276" w:lineRule="auto"/>
      </w:pPr>
      <w:r>
        <w:t xml:space="preserve">• </w:t>
      </w:r>
      <w:r>
        <w:rPr>
          <w:b/>
          <w:bCs/>
        </w:rPr>
        <w:t>7 sesiones</w:t>
      </w:r>
      <w:r>
        <w:t xml:space="preserve"> de 1,5 h.</w:t>
      </w:r>
    </w:p>
    <w:p w14:paraId="105B24D7" w14:textId="77777777" w:rsidR="0014311F" w:rsidRDefault="00000000">
      <w:pPr>
        <w:spacing w:after="120" w:line="276" w:lineRule="auto"/>
      </w:pPr>
      <w:r>
        <w:t xml:space="preserve">• </w:t>
      </w:r>
      <w:r>
        <w:rPr>
          <w:b/>
          <w:bCs/>
        </w:rPr>
        <w:t>1 sesión de introducción</w:t>
      </w:r>
      <w:r>
        <w:t xml:space="preserve"> + </w:t>
      </w:r>
      <w:r>
        <w:rPr>
          <w:b/>
          <w:bCs/>
        </w:rPr>
        <w:t>2 casos</w:t>
      </w:r>
      <w:r>
        <w:t xml:space="preserve"> de 3 sesiones cada uno.</w:t>
      </w:r>
    </w:p>
    <w:p w14:paraId="13A0F88B" w14:textId="77777777" w:rsidR="0014311F" w:rsidRDefault="00000000">
      <w:pPr>
        <w:spacing w:after="120" w:line="276" w:lineRule="auto"/>
      </w:pPr>
      <w:r>
        <w:t xml:space="preserve">• Dos colectivos </w:t>
      </w:r>
      <w:r>
        <w:rPr>
          <w:b/>
          <w:bCs/>
        </w:rPr>
        <w:t>distintos</w:t>
      </w:r>
      <w:r>
        <w:t>: parados de larga duración (Caso 1) y mayores de 45 (Caso 2).</w:t>
      </w:r>
    </w:p>
    <w:p w14:paraId="216BA076" w14:textId="77777777" w:rsidR="0014311F" w:rsidRDefault="00000000">
      <w:pPr>
        <w:spacing w:after="120" w:line="276" w:lineRule="auto"/>
      </w:pPr>
      <w:r>
        <w:t xml:space="preserve">• Entregable transversal: un </w:t>
      </w:r>
      <w:r>
        <w:rPr>
          <w:b/>
          <w:bCs/>
        </w:rPr>
        <w:t>dossier de política acumulativo</w:t>
      </w:r>
      <w:r>
        <w:t xml:space="preserve"> que crece práctica a práctica y alimenta la evaluación continua.</w:t>
      </w:r>
    </w:p>
    <w:p w14:paraId="38F7944A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t>Las 7 sesiones de un vistazo</w:t>
      </w:r>
    </w:p>
    <w:tbl>
      <w:tblPr>
        <w:tblW w:w="9360" w:type="dxa"/>
        <w:tblBorders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560"/>
      </w:tblGrid>
      <w:tr w:rsidR="0014311F" w14:paraId="6B2D6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7692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ACAC" w14:textId="77777777" w:rsidR="001431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Sesión</w:t>
            </w:r>
          </w:p>
        </w:tc>
        <w:tc>
          <w:tcPr>
            <w:tcW w:w="3300" w:type="dxa"/>
            <w:shd w:val="clear" w:color="auto" w:fill="7692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ECBE" w14:textId="77777777" w:rsidR="0014311F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4560" w:type="dxa"/>
            <w:shd w:val="clear" w:color="auto" w:fill="7692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1FF2" w14:textId="77777777" w:rsidR="0014311F" w:rsidRDefault="00000000">
            <w:r>
              <w:rPr>
                <w:b/>
                <w:bCs/>
                <w:color w:val="FFFFFF"/>
                <w:sz w:val="20"/>
                <w:szCs w:val="20"/>
              </w:rPr>
              <w:t>Foco de la sesión</w:t>
            </w:r>
          </w:p>
        </w:tc>
      </w:tr>
      <w:tr w:rsidR="0014311F" w14:paraId="00D245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9056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1</w:t>
            </w:r>
          </w:p>
        </w:tc>
        <w:tc>
          <w:tcPr>
            <w:tcW w:w="330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0630" w14:textId="77777777" w:rsidR="0014311F" w:rsidRDefault="00000000">
            <w:r>
              <w:rPr>
                <w:b/>
                <w:bCs/>
                <w:sz w:val="20"/>
                <w:szCs w:val="20"/>
              </w:rPr>
              <w:t>Introducción</w:t>
            </w:r>
          </w:p>
        </w:tc>
        <w:tc>
          <w:tcPr>
            <w:tcW w:w="456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3C34" w14:textId="77777777" w:rsidR="0014311F" w:rsidRDefault="00000000">
            <w:r>
              <w:rPr>
                <w:sz w:val="20"/>
                <w:szCs w:val="20"/>
              </w:rPr>
              <w:t>Marco, rol, reglas del juego y entrega del instrumental gráfico ya montado.</w:t>
            </w:r>
          </w:p>
        </w:tc>
      </w:tr>
      <w:tr w:rsidR="0014311F" w14:paraId="7EF08D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125C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2</w:t>
            </w:r>
          </w:p>
        </w:tc>
        <w:tc>
          <w:tcPr>
            <w:tcW w:w="33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09E6" w14:textId="77777777" w:rsidR="0014311F" w:rsidRDefault="00000000">
            <w:r>
              <w:rPr>
                <w:b/>
                <w:bCs/>
                <w:sz w:val="20"/>
                <w:szCs w:val="20"/>
              </w:rPr>
              <w:t>Caso 1 · Larga duración</w:t>
            </w:r>
          </w:p>
        </w:tc>
        <w:tc>
          <w:tcPr>
            <w:tcW w:w="456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7D8D" w14:textId="77777777" w:rsidR="0014311F" w:rsidRDefault="00000000">
            <w:r>
              <w:rPr>
                <w:sz w:val="20"/>
                <w:szCs w:val="20"/>
              </w:rPr>
              <w:t>Diagnóstico: el colectivo y su fallo de mercado.</w:t>
            </w:r>
          </w:p>
        </w:tc>
      </w:tr>
      <w:tr w:rsidR="0014311F" w14:paraId="72527B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1488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3</w:t>
            </w:r>
          </w:p>
        </w:tc>
        <w:tc>
          <w:tcPr>
            <w:tcW w:w="33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883D" w14:textId="77777777" w:rsidR="0014311F" w:rsidRDefault="00000000">
            <w:r>
              <w:rPr>
                <w:b/>
                <w:bCs/>
                <w:sz w:val="20"/>
                <w:szCs w:val="20"/>
              </w:rPr>
              <w:t>Caso 1 · Larga duración</w:t>
            </w:r>
          </w:p>
        </w:tc>
        <w:tc>
          <w:tcPr>
            <w:tcW w:w="456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561D" w14:textId="77777777" w:rsidR="0014311F" w:rsidRDefault="00000000">
            <w:r>
              <w:rPr>
                <w:sz w:val="20"/>
                <w:szCs w:val="20"/>
              </w:rPr>
              <w:t>Diseño: definición del incentivo (cuantía, condicionalidad, temporalidad).</w:t>
            </w:r>
          </w:p>
        </w:tc>
      </w:tr>
      <w:tr w:rsidR="0014311F" w14:paraId="7EF764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F20D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4</w:t>
            </w:r>
          </w:p>
        </w:tc>
        <w:tc>
          <w:tcPr>
            <w:tcW w:w="330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CEB0" w14:textId="77777777" w:rsidR="0014311F" w:rsidRDefault="00000000">
            <w:r>
              <w:rPr>
                <w:b/>
                <w:bCs/>
                <w:sz w:val="20"/>
                <w:szCs w:val="20"/>
              </w:rPr>
              <w:t>Caso 1 · Larga duración</w:t>
            </w:r>
          </w:p>
        </w:tc>
        <w:tc>
          <w:tcPr>
            <w:tcW w:w="4560" w:type="dxa"/>
            <w:shd w:val="clear" w:color="auto" w:fill="E1F6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1A57" w14:textId="77777777" w:rsidR="0014311F" w:rsidRDefault="00000000">
            <w:r>
              <w:rPr>
                <w:sz w:val="20"/>
                <w:szCs w:val="20"/>
              </w:rPr>
              <w:t>Consecuencias y defensa del diseño.</w:t>
            </w:r>
          </w:p>
        </w:tc>
      </w:tr>
      <w:tr w:rsidR="0014311F" w14:paraId="1CA328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2DC7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5</w:t>
            </w:r>
          </w:p>
        </w:tc>
        <w:tc>
          <w:tcPr>
            <w:tcW w:w="33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0F05" w14:textId="77777777" w:rsidR="0014311F" w:rsidRDefault="00000000">
            <w:r>
              <w:rPr>
                <w:b/>
                <w:bCs/>
                <w:sz w:val="20"/>
                <w:szCs w:val="20"/>
              </w:rPr>
              <w:t>Caso 2 · Mayores de 45</w:t>
            </w:r>
          </w:p>
        </w:tc>
        <w:tc>
          <w:tcPr>
            <w:tcW w:w="456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2A07" w14:textId="77777777" w:rsidR="0014311F" w:rsidRDefault="00000000">
            <w:r>
              <w:rPr>
                <w:sz w:val="20"/>
                <w:szCs w:val="20"/>
              </w:rPr>
              <w:t>Diagnóstico: obstáculos específicos a la reinserción.</w:t>
            </w:r>
          </w:p>
        </w:tc>
      </w:tr>
      <w:tr w:rsidR="0014311F" w14:paraId="798457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89CB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6</w:t>
            </w:r>
          </w:p>
        </w:tc>
        <w:tc>
          <w:tcPr>
            <w:tcW w:w="33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F442" w14:textId="77777777" w:rsidR="0014311F" w:rsidRDefault="00000000">
            <w:r>
              <w:rPr>
                <w:b/>
                <w:bCs/>
                <w:sz w:val="20"/>
                <w:szCs w:val="20"/>
              </w:rPr>
              <w:t>Caso 2 · Mayores de 45</w:t>
            </w:r>
          </w:p>
        </w:tc>
        <w:tc>
          <w:tcPr>
            <w:tcW w:w="456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54B4" w14:textId="77777777" w:rsidR="0014311F" w:rsidRDefault="00000000">
            <w:r>
              <w:rPr>
                <w:sz w:val="20"/>
                <w:szCs w:val="20"/>
              </w:rPr>
              <w:t>Diseño autónomo del incentivo (menos andamiaje).</w:t>
            </w:r>
          </w:p>
        </w:tc>
      </w:tr>
      <w:tr w:rsidR="0014311F" w14:paraId="7DE516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441A" w14:textId="77777777" w:rsidR="0014311F" w:rsidRDefault="00000000">
            <w:pPr>
              <w:jc w:val="center"/>
            </w:pPr>
            <w:r>
              <w:rPr>
                <w:b/>
                <w:bCs/>
                <w:color w:val="566B56"/>
                <w:sz w:val="20"/>
                <w:szCs w:val="20"/>
              </w:rPr>
              <w:t>7</w:t>
            </w:r>
          </w:p>
        </w:tc>
        <w:tc>
          <w:tcPr>
            <w:tcW w:w="330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9959" w14:textId="77777777" w:rsidR="0014311F" w:rsidRDefault="00000000">
            <w:r>
              <w:rPr>
                <w:b/>
                <w:bCs/>
                <w:sz w:val="20"/>
                <w:szCs w:val="20"/>
              </w:rPr>
              <w:t>Caso 2 · Mayores de 45</w:t>
            </w:r>
          </w:p>
        </w:tc>
        <w:tc>
          <w:tcPr>
            <w:tcW w:w="4560" w:type="dxa"/>
            <w:shd w:val="clear" w:color="auto" w:fill="EDB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C77E" w14:textId="77777777" w:rsidR="0014311F" w:rsidRDefault="00000000">
            <w:r>
              <w:rPr>
                <w:sz w:val="20"/>
                <w:szCs w:val="20"/>
              </w:rPr>
              <w:t>Consecuencias, defensa y cierre del dossier.</w:t>
            </w:r>
          </w:p>
        </w:tc>
      </w:tr>
    </w:tbl>
    <w:p w14:paraId="58A2AB08" w14:textId="77777777" w:rsidR="0014311F" w:rsidRDefault="0014311F">
      <w:pPr>
        <w:spacing w:after="120"/>
      </w:pPr>
    </w:p>
    <w:p w14:paraId="73882BBE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lastRenderedPageBreak/>
        <w:t>Por qué dos colectivos diferentes</w:t>
      </w:r>
    </w:p>
    <w:p w14:paraId="4A03100F" w14:textId="3CE5ACF5" w:rsidR="0014311F" w:rsidRDefault="00000000">
      <w:pPr>
        <w:spacing w:after="120" w:line="276" w:lineRule="auto"/>
        <w:jc w:val="both"/>
      </w:pPr>
      <w:r>
        <w:t xml:space="preserve">Larga duración y mayores de 45 comparten el problema de fondo —baja empleabilidad y obstáculos a la reinserción— pero responden a </w:t>
      </w:r>
      <w:r>
        <w:rPr>
          <w:b/>
          <w:bCs/>
        </w:rPr>
        <w:t>lógicas de incentivo distintas</w:t>
      </w:r>
      <w:r>
        <w:t xml:space="preserve">. En la larga duración pesan el deterioro del capital humano y el efecto desánimo; en los mayores de 45 pesan los costes salariales ligados a la antigüedad y la percepción empresarial de un menor horizonte de amortización. Que los estudiantes descubran que </w:t>
      </w:r>
      <w:r>
        <w:rPr>
          <w:i/>
          <w:iCs/>
          <w:color w:val="566B56"/>
        </w:rPr>
        <w:t>el mismo instrumento no rinde igual en ambos casos</w:t>
      </w:r>
      <w:r>
        <w:t xml:space="preserve"> es precisamente la lección que buscamos: el diseño manda.</w:t>
      </w:r>
      <w:r w:rsidR="003B0F49">
        <w:t xml:space="preserve"> No obstante, podemos variar o pensar en nuevas opciones.</w:t>
      </w:r>
    </w:p>
    <w:p w14:paraId="728BE8FC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t>Estructura interna de cada caso</w:t>
      </w:r>
    </w:p>
    <w:p w14:paraId="7C760E12" w14:textId="77777777" w:rsidR="0014311F" w:rsidRDefault="00000000">
      <w:pPr>
        <w:spacing w:after="120" w:line="276" w:lineRule="auto"/>
        <w:jc w:val="both"/>
      </w:pPr>
      <w:r>
        <w:t xml:space="preserve">Con tres sesiones por caso, cada uno se organiza como un arco completo en tres fases. Esto evita que el trabajo se diluya y da una </w:t>
      </w:r>
      <w:proofErr w:type="spellStart"/>
      <w:r>
        <w:t>micro-progresión</w:t>
      </w:r>
      <w:proofErr w:type="spellEnd"/>
      <w:r>
        <w:t xml:space="preserve"> clara:</w:t>
      </w:r>
    </w:p>
    <w:tbl>
      <w:tblPr>
        <w:tblW w:w="9360" w:type="dxa"/>
        <w:tblBorders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14311F" w14:paraId="6FB6E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7692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B290" w14:textId="77777777" w:rsidR="0014311F" w:rsidRDefault="00000000">
            <w:r>
              <w:rPr>
                <w:b/>
                <w:bCs/>
                <w:color w:val="FFFFFF"/>
                <w:sz w:val="20"/>
                <w:szCs w:val="20"/>
              </w:rPr>
              <w:t>Fase (sesión)</w:t>
            </w:r>
          </w:p>
        </w:tc>
        <w:tc>
          <w:tcPr>
            <w:tcW w:w="7260" w:type="dxa"/>
            <w:shd w:val="clear" w:color="auto" w:fill="7692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190E" w14:textId="77777777" w:rsidR="0014311F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hacen los estudiantes</w:t>
            </w:r>
          </w:p>
        </w:tc>
      </w:tr>
      <w:tr w:rsidR="0014311F" w14:paraId="5699AF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452F" w14:textId="77777777" w:rsidR="0014311F" w:rsidRDefault="00000000">
            <w:r>
              <w:rPr>
                <w:b/>
                <w:bCs/>
                <w:color w:val="566B56"/>
                <w:sz w:val="20"/>
                <w:szCs w:val="20"/>
              </w:rPr>
              <w:t>A · Diagnóstico</w:t>
            </w:r>
          </w:p>
        </w:tc>
        <w:tc>
          <w:tcPr>
            <w:tcW w:w="726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EEDE" w14:textId="77777777" w:rsidR="0014311F" w:rsidRDefault="00000000">
            <w:r>
              <w:rPr>
                <w:sz w:val="20"/>
                <w:szCs w:val="20"/>
              </w:rPr>
              <w:t>Entienden el colectivo y por qué el mercado no lo contrata por sí solo. Trabajan con el instrumental gráfico ya dado, sin que se les explique todavía su lógica interna.</w:t>
            </w:r>
          </w:p>
        </w:tc>
      </w:tr>
      <w:tr w:rsidR="0014311F" w14:paraId="760424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81E0" w14:textId="77777777" w:rsidR="0014311F" w:rsidRDefault="00000000">
            <w:r>
              <w:rPr>
                <w:b/>
                <w:bCs/>
                <w:color w:val="566B56"/>
                <w:sz w:val="20"/>
                <w:szCs w:val="20"/>
              </w:rPr>
              <w:t>B · Diseño</w:t>
            </w:r>
          </w:p>
        </w:tc>
        <w:tc>
          <w:tcPr>
            <w:tcW w:w="726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661D" w14:textId="77777777" w:rsidR="0014311F" w:rsidRDefault="00000000">
            <w:r>
              <w:rPr>
                <w:sz w:val="20"/>
                <w:szCs w:val="20"/>
              </w:rPr>
              <w:t>Toman decisiones: cuantía del incentivo, colectivo diana concreto, condicionalidad, requisitos y temporalidad. Aquí es donde diseñan la convocatoria.</w:t>
            </w:r>
          </w:p>
        </w:tc>
      </w:tr>
      <w:tr w:rsidR="0014311F" w14:paraId="26FF10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E56F" w14:textId="77777777" w:rsidR="0014311F" w:rsidRDefault="00000000">
            <w:r>
              <w:rPr>
                <w:b/>
                <w:bCs/>
                <w:color w:val="566B56"/>
                <w:sz w:val="20"/>
                <w:szCs w:val="20"/>
              </w:rPr>
              <w:t>C · Consecuencias y defensa</w:t>
            </w:r>
          </w:p>
        </w:tc>
        <w:tc>
          <w:tcPr>
            <w:tcW w:w="7260" w:type="dxa"/>
            <w:shd w:val="clear" w:color="auto" w:fill="F3EF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9D94" w14:textId="77777777" w:rsidR="0014311F" w:rsidRDefault="00000000">
            <w:r>
              <w:rPr>
                <w:sz w:val="20"/>
                <w:szCs w:val="20"/>
              </w:rPr>
              <w:t>Analizan los efectos de su propio diseño (peso muerto, efecto sustitución, sostenibilidad) y lo defienden. Cierra el bucle causa-efecto.</w:t>
            </w:r>
          </w:p>
        </w:tc>
      </w:tr>
    </w:tbl>
    <w:p w14:paraId="22357B98" w14:textId="77777777" w:rsidR="0014311F" w:rsidRDefault="0014311F">
      <w:pPr>
        <w:spacing w:after="120"/>
      </w:pPr>
    </w:p>
    <w:p w14:paraId="78D3433E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t>El instrumental gráfico</w:t>
      </w:r>
    </w:p>
    <w:p w14:paraId="5BC7973C" w14:textId="6665A649" w:rsidR="0014311F" w:rsidRDefault="003B0F49">
      <w:pPr>
        <w:spacing w:after="120" w:line="276" w:lineRule="auto"/>
        <w:jc w:val="both"/>
      </w:pPr>
      <w:r>
        <w:t>A</w:t>
      </w:r>
      <w:r w:rsidR="00000000">
        <w:t xml:space="preserve"> los estudiantes se les entrega el instrumental gráfico </w:t>
      </w:r>
      <w:r w:rsidR="00000000">
        <w:rPr>
          <w:b/>
          <w:bCs/>
        </w:rPr>
        <w:t>ya montado</w:t>
      </w:r>
      <w:r w:rsidR="00000000">
        <w:t xml:space="preserve"> en la sesión de introducción, y lo usan para diagnosticar y diseñar </w:t>
      </w:r>
      <w:r w:rsidR="00000000">
        <w:rPr>
          <w:i/>
          <w:iCs/>
        </w:rPr>
        <w:t>sin que se les explique de entrada su lógica interna</w:t>
      </w:r>
      <w:r w:rsidR="00000000">
        <w:t xml:space="preserve">. El objetivo es que lleguen a entender cómo funciona en términos prácticos por sí mismos. En el Caso 2 el andamiaje se reduce, </w:t>
      </w:r>
      <w:r>
        <w:t xml:space="preserve">por haber realizado previamente el ejercicio 1, </w:t>
      </w:r>
      <w:r w:rsidR="00000000">
        <w:t>de modo que la segunda mitad de la asignatura funcione casi como ensayo del caso aplicado del examen.</w:t>
      </w:r>
    </w:p>
    <w:p w14:paraId="1301C06D" w14:textId="77777777" w:rsidR="0014311F" w:rsidRDefault="00000000">
      <w:pPr>
        <w:spacing w:before="240" w:after="120"/>
      </w:pPr>
      <w:r>
        <w:rPr>
          <w:b/>
          <w:bCs/>
          <w:color w:val="566B56"/>
          <w:sz w:val="30"/>
          <w:szCs w:val="30"/>
        </w:rPr>
        <w:t>Lo que falta por confirmar</w:t>
      </w:r>
    </w:p>
    <w:p w14:paraId="453FD117" w14:textId="77777777" w:rsidR="0014311F" w:rsidRDefault="00000000">
      <w:pPr>
        <w:spacing w:after="120" w:line="276" w:lineRule="auto"/>
        <w:jc w:val="both"/>
      </w:pPr>
      <w:r>
        <w:t xml:space="preserve">Me apoyaría mucho tener la </w:t>
      </w:r>
      <w:r>
        <w:rPr>
          <w:b/>
          <w:bCs/>
        </w:rPr>
        <w:t>orden de convocatoria de ayudas de la Consejería de Empleo</w:t>
      </w:r>
      <w:r>
        <w:t xml:space="preserve"> que preparaste en su momento (la del Aula Virtual). Sobre ese documento real afino el andamiaje, el instrumental gráfico y los datos concretos de cada colectivo. Con este esqueleto ya puedes construir tu borrador; en cuanto tengamos la orden, lo aterrizamos.</w:t>
      </w:r>
    </w:p>
    <w:p w14:paraId="3C4541BD" w14:textId="77777777" w:rsidR="0014311F" w:rsidRDefault="0014311F">
      <w:pPr>
        <w:pBdr>
          <w:bottom w:val="single" w:sz="18" w:space="0" w:color="E99073"/>
        </w:pBdr>
        <w:spacing w:before="60" w:after="200"/>
      </w:pPr>
    </w:p>
    <w:p w14:paraId="47F7B618" w14:textId="77777777" w:rsidR="0014311F" w:rsidRDefault="00000000">
      <w:pPr>
        <w:jc w:val="center"/>
        <w:rPr>
          <w:color w:val="76927A"/>
          <w:sz w:val="16"/>
          <w:szCs w:val="16"/>
        </w:rPr>
      </w:pPr>
      <w:r>
        <w:rPr>
          <w:color w:val="76927A"/>
          <w:sz w:val="16"/>
          <w:szCs w:val="16"/>
        </w:rPr>
        <w:t>Políticas Sociolaborales · Universidad Pablo de Olavide · Curso 2026-27</w:t>
      </w:r>
    </w:p>
    <w:p w14:paraId="055405CA" w14:textId="77777777" w:rsidR="00165DE0" w:rsidRDefault="00165DE0">
      <w:pPr>
        <w:jc w:val="center"/>
      </w:pPr>
    </w:p>
    <w:sectPr w:rsidR="00165DE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073DC"/>
    <w:multiLevelType w:val="hybridMultilevel"/>
    <w:tmpl w:val="F370AA70"/>
    <w:lvl w:ilvl="0" w:tplc="27787424">
      <w:start w:val="1"/>
      <w:numFmt w:val="bullet"/>
      <w:lvlText w:val="●"/>
      <w:lvlJc w:val="left"/>
      <w:pPr>
        <w:ind w:left="720" w:hanging="360"/>
      </w:pPr>
    </w:lvl>
    <w:lvl w:ilvl="1" w:tplc="FEC455B2">
      <w:start w:val="1"/>
      <w:numFmt w:val="bullet"/>
      <w:lvlText w:val="○"/>
      <w:lvlJc w:val="left"/>
      <w:pPr>
        <w:ind w:left="1440" w:hanging="360"/>
      </w:pPr>
    </w:lvl>
    <w:lvl w:ilvl="2" w:tplc="22686C2A">
      <w:start w:val="1"/>
      <w:numFmt w:val="bullet"/>
      <w:lvlText w:val="■"/>
      <w:lvlJc w:val="left"/>
      <w:pPr>
        <w:ind w:left="2160" w:hanging="360"/>
      </w:pPr>
    </w:lvl>
    <w:lvl w:ilvl="3" w:tplc="22F8FF18">
      <w:start w:val="1"/>
      <w:numFmt w:val="bullet"/>
      <w:lvlText w:val="●"/>
      <w:lvlJc w:val="left"/>
      <w:pPr>
        <w:ind w:left="2880" w:hanging="360"/>
      </w:pPr>
    </w:lvl>
    <w:lvl w:ilvl="4" w:tplc="E640E6A8">
      <w:start w:val="1"/>
      <w:numFmt w:val="bullet"/>
      <w:lvlText w:val="○"/>
      <w:lvlJc w:val="left"/>
      <w:pPr>
        <w:ind w:left="3600" w:hanging="360"/>
      </w:pPr>
    </w:lvl>
    <w:lvl w:ilvl="5" w:tplc="61FEC4B8">
      <w:start w:val="1"/>
      <w:numFmt w:val="bullet"/>
      <w:lvlText w:val="■"/>
      <w:lvlJc w:val="left"/>
      <w:pPr>
        <w:ind w:left="4320" w:hanging="360"/>
      </w:pPr>
    </w:lvl>
    <w:lvl w:ilvl="6" w:tplc="432096CE">
      <w:start w:val="1"/>
      <w:numFmt w:val="bullet"/>
      <w:lvlText w:val="●"/>
      <w:lvlJc w:val="left"/>
      <w:pPr>
        <w:ind w:left="5040" w:hanging="360"/>
      </w:pPr>
    </w:lvl>
    <w:lvl w:ilvl="7" w:tplc="F0F0CF8C">
      <w:start w:val="1"/>
      <w:numFmt w:val="bullet"/>
      <w:lvlText w:val="●"/>
      <w:lvlJc w:val="left"/>
      <w:pPr>
        <w:ind w:left="5760" w:hanging="360"/>
      </w:pPr>
    </w:lvl>
    <w:lvl w:ilvl="8" w:tplc="C33A2106">
      <w:start w:val="1"/>
      <w:numFmt w:val="bullet"/>
      <w:lvlText w:val="●"/>
      <w:lvlJc w:val="left"/>
      <w:pPr>
        <w:ind w:left="6480" w:hanging="360"/>
      </w:pPr>
    </w:lvl>
  </w:abstractNum>
  <w:num w:numId="1" w16cid:durableId="1173565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1F"/>
    <w:rsid w:val="0014311F"/>
    <w:rsid w:val="00165DE0"/>
    <w:rsid w:val="003B0F49"/>
    <w:rsid w:val="00A01F88"/>
    <w:rsid w:val="00CA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4DBE"/>
  <w15:docId w15:val="{96CFBC1C-667E-4B7F-A459-9196579A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2E3A2E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3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EPD 2026-27</vt:lpstr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EPD 2026-27</dc:title>
  <dc:creator>PSLL · Políticas Sociolaborales</dc:creator>
  <cp:lastModifiedBy>Manuel Alejandro Hidalgo Perez</cp:lastModifiedBy>
  <cp:revision>2</cp:revision>
  <dcterms:created xsi:type="dcterms:W3CDTF">2026-08-26T09:11:00Z</dcterms:created>
  <dcterms:modified xsi:type="dcterms:W3CDTF">2026-08-26T09:11:00Z</dcterms:modified>
</cp:coreProperties>
</file>