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70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80" w:type="dxa"/>
              <w:right w:w="0" w:type="dxa"/>
            </w:tcMar>
          </w:tcPr>
          <w:p>
            <w:pPr>
              <w:spacing w:before="0" w:after="40"/>
              <w:jc w:val="left"/>
            </w:pPr>
            <w:r>
              <w:rPr>
                <w:rFonts w:ascii="Outfit" w:hAnsi="Outfit"/>
                <w:b/>
                <w:color w:val="113927"/>
                <w:sz w:val="19"/>
              </w:rPr>
              <w:t>UNIVERSIDAD PABLO DE OLAVIDE</w:t>
            </w:r>
          </w:p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76927A"/>
                <w:sz w:val="17"/>
              </w:rPr>
              <w:t>Facultad de Ciencias del Trabajo · Grado en RRLL y Recursos Humanos</w:t>
            </w:r>
          </w:p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2F3A30"/>
                <w:sz w:val="17"/>
              </w:rPr>
              <w:t>Políticas Sociolaborales y de Empleo (Código 102023) | Curso 2026-2027</w:t>
            </w:r>
          </w:p>
        </w:tc>
        <w:tc>
          <w:tcPr>
            <w:tcW w:type="dxa" w:w="470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8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45920" cy="8977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sll_up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7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320"/>
      </w:pPr>
      <w:r>
        <w:rPr>
          <w:rFonts w:ascii="Calibri" w:hAnsi="Calibri"/>
          <w:color w:val="76927A"/>
          <w:sz w:val="16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60" w:after="80"/>
        <w:jc w:val="left"/>
      </w:pPr>
      <w:r>
        <w:rPr>
          <w:rFonts w:ascii="Outfit" w:hAnsi="Outfit"/>
          <w:b/>
          <w:color w:val="113927"/>
          <w:sz w:val="34"/>
        </w:rPr>
        <w:t>Guion Docente de Sesión · EPD 2</w:t>
      </w:r>
    </w:p>
    <w:p>
      <w:pPr>
        <w:pStyle w:val="Heading1"/>
        <w:keepNext/>
        <w:spacing w:before="400" w:after="100"/>
      </w:pPr>
      <w:r>
        <w:rPr>
          <w:rFonts w:ascii="Outfit" w:hAnsi="Outfit"/>
          <w:b/>
          <w:color w:val="113927"/>
          <w:sz w:val="28"/>
        </w:rPr>
        <w:t>Bloque 2: Dimensión Europea del Reto: Del Compromiso Político al Fondo Social Europeo Plus (FSE+)</w:t>
      </w: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Asignatura:</w:t>
      </w:r>
      <w:r>
        <w:rPr>
          <w:rFonts w:ascii="Calibri" w:hAnsi="Calibri"/>
          <w:color w:val="2F3A30"/>
          <w:sz w:val="21"/>
        </w:rPr>
        <w:t xml:space="preserve"> Políticas Sociolaborales y de Empleo (Código 102023) · Grado en RRLL y RRHH / Doble Grado DER-RRLL</w:t>
      </w: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Universidad Pablo de Olavide · Curso Académico 2026-2027</w:t>
      </w:r>
    </w:p>
    <w:p>
      <w:pPr>
        <w:spacing w:before="0" w:after="90" w:line="276" w:lineRule="auto"/>
        <w:jc w:val="both"/>
      </w:pPr>
      <w:r>
        <w:rPr>
          <w:rFonts w:ascii="Calibri" w:hAnsi="Calibri"/>
          <w:b/>
          <w:color w:val="113927"/>
          <w:sz w:val="21"/>
        </w:rPr>
        <w:t>Equipo Docente:</w:t>
      </w:r>
      <w:r>
        <w:rPr>
          <w:rFonts w:ascii="Calibri" w:hAnsi="Calibri"/>
          <w:color w:val="2F3A30"/>
          <w:sz w:val="21"/>
        </w:rPr>
        <w:t xml:space="preserve"> Manuel A. Hidalgo Pérez, Juan Manuel García González, Pablo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⏱️ 1. Ficha Técnica y Distribución de Tiempos (90 Minutos)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Espacio:</w:t>
      </w:r>
      <w:r>
        <w:rPr>
          <w:rFonts w:ascii="Calibri" w:hAnsi="Calibri"/>
          <w:color w:val="2F3A30"/>
          <w:sz w:val="21"/>
        </w:rPr>
        <w:t xml:space="preserve"> Aula de informática (EPD11: E24AINFB01 · EPD12: E14AINF1 · EPD21: E10AINF6).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Modalidad de trabajo:</w:t>
      </w:r>
      <w:r>
        <w:rPr>
          <w:rFonts w:ascii="Calibri" w:hAnsi="Calibri"/>
          <w:color w:val="2F3A30"/>
          <w:sz w:val="21"/>
        </w:rPr>
        <w:t xml:space="preserve"> Taller de rastreo documental y análisis normativo guiado en equipos (3 estudiantes) con </w:t>
      </w:r>
      <w:r>
        <w:rPr>
          <w:rFonts w:ascii="Calibri" w:hAnsi="Calibri"/>
          <w:b/>
          <w:color w:val="113927"/>
          <w:sz w:val="21"/>
        </w:rPr>
        <w:t>redacción individual obligatoria</w:t>
      </w:r>
      <w:r>
        <w:rPr>
          <w:rFonts w:ascii="Calibri" w:hAnsi="Calibri"/>
          <w:color w:val="2F3A30"/>
          <w:sz w:val="21"/>
        </w:rPr>
        <w:t xml:space="preserve"> en el tramo final.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Ponderación evaluativa:</w:t>
      </w:r>
      <w:r>
        <w:rPr>
          <w:rFonts w:ascii="Calibri" w:hAnsi="Calibri"/>
          <w:color w:val="2F3A30"/>
          <w:sz w:val="21"/>
        </w:rPr>
        <w:t xml:space="preserve"> </w:t>
      </w:r>
      <w:r>
        <w:rPr>
          <w:rFonts w:ascii="Calibri" w:hAnsi="Calibri"/>
          <w:b/>
          <w:color w:val="113927"/>
          <w:sz w:val="21"/>
        </w:rPr>
        <w:t>Entregable Individual 2 (0,50 puntos)</w:t>
      </w:r>
      <w:r>
        <w:rPr>
          <w:rFonts w:ascii="Calibri" w:hAnsi="Calibri"/>
          <w:color w:val="2F3A30"/>
          <w:sz w:val="21"/>
        </w:rPr>
        <w:t xml:space="preserve"> sobre la calificación final de la asignatura.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Cronograma ajustado (conforme a las directrices de coordinación docente):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13927"/>
          <w:bottom w:val="single" w:sz="6" w:space="0" w:color="113927"/>
          <w:insideH w:val="single" w:sz="4" w:space="0" w:color="D0DCD2"/>
          <w:left w:val="none"/>
          <w:right w:val="none"/>
          <w:insideV w:val="none"/>
        </w:tblBorders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Tramo</w:t>
            </w:r>
          </w:p>
        </w:tc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Minutos</w:t>
            </w:r>
          </w:p>
        </w:tc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Fase Pedagógica</w:t>
            </w:r>
          </w:p>
        </w:tc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Contenido y Actividad en el Aula</w:t>
            </w:r>
          </w:p>
        </w:tc>
      </w:tr>
      <w:tr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Fase 0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00–10 min</w:t>
            </w:r>
            <w:r>
              <w:rPr>
                <w:rFonts w:ascii="Calibri" w:hAnsi="Calibri"/>
                <w:color w:val="2F3A30"/>
                <w:sz w:val="19"/>
              </w:rPr>
              <w:t xml:space="preserve"> (10')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Radiografía del Problema (Prensa y Datos Eurostat)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Exposición docente de apertura y debate: Noticias de prensa económica sobre edadismo (ABC, Expansión) y proyección de las 4 figuras de Eurostat (41,4% parados sénior y 33,3% larga duración).</w:t>
            </w:r>
          </w:p>
        </w:tc>
      </w:tr>
      <w:tr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Fase 1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10–25 min</w:t>
            </w:r>
            <w:r>
              <w:rPr>
                <w:rFonts w:ascii="Calibri" w:hAnsi="Calibri"/>
                <w:color w:val="2F3A30"/>
                <w:sz w:val="19"/>
              </w:rPr>
              <w:t xml:space="preserve"> (15')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Presentación del Marco Institucional (Exposición Docente · Slides Oficiales)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Exposición a cargo del profesor: El Pilar Europeo de Derechos Sociales (PEDS), el Semestre Europeo (Informe País 2022) y la arquitectura de la Política de Cohesión (del principio político a la cofinanciación).</w:t>
            </w:r>
          </w:p>
        </w:tc>
      </w:tr>
      <w:tr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Fase 2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25–45 min</w:t>
            </w:r>
            <w:r>
              <w:rPr>
                <w:rFonts w:ascii="Calibri" w:hAnsi="Calibri"/>
                <w:color w:val="2F3A30"/>
                <w:sz w:val="19"/>
              </w:rPr>
              <w:t xml:space="preserve"> (20')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Taller de Rastreo Documental en Equipos (Alumnos)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 xml:space="preserve">Trabajo autónomo de los alumnos en equipos: Búsqueda acotada </w:t>
            </w:r>
            <w:r>
              <w:rPr>
                <w:rFonts w:ascii="Calibri" w:hAnsi="Calibri"/>
                <w:b/>
                <w:color w:val="113927"/>
                <w:sz w:val="19"/>
              </w:rPr>
              <w:t>exclusivamente</w:t>
            </w:r>
            <w:r>
              <w:rPr>
                <w:rFonts w:ascii="Calibri" w:hAnsi="Calibri"/>
                <w:color w:val="2F3A30"/>
                <w:sz w:val="19"/>
              </w:rPr>
              <w:t xml:space="preserve"> en el Artículo 4 del Reglamento (UE) 2021/1057 (OE1: Art. 4.1.a y OE3: Art. 4.1.c).</w:t>
            </w:r>
          </w:p>
        </w:tc>
      </w:tr>
      <w:tr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Fase 3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45–65 min</w:t>
            </w:r>
            <w:r>
              <w:rPr>
                <w:rFonts w:ascii="Calibri" w:hAnsi="Calibri"/>
                <w:color w:val="2F3A30"/>
                <w:sz w:val="19"/>
              </w:rPr>
              <w:t xml:space="preserve"> (20')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Análisis Comparado ÉFESO vs. FSE+ Andalucía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Exploración de programas operativos: Medidas estatales del Programa ÉFESO vs. 5 Intervenciones clave del FSE+ Andalucía (tasa de cofinanciación del 85% para colectivos vulnerables y sénior).</w:t>
            </w:r>
          </w:p>
        </w:tc>
      </w:tr>
      <w:tr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Fase 4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65–90 min</w:t>
            </w:r>
            <w:r>
              <w:rPr>
                <w:rFonts w:ascii="Calibri" w:hAnsi="Calibri"/>
                <w:color w:val="2F3A30"/>
                <w:sz w:val="19"/>
              </w:rPr>
              <w:t xml:space="preserve"> (25')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Redacción y Subida del Entregable de Equipo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Redacción en el aula del informe técnico en equipo: Diagrama de trazabilidad multinivel, justificación de colectivos y comparativa de medidas (0,50 puntos).</w:t>
            </w:r>
          </w:p>
        </w:tc>
      </w:tr>
    </w:tbl>
    <w:p>
      <w:pPr>
        <w:spacing w:before="80" w:after="160"/>
      </w:pP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🎯 2. Objetivos de Aprendizaje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Al finalizar la sesión, el estudiante será capaz de: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b/>
          <w:color w:val="113927"/>
          <w:sz w:val="21"/>
        </w:rPr>
        <w:t>Dimensionar empíricamente la vulnerabilidad del empleo sénior:</w:t>
      </w:r>
      <w:r>
        <w:rPr>
          <w:rFonts w:ascii="Calibri" w:hAnsi="Calibri"/>
          <w:color w:val="2F3A30"/>
          <w:sz w:val="21"/>
        </w:rPr>
        <w:t xml:space="preserve"> Interpretar las estadísticas de Eurostat que demuestran la sobre-representación de personas de más de 45 años en el desempleo español (41,4%) y el riesgo de cronificación en parados de larga duración.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b/>
          <w:color w:val="113927"/>
          <w:sz w:val="21"/>
        </w:rPr>
        <w:t>Reconstruir la cadena de gobernanza multinivel:</w:t>
      </w:r>
      <w:r>
        <w:rPr>
          <w:rFonts w:ascii="Calibri" w:hAnsi="Calibri"/>
          <w:color w:val="2F3A30"/>
          <w:sz w:val="21"/>
        </w:rPr>
        <w:t xml:space="preserve"> Comprender cómo un principio político acordado en Bruselas o Gotemburgo (Pilar Europeo) se traduce en recomendaciones macroeconómicas (Semestre Europeo), se financia mediante un fondo estructural (FSE+) y se ejecuta en Andalucía a través de programas cofinanciados.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b/>
          <w:color w:val="113927"/>
          <w:sz w:val="21"/>
        </w:rPr>
        <w:t>Localizar e interpretar fuentes normativas primarias:</w:t>
      </w:r>
      <w:r>
        <w:rPr>
          <w:rFonts w:ascii="Calibri" w:hAnsi="Calibri"/>
          <w:color w:val="2F3A30"/>
          <w:sz w:val="21"/>
        </w:rPr>
        <w:t xml:space="preserve"> Navegar con soltura por el Diario Oficial de la Unión Europea (DOUE), el portal de Fondos Europeos y la Unidad Administradora del FSE (UAFSE), localizando artículos, líneas y objetivos específicos.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4. </w:t>
      </w:r>
      <w:r>
        <w:rPr>
          <w:rFonts w:ascii="Calibri" w:hAnsi="Calibri"/>
          <w:b/>
          <w:color w:val="113927"/>
          <w:sz w:val="21"/>
        </w:rPr>
        <w:t>Diferenciar el nivel estatal del nivel autonómico:</w:t>
      </w:r>
      <w:r>
        <w:rPr>
          <w:rFonts w:ascii="Calibri" w:hAnsi="Calibri"/>
          <w:color w:val="2F3A30"/>
          <w:sz w:val="21"/>
        </w:rPr>
        <w:t xml:space="preserve"> Analizar el reparto competencial y financiero entre el programa estatal ÉFESO (Ministerio de Trabajo) y el programa regional FSE+ Andalucía (Junta de Andalucía), comprendiendo el significado de una tasa de cofinanciación comunitaria del 85%.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5. </w:t>
      </w:r>
      <w:r>
        <w:rPr>
          <w:rFonts w:ascii="Calibri" w:hAnsi="Calibri"/>
          <w:b/>
          <w:color w:val="113927"/>
          <w:sz w:val="21"/>
        </w:rPr>
        <w:t>Fundamentar técnicamente la atención prioritaria a dos colectivos críticos:</w:t>
      </w:r>
      <w:r>
        <w:rPr>
          <w:rFonts w:ascii="Calibri" w:hAnsi="Calibri"/>
          <w:color w:val="2F3A30"/>
          <w:sz w:val="21"/>
        </w:rPr>
        <w:t xml:space="preserve"> Justificar por qué los </w:t>
      </w:r>
      <w:r>
        <w:rPr>
          <w:rFonts w:ascii="Calibri" w:hAnsi="Calibri"/>
          <w:i/>
          <w:color w:val="2F3A30"/>
          <w:sz w:val="21"/>
        </w:rPr>
        <w:t>parados de larga duración</w:t>
      </w:r>
      <w:r>
        <w:rPr>
          <w:rFonts w:ascii="Calibri" w:hAnsi="Calibri"/>
          <w:color w:val="2F3A30"/>
          <w:sz w:val="21"/>
        </w:rPr>
        <w:t xml:space="preserve"> y los </w:t>
      </w:r>
      <w:r>
        <w:rPr>
          <w:rFonts w:ascii="Calibri" w:hAnsi="Calibri"/>
          <w:i/>
          <w:color w:val="2F3A30"/>
          <w:sz w:val="21"/>
        </w:rPr>
        <w:t>mayores de 45 años</w:t>
      </w:r>
      <w:r>
        <w:rPr>
          <w:rFonts w:ascii="Calibri" w:hAnsi="Calibri"/>
          <w:color w:val="2F3A30"/>
          <w:sz w:val="21"/>
        </w:rPr>
        <w:t xml:space="preserve"> requieren líneas presupuestarias blindadas frente a la simple política pasiva o genérica.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📚 3. Recursos Documentales y Enlaces Web Oficiales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Todos los instrumentos están hiperenlazados para su consulta directa desde los terminales informáticos del aula: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b/>
          <w:color w:val="113927"/>
          <w:sz w:val="21"/>
        </w:rPr>
        <w:t>Pilar Europeo de Derechos Sociales (PEDS):</w:t>
      </w:r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URL:</w:t>
      </w:r>
      <w:r>
        <w:rPr>
          <w:rFonts w:ascii="Calibri" w:hAnsi="Calibri"/>
          <w:color w:val="2F3A30"/>
          <w:sz w:val="21"/>
        </w:rPr>
        <w:t xml:space="preserve"> </w:t>
      </w:r>
      <w:hyperlink r:id="rId12">
        <w:r>
          <w:rPr>
            <w:color w:val="113927"/>
            <w:rFonts w:ascii="Calibri" w:hAnsi="Calibri"/>
            <w:sz w:val="21"/>
            <w:u w:val="single"/>
            <w:b/>
          </w:rPr>
          <w:t xml:space="preserve">https://op.europa.eu/webpub/empl/european-pillar-of-social-rights/es/</w:t>
        </w:r>
      </w:hyperlink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Foco clave:</w:t>
      </w:r>
      <w:r>
        <w:rPr>
          <w:rFonts w:ascii="Calibri" w:hAnsi="Calibri"/>
          <w:color w:val="2F3A30"/>
          <w:sz w:val="21"/>
        </w:rPr>
        <w:t xml:space="preserve"> Principio 4 (Apoyo activo para el empleo), Principio 1 (Educación y formación) y Principio 3 (Igualdad de oportunidades).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b/>
          <w:color w:val="113927"/>
          <w:sz w:val="21"/>
        </w:rPr>
        <w:t>Semestre Europeo 2022 · Recomendaciones e Informe País:</w:t>
      </w:r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URL Recomendaciones:</w:t>
      </w:r>
      <w:r>
        <w:rPr>
          <w:rFonts w:ascii="Calibri" w:hAnsi="Calibri"/>
          <w:color w:val="2F3A30"/>
          <w:sz w:val="21"/>
        </w:rPr>
        <w:t xml:space="preserve"> </w:t>
      </w:r>
      <w:hyperlink r:id="rId13">
        <w:r>
          <w:rPr>
            <w:color w:val="113927"/>
            <w:rFonts w:ascii="Calibri" w:hAnsi="Calibri"/>
            <w:sz w:val="21"/>
            <w:u w:val="single"/>
            <w:b/>
          </w:rPr>
          <w:t xml:space="preserve">Recomendaciones específicas Consejo 2022</w:t>
        </w:r>
      </w:hyperlink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URL Infografía proceso:</w:t>
      </w:r>
      <w:r>
        <w:rPr>
          <w:rFonts w:ascii="Calibri" w:hAnsi="Calibri"/>
          <w:color w:val="2F3A30"/>
          <w:sz w:val="21"/>
        </w:rPr>
        <w:t xml:space="preserve"> </w:t>
      </w:r>
      <w:hyperlink r:id="rId14">
        <w:r>
          <w:rPr>
            <w:color w:val="113927"/>
            <w:rFonts w:ascii="Calibri" w:hAnsi="Calibri"/>
            <w:sz w:val="21"/>
            <w:u w:val="single"/>
            <w:b/>
          </w:rPr>
          <w:t xml:space="preserve">Infografía explicativa del Semestre</w:t>
        </w:r>
      </w:hyperlink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URL Informe País España (Anexo 12):</w:t>
      </w:r>
      <w:r>
        <w:rPr>
          <w:rFonts w:ascii="Calibri" w:hAnsi="Calibri"/>
          <w:color w:val="2F3A30"/>
          <w:sz w:val="21"/>
        </w:rPr>
        <w:t xml:space="preserve"> </w:t>
      </w:r>
      <w:hyperlink r:id="rId15">
        <w:r>
          <w:rPr>
            <w:color w:val="113927"/>
            <w:rFonts w:ascii="Calibri" w:hAnsi="Calibri"/>
            <w:sz w:val="21"/>
            <w:u w:val="single"/>
            <w:b/>
          </w:rPr>
          <w:t xml:space="preserve">Informe sobre España 2022 SWD(2022) 610 final</w:t>
        </w:r>
      </w:hyperlink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b/>
          <w:color w:val="113927"/>
          <w:sz w:val="21"/>
        </w:rPr>
        <w:t>Reglamento (UE) 2021/1057 del FSE+:</w:t>
      </w:r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URL EUR-Lex (Versión ES):</w:t>
      </w:r>
      <w:r>
        <w:rPr>
          <w:rFonts w:ascii="Calibri" w:hAnsi="Calibri"/>
          <w:color w:val="2F3A30"/>
          <w:sz w:val="21"/>
        </w:rPr>
        <w:t xml:space="preserve"> </w:t>
      </w:r>
      <w:hyperlink r:id="rId16">
        <w:r>
          <w:rPr>
            <w:color w:val="113927"/>
            <w:rFonts w:ascii="Calibri" w:hAnsi="Calibri"/>
            <w:sz w:val="21"/>
            <w:u w:val="single"/>
            <w:b/>
          </w:rPr>
          <w:t xml:space="preserve">Reglamento (UE) 2021/1057 en EUR-Lex (DOUE)</w:t>
        </w:r>
      </w:hyperlink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Foco clave:</w:t>
      </w:r>
      <w:r>
        <w:rPr>
          <w:rFonts w:ascii="Calibri" w:hAnsi="Calibri"/>
          <w:color w:val="2F3A30"/>
          <w:sz w:val="21"/>
        </w:rPr>
        <w:t xml:space="preserve"> Artículo 4 (Objetivos específicos OE1 y OE3).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4. </w:t>
      </w:r>
      <w:r>
        <w:rPr>
          <w:rFonts w:ascii="Calibri" w:hAnsi="Calibri"/>
          <w:b/>
          <w:color w:val="113927"/>
          <w:sz w:val="21"/>
        </w:rPr>
        <w:t>Programas Operativos de Cofinanciación:</w:t>
      </w:r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URL Programa ÉFESO (Estatal):</w:t>
      </w:r>
      <w:r>
        <w:rPr>
          <w:rFonts w:ascii="Calibri" w:hAnsi="Calibri"/>
          <w:color w:val="2F3A30"/>
          <w:sz w:val="21"/>
        </w:rPr>
        <w:t xml:space="preserve"> </w:t>
      </w:r>
      <w:hyperlink r:id="rId17">
        <w:r>
          <w:rPr>
            <w:color w:val="113927"/>
            <w:rFonts w:ascii="Calibri" w:hAnsi="Calibri"/>
            <w:sz w:val="21"/>
            <w:u w:val="single"/>
            <w:b/>
          </w:rPr>
          <w:t xml:space="preserve">Programa ÉFESO - UAFSE</w:t>
        </w:r>
      </w:hyperlink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URL Programa FSE+ Andalucía:</w:t>
      </w:r>
      <w:r>
        <w:rPr>
          <w:rFonts w:ascii="Calibri" w:hAnsi="Calibri"/>
          <w:color w:val="2F3A30"/>
          <w:sz w:val="21"/>
        </w:rPr>
        <w:t xml:space="preserve"> </w:t>
      </w:r>
      <w:hyperlink r:id="rId18">
        <w:r>
          <w:rPr>
            <w:color w:val="113927"/>
            <w:rFonts w:ascii="Calibri" w:hAnsi="Calibri"/>
            <w:sz w:val="21"/>
            <w:u w:val="single"/>
            <w:b/>
          </w:rPr>
          <w:t xml:space="preserve">Programa FSE+ Andalucía 2021-2027</w:t>
        </w:r>
      </w:hyperlink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URL Portal Global UAFSE:</w:t>
      </w:r>
      <w:r>
        <w:rPr>
          <w:rFonts w:ascii="Calibri" w:hAnsi="Calibri"/>
          <w:color w:val="2F3A30"/>
          <w:sz w:val="21"/>
        </w:rPr>
        <w:t xml:space="preserve"> </w:t>
      </w:r>
      <w:hyperlink r:id="rId19">
        <w:r>
          <w:rPr>
            <w:color w:val="113927"/>
            <w:rFonts w:ascii="Calibri" w:hAnsi="Calibri"/>
            <w:sz w:val="21"/>
            <w:u w:val="single"/>
            <w:b/>
          </w:rPr>
          <w:t xml:space="preserve">Portal FSE+ 2021-2027 (MITES)</w:t>
        </w:r>
      </w:hyperlink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🧭 4. Dinámica Detallada de la Sesión en el Aula (Paso a Paso)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Protocolo Inicial · Control de Asistencia y Verificación Presencial (00–05 min)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Paso de hoja oficial de firmas:</w:t>
      </w:r>
      <w:r>
        <w:rPr>
          <w:rFonts w:ascii="Calibri" w:hAnsi="Calibri"/>
          <w:color w:val="2F3A30"/>
          <w:sz w:val="21"/>
        </w:rPr>
        <w:t xml:space="preserve"> Al entrar los estudiantes al aula de informática, el docente debe </w:t>
      </w:r>
      <w:r>
        <w:rPr>
          <w:rFonts w:ascii="Calibri" w:hAnsi="Calibri"/>
          <w:b/>
          <w:color w:val="113927"/>
          <w:sz w:val="21"/>
        </w:rPr>
        <w:t>pasar el listado oficial de alumnos</w:t>
      </w:r>
      <w:r>
        <w:rPr>
          <w:rFonts w:ascii="Calibri" w:hAnsi="Calibri"/>
          <w:color w:val="2F3A30"/>
          <w:sz w:val="21"/>
        </w:rPr>
        <w:t xml:space="preserve"> para su firma física en papel.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Pase de lista a voz alzada (obligatorio):</w:t>
      </w:r>
      <w:r>
        <w:rPr>
          <w:rFonts w:ascii="Calibri" w:hAnsi="Calibri"/>
          <w:color w:val="2F3A30"/>
          <w:sz w:val="21"/>
        </w:rPr>
        <w:t xml:space="preserve"> Una vez ubicados en sus puestos informáticos, el profesor debe </w:t>
      </w:r>
      <w:r>
        <w:rPr>
          <w:rFonts w:ascii="Calibri" w:hAnsi="Calibri"/>
          <w:b/>
          <w:color w:val="113927"/>
          <w:sz w:val="21"/>
        </w:rPr>
        <w:t>pasar lista a voz alzada</w:t>
      </w:r>
      <w:r>
        <w:rPr>
          <w:rFonts w:ascii="Calibri" w:hAnsi="Calibri"/>
          <w:color w:val="2F3A30"/>
          <w:sz w:val="21"/>
        </w:rPr>
        <w:t xml:space="preserve"> llamando a cada estudiante para verificar de manera fehaciente su presencia real en el aula antes de la configuración de los grupos.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Aviso de cotejo e integridad:</w:t>
      </w:r>
      <w:r>
        <w:rPr>
          <w:rFonts w:ascii="Calibri" w:hAnsi="Calibri"/>
          <w:color w:val="2F3A30"/>
          <w:sz w:val="21"/>
        </w:rPr>
        <w:t xml:space="preserve"> Recordar expresamente al aula que la web app vincula los integrantes elegidos por el responsable del equipo y que </w:t>
      </w:r>
      <w:r>
        <w:rPr>
          <w:rFonts w:ascii="Calibri" w:hAnsi="Calibri"/>
          <w:b/>
          <w:color w:val="113927"/>
          <w:sz w:val="21"/>
        </w:rPr>
        <w:t>la cátedra cotejará con la lista de asistencia que realmente el alumno está allí</w:t>
      </w:r>
      <w:r>
        <w:rPr>
          <w:rFonts w:ascii="Calibri" w:hAnsi="Calibri"/>
          <w:color w:val="2F3A30"/>
          <w:sz w:val="21"/>
        </w:rPr>
        <w:t xml:space="preserve">. Si se detecta la inclusión de algún alumno ausente, la entrega quedará </w:t>
      </w:r>
      <w:r>
        <w:rPr>
          <w:rFonts w:ascii="Calibri" w:hAnsi="Calibri"/>
          <w:b/>
          <w:color w:val="113927"/>
          <w:sz w:val="21"/>
        </w:rPr>
        <w:t>anulada automáticamente con calificación de 0,00 pts</w:t>
      </w:r>
      <w:r>
        <w:rPr>
          <w:rFonts w:ascii="Calibri" w:hAnsi="Calibri"/>
          <w:color w:val="2F3A30"/>
          <w:sz w:val="21"/>
        </w:rPr>
        <w:t xml:space="preserve"> para todos los integrantes del grupo.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FASE 0 · Radiografía del Problema: Prensa Económica y Estadísticas Oficiales (05–15 min · 10 min · Apertura del Profesor)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Apertura con noticias de prensa económica: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El profesor proyecta y comenta dos titulares reales de la prensa económica: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i/>
          <w:color w:val="2F3A30"/>
          <w:sz w:val="21"/>
        </w:rPr>
        <w:t>ABC:</w:t>
      </w:r>
      <w:r>
        <w:rPr>
          <w:rFonts w:ascii="Calibri" w:hAnsi="Calibri"/>
          <w:color w:val="2F3A30"/>
          <w:sz w:val="21"/>
        </w:rPr>
        <w:t xml:space="preserve"> «El edadismo no da tregua: tres de cada cuatro parados de más de 50 años llevan más de un año buscando empleo».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i/>
          <w:color w:val="2F3A30"/>
          <w:sz w:val="21"/>
        </w:rPr>
        <w:t>Expansión:</w:t>
      </w:r>
      <w:r>
        <w:rPr>
          <w:rFonts w:ascii="Calibri" w:hAnsi="Calibri"/>
          <w:color w:val="2F3A30"/>
          <w:sz w:val="21"/>
        </w:rPr>
        <w:t xml:space="preserve"> «El drama del desempleo de las personas mayores: barreras de reinserción y desajuste de cualificaciones».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Pregunta disparadora al aula:</w:t>
      </w:r>
      <w:r>
        <w:rPr>
          <w:rFonts w:ascii="Calibri" w:hAnsi="Calibri"/>
          <w:color w:val="2F3A30"/>
          <w:sz w:val="21"/>
        </w:rPr>
        <w:t xml:space="preserve"> ¿Por qué la creación agregada de empleo en España no absorbe al colectivo sénior? ¿Qué barreras invisibles sufren los mayores de 45 años en los procesos de selección?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Choque empírico con datos oficiales (Eurostat 2024):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Estructura por edad (Figura 1):</w:t>
      </w:r>
      <w:r>
        <w:rPr>
          <w:rFonts w:ascii="Calibri" w:hAnsi="Calibri"/>
          <w:color w:val="2F3A30"/>
          <w:sz w:val="21"/>
        </w:rPr>
        <w:t xml:space="preserve"> Mostrar que en España el </w:t>
      </w:r>
      <w:r>
        <w:rPr>
          <w:rFonts w:ascii="Calibri" w:hAnsi="Calibri"/>
          <w:b/>
          <w:color w:val="113927"/>
          <w:sz w:val="21"/>
        </w:rPr>
        <w:t>41,4%</w:t>
      </w:r>
      <w:r>
        <w:rPr>
          <w:rFonts w:ascii="Calibri" w:hAnsi="Calibri"/>
          <w:color w:val="2F3A30"/>
          <w:sz w:val="21"/>
        </w:rPr>
        <w:t xml:space="preserve"> de las personas desempleadas tienen 45 o más años (frente al 33,9% en la UE-27), evidenciando una sobre-representación de +7,5 puntos porcentuales.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Envejecimiento del desempleo (Figura 2):</w:t>
      </w:r>
      <w:r>
        <w:rPr>
          <w:rFonts w:ascii="Calibri" w:hAnsi="Calibri"/>
          <w:color w:val="2F3A30"/>
          <w:sz w:val="21"/>
        </w:rPr>
        <w:t xml:space="preserve"> En 2005 los mayores de 45 años suponían solo el 20,8% del desempleo en España; en 2024 representan el 41,4%. El tramo de más de 55 años casi se ha triplicado (del 7,0% al 18,8%).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Duración del desempleo (Figuras 3 y 4):</w:t>
      </w:r>
      <w:r>
        <w:rPr>
          <w:rFonts w:ascii="Calibri" w:hAnsi="Calibri"/>
          <w:color w:val="2F3A30"/>
          <w:sz w:val="21"/>
        </w:rPr>
        <w:t xml:space="preserve"> El </w:t>
      </w:r>
      <w:r>
        <w:rPr>
          <w:rFonts w:ascii="Calibri" w:hAnsi="Calibri"/>
          <w:b/>
          <w:color w:val="113927"/>
          <w:sz w:val="21"/>
        </w:rPr>
        <w:t>33,3%</w:t>
      </w:r>
      <w:r>
        <w:rPr>
          <w:rFonts w:ascii="Calibri" w:hAnsi="Calibri"/>
          <w:color w:val="2F3A30"/>
          <w:sz w:val="21"/>
        </w:rPr>
        <w:t xml:space="preserve"> de los desempleados españoles llevan más de un año buscando trabajo, y casi el 20% superan los dos años de inactividad involuntaria (histéresis y persistencia tras las crisis).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Conclusión de la Fase 0:</w:t>
      </w:r>
      <w:r>
        <w:rPr>
          <w:rFonts w:ascii="Calibri" w:hAnsi="Calibri"/>
          <w:color w:val="2F3A30"/>
          <w:sz w:val="21"/>
        </w:rPr>
        <w:t xml:space="preserve"> El desempleo en España no es un problema homogéneo, sino que está severamente concentrado en personas de mayor edad y de larga duración. Esta evidencia empírica es la que legitima y exige que la Unión Europea articule directrices políticas vinculantes (Fase 1) y fondos finalistas cofinanciados (Fases 2 y 3).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FASE 1 · Presentación del Marco Institucional (15–30 min · 15 min · Exposición del Profesor)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Fase a cargo exclusivo del profesor (Diapositivas correspondientes):</w:t>
      </w:r>
      <w:r>
        <w:rPr>
          <w:rFonts w:ascii="Calibri" w:hAnsi="Calibri"/>
          <w:color w:val="2F3A30"/>
          <w:sz w:val="21"/>
        </w:rPr>
        <w:t xml:space="preserve"> El docente conduce la explicación proyectando las diapositivas oficiales. En ella expone el marco de principios y valores sociales de la Unión Europea (PEDS), el Semestre Europeo y el paso de la directriz comunitaria al presupuesto operativo.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Apertura docente:</w:t>
      </w:r>
      <w:r>
        <w:rPr>
          <w:rFonts w:ascii="Calibri" w:hAnsi="Calibri"/>
          <w:color w:val="2F3A30"/>
          <w:sz w:val="21"/>
        </w:rPr>
        <w:t xml:space="preserve"> El profesor abre la sesión planteando la gran pregunta directriz: </w:t>
      </w:r>
      <w:r>
        <w:rPr>
          <w:rFonts w:ascii="Calibri" w:hAnsi="Calibri"/>
          <w:i/>
          <w:color w:val="2F3A30"/>
          <w:sz w:val="21"/>
        </w:rPr>
        <w:t>«¿De dónde sale el dinero de las políticas activas de empleo que vemos en Andalucía? ¿Por qué la Junta publica programas específicos para mayores de 45 años y parados de larga duración?»</w:t>
      </w:r>
      <w:r>
        <w:rPr>
          <w:rFonts w:ascii="Calibri" w:hAnsi="Calibri"/>
          <w:color w:val="2F3A30"/>
          <w:sz w:val="21"/>
        </w:rPr>
        <w:t>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El Pilar Europeo de Derechos Sociales (PEDS · Proclamado en Gotemburgo 2017, plan de acción en Oporto 2021):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Explicar su función como </w:t>
      </w:r>
      <w:r>
        <w:rPr>
          <w:rFonts w:ascii="Calibri" w:hAnsi="Calibri"/>
          <w:b/>
          <w:color w:val="113927"/>
          <w:sz w:val="21"/>
        </w:rPr>
        <w:t>brújula política y social</w:t>
      </w:r>
      <w:r>
        <w:rPr>
          <w:rFonts w:ascii="Calibri" w:hAnsi="Calibri"/>
          <w:color w:val="2F3A30"/>
          <w:sz w:val="21"/>
        </w:rPr>
        <w:t xml:space="preserve"> de la Unión Europea (marco de principios y valores comunes).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Subrayar el </w:t>
      </w:r>
      <w:r>
        <w:rPr>
          <w:rFonts w:ascii="Calibri" w:hAnsi="Calibri"/>
          <w:b/>
          <w:color w:val="113927"/>
          <w:sz w:val="21"/>
        </w:rPr>
        <w:t>Objetivo Social 2030</w:t>
      </w:r>
      <w:r>
        <w:rPr>
          <w:rFonts w:ascii="Calibri" w:hAnsi="Calibri"/>
          <w:color w:val="2F3A30"/>
          <w:sz w:val="21"/>
        </w:rPr>
        <w:t xml:space="preserve">: alcanzar al menos el </w:t>
      </w:r>
      <w:r>
        <w:rPr>
          <w:rFonts w:ascii="Calibri" w:hAnsi="Calibri"/>
          <w:b/>
          <w:color w:val="113927"/>
          <w:sz w:val="21"/>
        </w:rPr>
        <w:t>78% de empleo</w:t>
      </w:r>
      <w:r>
        <w:rPr>
          <w:rFonts w:ascii="Calibri" w:hAnsi="Calibri"/>
          <w:color w:val="2F3A30"/>
          <w:sz w:val="21"/>
        </w:rPr>
        <w:t xml:space="preserve"> en personas de 20 a 64 años y reducir en al menos 15 millones el número de personas en riesgo de exclusión.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Destacar el </w:t>
      </w:r>
      <w:r>
        <w:rPr>
          <w:rFonts w:ascii="Calibri" w:hAnsi="Calibri"/>
          <w:b/>
          <w:color w:val="113927"/>
          <w:sz w:val="21"/>
        </w:rPr>
        <w:t>Principio 4 (Apoyo activo para el empleo)</w:t>
      </w:r>
      <w:r>
        <w:rPr>
          <w:rFonts w:ascii="Calibri" w:hAnsi="Calibri"/>
          <w:color w:val="2F3A30"/>
          <w:sz w:val="21"/>
        </w:rPr>
        <w:t xml:space="preserve">: </w:t>
      </w:r>
      <w:r>
        <w:rPr>
          <w:rFonts w:ascii="Calibri" w:hAnsi="Calibri"/>
          <w:i/>
          <w:color w:val="2F3A30"/>
          <w:sz w:val="21"/>
        </w:rPr>
        <w:t>«Toda persona tiene derecho a una ayuda personalizada, continuada y adecuada. Los desempleados de larga duración tienen derecho a una evaluación individual detallada a más tardar a los 18 meses de desempleo»</w:t>
      </w:r>
      <w:r>
        <w:rPr>
          <w:rFonts w:ascii="Calibri" w:hAnsi="Calibri"/>
          <w:color w:val="2F3A30"/>
          <w:sz w:val="21"/>
        </w:rPr>
        <w:t>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Conectar con el </w:t>
      </w:r>
      <w:r>
        <w:rPr>
          <w:rFonts w:ascii="Calibri" w:hAnsi="Calibri"/>
          <w:b/>
          <w:color w:val="113927"/>
          <w:sz w:val="21"/>
        </w:rPr>
        <w:t>Principio 3 (Igualdad de oportunidades)</w:t>
      </w:r>
      <w:r>
        <w:rPr>
          <w:rFonts w:ascii="Calibri" w:hAnsi="Calibri"/>
          <w:color w:val="2F3A30"/>
          <w:sz w:val="21"/>
        </w:rPr>
        <w:t xml:space="preserve"> frente a la discriminación por edad (</w:t>
      </w:r>
      <w:r>
        <w:rPr>
          <w:rFonts w:ascii="Calibri" w:hAnsi="Calibri"/>
          <w:i/>
          <w:color w:val="2F3A30"/>
          <w:sz w:val="21"/>
        </w:rPr>
        <w:t>edadismo</w:t>
      </w:r>
      <w:r>
        <w:rPr>
          <w:rFonts w:ascii="Calibri" w:hAnsi="Calibri"/>
          <w:color w:val="2F3A30"/>
          <w:sz w:val="21"/>
        </w:rPr>
        <w:t>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El Semestre Europeo y el Informe País España 2022 (Anexo 12):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Explicar el ciclo anual de coordinación de políticas económicas y laborales.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Mostrar el diagnóstico de la Comisión Europea: España arrastra un desempleo de larga duración que duplica la media europea, mientras sus Servicios Públicos de Empleo (SPE) presentan una baja capacidad de intermediación y escasa personalización de itinerarios.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La recomendación del Consejo exige </w:t>
      </w:r>
      <w:r>
        <w:rPr>
          <w:rFonts w:ascii="Calibri" w:hAnsi="Calibri"/>
          <w:b/>
          <w:color w:val="113927"/>
          <w:sz w:val="21"/>
        </w:rPr>
        <w:t>reforzar la capacidad institucional de los servicios de empleo</w:t>
      </w:r>
      <w:r>
        <w:rPr>
          <w:rFonts w:ascii="Calibri" w:hAnsi="Calibri"/>
          <w:color w:val="2F3A30"/>
          <w:sz w:val="21"/>
        </w:rPr>
        <w:t xml:space="preserve"> y canalizar fondos hacia medidas de activación con impacto contrastado.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FASE 2 · Taller de Rastreo Documental en Equipos (25–45 min · 20 min · Trabajo de los Alumnos)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Fase a cargo de los alumnos (trabajo activo en equipos):</w:t>
      </w:r>
      <w:r>
        <w:rPr>
          <w:rFonts w:ascii="Calibri" w:hAnsi="Calibri"/>
          <w:color w:val="2F3A30"/>
          <w:sz w:val="21"/>
        </w:rPr>
        <w:t xml:space="preserve"> Los estudiantes abren en sus terminales informáticos el enlace al </w:t>
      </w:r>
      <w:r>
        <w:rPr>
          <w:rFonts w:ascii="Calibri" w:hAnsi="Calibri"/>
          <w:b/>
          <w:color w:val="113927"/>
          <w:sz w:val="21"/>
        </w:rPr>
        <w:t>Reglamento (UE) 2021/1057 del FSE+</w:t>
      </w:r>
      <w:r>
        <w:rPr>
          <w:rFonts w:ascii="Calibri" w:hAnsi="Calibri"/>
          <w:color w:val="2F3A30"/>
          <w:sz w:val="21"/>
        </w:rPr>
        <w:t>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Consigna docente estricta sobre la amplitud del Reglamento (Búsqueda Exclusiva):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 xml:space="preserve">El profesor debe advertir expresamente al aula que el Reglamento FSE+ consta de decenas de páginas y que deben buscar </w:t>
      </w:r>
      <w:r>
        <w:rPr>
          <w:rFonts w:ascii="Calibri" w:hAnsi="Calibri"/>
          <w:b/>
          <w:color w:val="113927"/>
          <w:sz w:val="21"/>
        </w:rPr>
        <w:t>EXCLUSIVAMENTE</w:t>
      </w:r>
      <w:r>
        <w:rPr>
          <w:rFonts w:ascii="Calibri" w:hAnsi="Calibri"/>
          <w:color w:val="2F3A30"/>
          <w:sz w:val="21"/>
        </w:rPr>
        <w:t xml:space="preserve"> en el </w:t>
      </w:r>
      <w:r>
        <w:rPr>
          <w:rFonts w:ascii="Calibri" w:hAnsi="Calibri"/>
          <w:b/>
          <w:color w:val="113927"/>
          <w:sz w:val="21"/>
        </w:rPr>
        <w:t>Artículo 4 (Objetivos específicos)</w:t>
      </w:r>
      <w:r>
        <w:rPr>
          <w:rFonts w:ascii="Calibri" w:hAnsi="Calibri"/>
          <w:color w:val="2F3A30"/>
          <w:sz w:val="21"/>
        </w:rPr>
        <w:t xml:space="preserve"> los siguientes dos puntos concretos: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b/>
          <w:color w:val="113927"/>
          <w:sz w:val="21"/>
        </w:rPr>
        <w:t>OE1 (Art. 4.1.a):</w:t>
      </w:r>
      <w:r>
        <w:rPr>
          <w:rFonts w:ascii="Calibri" w:hAnsi="Calibri"/>
          <w:color w:val="2F3A30"/>
          <w:sz w:val="21"/>
        </w:rPr>
        <w:t xml:space="preserve"> Medidas de acceso al empleo centradas en </w:t>
      </w:r>
      <w:r>
        <w:rPr>
          <w:rFonts w:ascii="Calibri" w:hAnsi="Calibri"/>
          <w:b/>
          <w:color w:val="113927"/>
          <w:sz w:val="21"/>
        </w:rPr>
        <w:t>parados de larga duración</w:t>
      </w:r>
      <w:r>
        <w:rPr>
          <w:rFonts w:ascii="Calibri" w:hAnsi="Calibri"/>
          <w:color w:val="2F3A30"/>
          <w:sz w:val="21"/>
        </w:rPr>
        <w:t xml:space="preserve"> y colectivos vulnerables.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b/>
          <w:color w:val="113927"/>
          <w:sz w:val="21"/>
        </w:rPr>
        <w:t>OE3 (Art. 4.1.c):</w:t>
      </w:r>
      <w:r>
        <w:rPr>
          <w:rFonts w:ascii="Calibri" w:hAnsi="Calibri"/>
          <w:color w:val="2F3A30"/>
          <w:sz w:val="21"/>
        </w:rPr>
        <w:t xml:space="preserve"> Modernización institucional de los </w:t>
      </w:r>
      <w:r>
        <w:rPr>
          <w:rFonts w:ascii="Calibri" w:hAnsi="Calibri"/>
          <w:b/>
          <w:color w:val="113927"/>
          <w:sz w:val="21"/>
        </w:rPr>
        <w:t>servicios públicos del mercado de trabajo (SEPE y SAE)</w:t>
      </w:r>
      <w:r>
        <w:rPr>
          <w:rFonts w:ascii="Calibri" w:hAnsi="Calibri"/>
          <w:color w:val="2F3A30"/>
          <w:sz w:val="21"/>
        </w:rPr>
        <w:t xml:space="preserve"> para itinerarios personalizados.</w:t>
      </w:r>
    </w:p>
    <w:p>
      <w:pPr>
        <w:spacing w:before="0" w:after="90" w:line="276" w:lineRule="auto"/>
        <w:jc w:val="both"/>
      </w:pPr>
      <w:r>
        <w:rPr>
          <w:rFonts w:ascii="Calibri" w:hAnsi="Calibri"/>
          <w:i/>
          <w:color w:val="2F3A30"/>
          <w:sz w:val="21"/>
        </w:rPr>
        <w:t>(Aclarar a los estudiantes que deben omitir por completo el resto de títulos, considerandos y artículos para no perder tiempo).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Andamiaje docente para el Eje 1 (La Cadena de Trazabilidad):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El profesor proyecta y remarca la conexión en 3 eslabones para que los estudiantes no se bloqueen al redactar: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Gotemburgo (PEDS):</w:t>
      </w:r>
      <w:r>
        <w:rPr>
          <w:rFonts w:ascii="Calibri" w:hAnsi="Calibri"/>
          <w:color w:val="2F3A30"/>
          <w:sz w:val="21"/>
        </w:rPr>
        <w:t xml:space="preserve"> Principio 4 (derecho subjetivo a evaluación individual antes de 18 meses) y Principio 3 (prohibición del edadismo).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Semestre Europeo:</w:t>
      </w:r>
      <w:r>
        <w:rPr>
          <w:rFonts w:ascii="Calibri" w:hAnsi="Calibri"/>
          <w:color w:val="2F3A30"/>
          <w:sz w:val="21"/>
        </w:rPr>
        <w:t xml:space="preserve"> Diagnóstico a España por su elevada tasa de paro sénior y recomendación de reforzar los SPE.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Reglamento FSE+ (DOUE):</w:t>
      </w:r>
      <w:r>
        <w:rPr>
          <w:rFonts w:ascii="Calibri" w:hAnsi="Calibri"/>
          <w:color w:val="2F3A30"/>
          <w:sz w:val="21"/>
        </w:rPr>
        <w:t xml:space="preserve"> El mandato se traduce en dinero finalista en el Art. 4.1.a (activación e itinerarios) y Art. 4.1.c (modernización técnica y humana del SAE).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FASE 3 · Laboratorio de Financiación y Análisis Comparado (45–65 min · 20 min)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Objetivo de la fase y explicación de la complementariedad:</w:t>
      </w:r>
      <w:r>
        <w:rPr>
          <w:rFonts w:ascii="Calibri" w:hAnsi="Calibri"/>
          <w:color w:val="2F3A30"/>
          <w:sz w:val="21"/>
        </w:rPr>
        <w:t xml:space="preserve"> El profesor proyecta y explica la lógica de los dos niveles: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Nivel Estatal (Programa ÉFESO · Plurirregional):</w:t>
      </w:r>
      <w:r>
        <w:rPr>
          <w:rFonts w:ascii="Calibri" w:hAnsi="Calibri"/>
          <w:color w:val="2F3A30"/>
          <w:sz w:val="21"/>
        </w:rPr>
        <w:t xml:space="preserve"> Fija el suelo común de cohesión sociolaboral en toda España abaratando cotizaciones patronales (128 €/mes · RDL 1/2023) sin discriminar por territorio.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Nivel Autonómico (Programa FSE+ Andalucía · Regional):</w:t>
      </w:r>
      <w:r>
        <w:rPr>
          <w:rFonts w:ascii="Calibri" w:hAnsi="Calibri"/>
          <w:color w:val="2F3A30"/>
          <w:sz w:val="21"/>
        </w:rPr>
        <w:t xml:space="preserve"> Como región menos desarrollada con alto desempleo, recibe la tasa máxima del </w:t>
      </w:r>
      <w:r>
        <w:rPr>
          <w:rFonts w:ascii="Calibri" w:hAnsi="Calibri"/>
          <w:b/>
          <w:color w:val="113927"/>
          <w:sz w:val="21"/>
        </w:rPr>
        <w:t>85%</w:t>
      </w:r>
      <w:r>
        <w:rPr>
          <w:rFonts w:ascii="Calibri" w:hAnsi="Calibri"/>
          <w:color w:val="2F3A30"/>
          <w:sz w:val="21"/>
        </w:rPr>
        <w:t xml:space="preserve"> de la UE, permitiendo a la Junta conceder subvenciones directas de 4.500 € a pymes (Línea 1.A.06) y orientación intensiva en el SAE (Línea 1.A.05).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Complementariedad:</w:t>
      </w:r>
      <w:r>
        <w:rPr>
          <w:rFonts w:ascii="Calibri" w:hAnsi="Calibri"/>
          <w:color w:val="2F3A30"/>
          <w:sz w:val="21"/>
        </w:rPr>
        <w:t xml:space="preserve"> No compiten, se refuerzan (incentivo fiscal común a largo plazo + inyección de liquidez inmediata y activación donde hay más necesidad).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i/>
          <w:color w:val="2F3A30"/>
          <w:sz w:val="21"/>
        </w:rPr>
        <w:t>(Aclarar a los estudiantes que los enlaces web en la app son de consulta opcional y que no necesitan bucear en textos administrativos complejos; toda la información analítica clave está sintetizada en la app).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Manejo del Simulador y el Efecto Palanca del 85%:</w:t>
      </w:r>
      <w:r>
        <w:rPr>
          <w:rFonts w:ascii="Calibri" w:hAnsi="Calibri"/>
          <w:color w:val="2F3A30"/>
          <w:sz w:val="21"/>
        </w:rPr>
        <w:t xml:space="preserve"> El profesor conecta el simulador con un caso real de política pública: la </w:t>
      </w:r>
      <w:r>
        <w:rPr>
          <w:rFonts w:ascii="Calibri" w:hAnsi="Calibri"/>
          <w:b/>
          <w:color w:val="113927"/>
          <w:sz w:val="21"/>
        </w:rPr>
        <w:t>Línea 1.A.06 (4.500 € a fondo perdido por contrato indefinido a mayores de 45 años)</w:t>
      </w:r>
      <w:r>
        <w:rPr>
          <w:rFonts w:ascii="Calibri" w:hAnsi="Calibri"/>
          <w:color w:val="2F3A30"/>
          <w:sz w:val="21"/>
        </w:rPr>
        <w:t>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 xml:space="preserve">La UE abona </w:t>
      </w:r>
      <w:r>
        <w:rPr>
          <w:rFonts w:ascii="Calibri" w:hAnsi="Calibri"/>
          <w:b/>
          <w:color w:val="113927"/>
          <w:sz w:val="21"/>
        </w:rPr>
        <w:t>3.825 € (85%)</w:t>
      </w:r>
      <w:r>
        <w:rPr>
          <w:rFonts w:ascii="Calibri" w:hAnsi="Calibri"/>
          <w:color w:val="2F3A30"/>
          <w:sz w:val="21"/>
        </w:rPr>
        <w:t xml:space="preserve"> y la Junta solo </w:t>
      </w:r>
      <w:r>
        <w:rPr>
          <w:rFonts w:ascii="Calibri" w:hAnsi="Calibri"/>
          <w:b/>
          <w:color w:val="113927"/>
          <w:sz w:val="21"/>
        </w:rPr>
        <w:t>675 € (15%)</w:t>
      </w:r>
      <w:r>
        <w:rPr>
          <w:rFonts w:ascii="Calibri" w:hAnsi="Calibri"/>
          <w:color w:val="2F3A30"/>
          <w:sz w:val="21"/>
        </w:rPr>
        <w:t>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color w:val="2F3A30"/>
          <w:sz w:val="21"/>
        </w:rPr>
        <w:t>Los alumnos visualizan cómo 4,5 millones de euros financian 1.000 contratos sénior con un desembolso autonómico de únicamente 675.000 € (multiplicador 6,67x; 5,67 € comunitarios por cada 1 € andaluz).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Clarificación explícita de "Contrastar" para el Eje 2 (Desactivar ambigüedades):</w:t>
      </w:r>
    </w:p>
    <w:p>
      <w:pPr>
        <w:spacing w:before="0" w:after="90" w:line="276" w:lineRule="auto"/>
        <w:jc w:val="both"/>
      </w:pPr>
      <w:r>
        <w:rPr>
          <w:rFonts w:ascii="Calibri" w:hAnsi="Calibri"/>
          <w:color w:val="2F3A30"/>
          <w:sz w:val="21"/>
        </w:rPr>
        <w:t>El profesor aclara en voz alta que "contrastar" NO es decir cuál es mejor, sino comparar sus 3 diferencias técnicas: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i/>
          <w:color w:val="2F3A30"/>
          <w:sz w:val="21"/>
        </w:rPr>
        <w:t>Mecánica del incentivo:</w:t>
      </w:r>
      <w:r>
        <w:rPr>
          <w:rFonts w:ascii="Calibri" w:hAnsi="Calibri"/>
          <w:color w:val="2F3A30"/>
          <w:sz w:val="21"/>
        </w:rPr>
        <w:t xml:space="preserve"> Vía indirecta y diferida en cuotas de Seguridad Social (ÉFESO: 128 €/mes durante 3 años) vs. Vía directa e inmediata de inyección de liquidez (Andalucía: 4.500 € en cuenta bancaria a la pyme).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i/>
          <w:color w:val="2F3A30"/>
          <w:sz w:val="21"/>
        </w:rPr>
        <w:t>Apalancamiento comunitario:</w:t>
      </w:r>
      <w:r>
        <w:rPr>
          <w:rFonts w:ascii="Calibri" w:hAnsi="Calibri"/>
          <w:color w:val="2F3A30"/>
          <w:sz w:val="21"/>
        </w:rPr>
        <w:t xml:space="preserve"> Andalucía concentra un 85% de financiación comunitaria fija al ser región menos desarrollada, reduciendo el esfuerzo fiscal de la Junta al 15%.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i/>
          <w:color w:val="2F3A30"/>
          <w:sz w:val="21"/>
        </w:rPr>
        <w:t>Condicionalidad:</w:t>
      </w:r>
      <w:r>
        <w:rPr>
          <w:rFonts w:ascii="Calibri" w:hAnsi="Calibri"/>
          <w:color w:val="2F3A30"/>
          <w:sz w:val="21"/>
        </w:rPr>
        <w:t xml:space="preserve"> La subvención andaluza exige un compromiso legal blindado de permanencia de al menos 24 meses en el puesto.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Fijación del itinerario para el Eje 3:</w:t>
      </w:r>
      <w:r>
        <w:rPr>
          <w:rFonts w:ascii="Calibri" w:hAnsi="Calibri"/>
          <w:color w:val="2F3A30"/>
          <w:sz w:val="21"/>
        </w:rPr>
        <w:t xml:space="preserve"> Propuesta en 2 pasos para Sevilla: tutor y capacitación digital en SAE antes de los 18 meses (Línea 1.A.05) + ayuda de 4.500 € a la pyme contratante con permanencia de 24 meses (Línea 1.A.06).</w:t>
      </w:r>
    </w:p>
    <w:p>
      <w:pPr>
        <w:pStyle w:val="Heading3"/>
        <w:keepNext/>
        <w:spacing w:before="200" w:after="60"/>
      </w:pPr>
      <w:r>
        <w:rPr>
          <w:rFonts w:ascii="Outfit" w:hAnsi="Outfit"/>
          <w:b/>
          <w:color w:val="113927"/>
          <w:sz w:val="22"/>
        </w:rPr>
        <w:t>FASE 4 · Redacción y Sellado del Informe Técnico de Equipo (65–90 min · 25 min)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Dinámica cooperativa en la app:</w:t>
      </w:r>
      <w:r>
        <w:rPr>
          <w:rFonts w:ascii="Calibri" w:hAnsi="Calibri"/>
          <w:color w:val="2F3A30"/>
          <w:sz w:val="21"/>
        </w:rPr>
        <w:t xml:space="preserve"> Los equipos redactan conjuntamente los 3 ejes analíticos en la plataforma web, apoyándose en la chuleta de consulta rápida integrada en la propia app: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1. </w:t>
      </w:r>
      <w:r>
        <w:rPr>
          <w:rFonts w:ascii="Calibri" w:hAnsi="Calibri"/>
          <w:b/>
          <w:color w:val="113927"/>
          <w:sz w:val="21"/>
        </w:rPr>
        <w:t>Eje 1 · Trazabilidad Normativa (mín. 40 palabras):</w:t>
      </w:r>
      <w:r>
        <w:rPr>
          <w:rFonts w:ascii="Calibri" w:hAnsi="Calibri"/>
          <w:color w:val="2F3A30"/>
          <w:sz w:val="21"/>
        </w:rPr>
        <w:t xml:space="preserve"> Conexión de PEDS (Principios 4 y 3) $\rightarrow$ Semestre Europeo $\rightarrow$ Reglamento FSE+ (Art. 4.1.a OE1 y Art. 4.1.c OE3).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2. </w:t>
      </w:r>
      <w:r>
        <w:rPr>
          <w:rFonts w:ascii="Calibri" w:hAnsi="Calibri"/>
          <w:b/>
          <w:color w:val="113927"/>
          <w:sz w:val="21"/>
        </w:rPr>
        <w:t>Eje 2 · Análisis Comparativo y Financiación 85% (mín. 50 palabras):</w:t>
      </w:r>
      <w:r>
        <w:rPr>
          <w:rFonts w:ascii="Calibri" w:hAnsi="Calibri"/>
          <w:color w:val="2F3A30"/>
          <w:sz w:val="21"/>
        </w:rPr>
        <w:t xml:space="preserve"> Contraste entre la bonificación en cuotas de ÉFESO (RDL 1/2023) y la subvención directa andaluza (Línea 1.A.06), justificando el efecto palanca del 85% para Andalucía.</w:t>
      </w:r>
    </w:p>
    <w:p>
      <w:pPr>
        <w:spacing w:before="40" w:after="60"/>
        <w:ind w:left="360" w:hanging="360"/>
        <w:jc w:val="both"/>
      </w:pPr>
      <w:r>
        <w:rPr>
          <w:rFonts w:ascii="Calibri" w:hAnsi="Calibri"/>
          <w:b/>
          <w:color w:val="113927"/>
        </w:rPr>
        <w:t xml:space="preserve">3. </w:t>
      </w:r>
      <w:r>
        <w:rPr>
          <w:rFonts w:ascii="Calibri" w:hAnsi="Calibri"/>
          <w:b/>
          <w:color w:val="113927"/>
          <w:sz w:val="21"/>
        </w:rPr>
        <w:t>Eje 3 · Dictamen Técnico para un mayor de 50 años en Sevilla (mín. 40 palabras):</w:t>
      </w:r>
      <w:r>
        <w:rPr>
          <w:rFonts w:ascii="Calibri" w:hAnsi="Calibri"/>
          <w:color w:val="2F3A30"/>
          <w:sz w:val="21"/>
        </w:rPr>
        <w:t xml:space="preserve"> Propuesta combinada: Itinerario individualizado y recualificación digital en SAE (Línea 1.A.05) + incentivo de contratación de 4.500 € a pyme sevillana con permanencia de 24 meses (Línea 1.A.06).</w:t>
      </w:r>
    </w:p>
    <w:p>
      <w:pPr>
        <w:pStyle w:val="ListBullet"/>
        <w:spacing w:before="30" w:after="50"/>
        <w:jc w:val="both"/>
      </w:pPr>
      <w:r>
        <w:rPr>
          <w:rFonts w:ascii="Calibri" w:hAnsi="Calibri"/>
          <w:b/>
          <w:color w:val="113927"/>
          <w:sz w:val="21"/>
        </w:rPr>
        <w:t>Sellado y Entrega:</w:t>
      </w:r>
      <w:r>
        <w:rPr>
          <w:rFonts w:ascii="Calibri" w:hAnsi="Calibri"/>
          <w:color w:val="2F3A30"/>
          <w:sz w:val="21"/>
        </w:rPr>
        <w:t xml:space="preserve"> Al alcanzar el umbral de palabras, el responsable sella el informe (SHA-256), descarga el PDF oficial (</w:t>
      </w:r>
      <w:r>
        <w:rPr>
          <w:rFonts w:ascii="Consolas" w:hAnsi="Consolas"/>
          <w:color w:val="113927"/>
          <w:sz w:val="19"/>
        </w:rPr>
        <w:t>Informe_EPD2_PSLL_[Código].pdf</w:t>
      </w:r>
      <w:r>
        <w:rPr>
          <w:rFonts w:ascii="Calibri" w:hAnsi="Calibri"/>
          <w:color w:val="2F3A30"/>
          <w:sz w:val="21"/>
        </w:rPr>
        <w:t>) y lo sube al buzón de tareas del Aula Virtual.</w:t>
      </w:r>
    </w:p>
    <w:p>
      <w:pPr>
        <w:spacing w:before="120" w:after="120"/>
      </w:pPr>
      <w:r>
        <w:rPr>
          <w:color w:val="76927A"/>
          <w:sz w:val="16"/>
        </w:rPr>
        <w:t xml:space="preserve">· · · · · · · · · · · · · · · · · · · · · · · · · </w:t>
      </w:r>
    </w:p>
    <w:p>
      <w:pPr>
        <w:pStyle w:val="Heading2"/>
        <w:keepNext/>
        <w:spacing w:before="280" w:after="80"/>
      </w:pPr>
      <w:r>
        <w:rPr>
          <w:rFonts w:ascii="Outfit" w:hAnsi="Outfit"/>
          <w:b/>
          <w:color w:val="76927A"/>
          <w:sz w:val="24"/>
        </w:rPr>
        <w:t>📊 5. Rúbrica Oficial de Calificación del Entregable Individual 2 (0 a 0,50 puntos)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13927"/>
          <w:bottom w:val="single" w:sz="6" w:space="0" w:color="113927"/>
          <w:insideH w:val="single" w:sz="4" w:space="0" w:color="D0DCD2"/>
          <w:left w:val="none"/>
          <w:right w:val="none"/>
          <w:insideV w:val="none"/>
        </w:tblBorders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Excelente (100% · Sobresaliente)</w:t>
            </w:r>
          </w:p>
        </w:tc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Adecuado (70% · Notable/Aprobado)</w:t>
            </w:r>
          </w:p>
        </w:tc>
        <w:tc>
          <w:tcPr>
            <w:tcW w:type="dxa" w:w="2354"/>
            <w:shd w:val="clear" w:color="auto" w:fill="113927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Outfit" w:hAnsi="Outfit"/>
                <w:b/>
                <w:color w:val="FFFFFF"/>
                <w:sz w:val="20"/>
              </w:rPr>
              <w:t>Insuficiente (&lt;50%)</w:t>
            </w:r>
          </w:p>
        </w:tc>
      </w:tr>
      <w:tr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1. Trazabilidad Multinivel</w:t>
            </w:r>
            <w:r>
              <w:rPr>
                <w:rFonts w:ascii="Calibri" w:hAnsi="Calibri"/>
                <w:color w:val="2F3A30"/>
                <w:sz w:val="19"/>
              </w:rPr>
              <w:t>&lt;br&gt;</w:t>
            </w:r>
            <w:r>
              <w:rPr>
                <w:rFonts w:ascii="Calibri" w:hAnsi="Calibri"/>
                <w:i/>
                <w:color w:val="2F3A30"/>
                <w:sz w:val="19"/>
              </w:rPr>
              <w:t>(0,20 puntos · 200 pts)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Reconstruye con absoluta precisión el flujo desde el Principio 4 del PEDS hasta las intervenciones andaluzas, justificando cada eslabón institucional con rigor.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Presenta el flujo básico pero omite algún eslabón intermedio (ej. no cita el Semestre Europeo o confunde OE1 con OE3).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Flujo incoherente, incompleto o con errores graves de atribución institucional.</w:t>
            </w:r>
          </w:p>
        </w:tc>
      </w:tr>
      <w:tr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2. Justificación de Colectivos</w:t>
            </w:r>
            <w:r>
              <w:rPr>
                <w:rFonts w:ascii="Calibri" w:hAnsi="Calibri"/>
                <w:color w:val="2F3A30"/>
                <w:sz w:val="19"/>
              </w:rPr>
              <w:t>&lt;br&gt;</w:t>
            </w:r>
            <w:r>
              <w:rPr>
                <w:rFonts w:ascii="Calibri" w:hAnsi="Calibri"/>
                <w:i/>
                <w:color w:val="2F3A30"/>
                <w:sz w:val="19"/>
              </w:rPr>
              <w:t>(0,15 puntos · 150 pts)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Argumenta con solidez económica por qué parados de larga duración y mayores de 45 años sufren barreras específicas (histeresis, estigma) y requieren líneas blindadas.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Describe la vulnerabilidad de los colectivos pero con argumentos superficiales o descriptivos sin enlace analítico.</w:t>
            </w:r>
          </w:p>
        </w:tc>
        <w:tc>
          <w:tcPr>
            <w:tcW w:type="dxa" w:w="2354"/>
            <w:shd w:val="clear" w:color="auto" w:fill="F4F8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Justificación ausente o genérica que no diferencia estos colectivos del resto de parados.</w:t>
            </w:r>
          </w:p>
        </w:tc>
      </w:tr>
      <w:tr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113927"/>
                <w:sz w:val="19"/>
              </w:rPr>
              <w:t>3. Análisis ÉFESO vs. Andalucía</w:t>
            </w:r>
            <w:r>
              <w:rPr>
                <w:rFonts w:ascii="Calibri" w:hAnsi="Calibri"/>
                <w:color w:val="2F3A30"/>
                <w:sz w:val="19"/>
              </w:rPr>
              <w:t>&lt;br&gt;</w:t>
            </w:r>
            <w:r>
              <w:rPr>
                <w:rFonts w:ascii="Calibri" w:hAnsi="Calibri"/>
                <w:i/>
                <w:color w:val="2F3A30"/>
                <w:sz w:val="19"/>
              </w:rPr>
              <w:t>(0,15 puntos · 150 pts)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Identifica con precisión las medidas normativas (citas exactas), explica la tasa de cofinanciación del 85% de Andalucía y contrasta el enfoque estatal vs autonómico.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Identifica medidas pero confunde la tasa de cofinanciación o no profundiza en la complementariedad entre ambos programas.</w:t>
            </w:r>
          </w:p>
        </w:tc>
        <w:tc>
          <w:tcPr>
            <w:tcW w:type="dxa" w:w="2354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color w:val="2F3A30"/>
                <w:sz w:val="19"/>
              </w:rPr>
              <w:t>Errores conceptuales graves sobre los programas o copia literal sin análisis personal.</w:t>
            </w:r>
          </w:p>
        </w:tc>
      </w:tr>
    </w:tbl>
    <w:p>
      <w:pPr>
        <w:spacing w:before="80"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76927A"/>
        <w:sz w:val="17"/>
      </w:rPr>
      <w:t xml:space="preserve">Universidad Pablo de Olavide (UPO) · Grado en RRLL y RRHH | </w:t>
    </w:r>
    <w:r>
      <w:rPr>
        <w:rFonts w:ascii="Calibri" w:hAnsi="Calibri"/>
        <w:color w:val="2F3A30"/>
        <w:sz w:val="17"/>
      </w:rPr>
      <w:t xml:space="preserve">Página </w:t>
    </w:r>
    <w:fldSimple w:instr="PAGE"/>
    <w:r>
      <w:rPr>
        <w:rFonts w:ascii="Calibri" w:hAnsi="Calibri"/>
        <w:color w:val="2F3A30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Outfit" w:hAnsi="Outfit"/>
        <w:color w:val="76927A"/>
        <w:sz w:val="16"/>
      </w:rPr>
      <w:t>POLÍTICAS SOCIOLABORALES Y DE EMPLEO · GUÍA DOCENTE · EPD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90" w:before="0"/>
      <w:jc w:val="both"/>
    </w:pPr>
    <w:rPr>
      <w:rFonts w:ascii="Calibri" w:hAnsi="Calibri"/>
      <w:color w:val="2F3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120"/>
      <w:outlineLvl w:val="0"/>
    </w:pPr>
    <w:rPr>
      <w:rFonts w:asciiTheme="majorHAnsi" w:eastAsiaTheme="majorEastAsia" w:hAnsiTheme="majorHAnsi" w:cstheme="majorBidi" w:ascii="Outfit" w:hAnsi="Outfit"/>
      <w:b/>
      <w:bCs/>
      <w:color w:val="113927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00"/>
      <w:outlineLvl w:val="1"/>
    </w:pPr>
    <w:rPr>
      <w:rFonts w:asciiTheme="majorHAnsi" w:eastAsiaTheme="majorEastAsia" w:hAnsiTheme="majorHAnsi" w:cstheme="majorBidi" w:ascii="Outfit" w:hAnsi="Outfit"/>
      <w:b/>
      <w:bCs/>
      <w:color w:val="7692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Outfit" w:hAnsi="Outfit"/>
      <w:b/>
      <w:bCs/>
      <w:color w:val="1139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op.europa.eu/webpub/empl/european-pillar-of-social-rights/es/" TargetMode="External"/><Relationship Id="rId13" Type="http://schemas.openxmlformats.org/officeDocument/2006/relationships/hyperlink" Target="https://www.consilium.europa.eu/es/press/press-releases/2022/06/17/european-semester-2022-country-specific-recommendations-agreed/" TargetMode="External"/><Relationship Id="rId14" Type="http://schemas.openxmlformats.org/officeDocument/2006/relationships/hyperlink" Target="https://www.consilium.europa.eu/es/infographics/european-semester-2023/" TargetMode="External"/><Relationship Id="rId15" Type="http://schemas.openxmlformats.org/officeDocument/2006/relationships/hyperlink" Target="https://eur-lex.europa.eu/legal-content/EN/TXT/?uri=CELEX%3A52022SC0610" TargetMode="External"/><Relationship Id="rId16" Type="http://schemas.openxmlformats.org/officeDocument/2006/relationships/hyperlink" Target="https://eur-lex.europa.eu/legal-content/ES/TXT/HTML/?uri=CELEX:32021R1057" TargetMode="External"/><Relationship Id="rId17" Type="http://schemas.openxmlformats.org/officeDocument/2006/relationships/hyperlink" Target="https://www.mites.gob.es/UAFSE/es/FSE21_27/programas/p_efeso/index.htm" TargetMode="External"/><Relationship Id="rId18" Type="http://schemas.openxmlformats.org/officeDocument/2006/relationships/hyperlink" Target="https://www.mites.gob.es/UAFSE/es/FSE21_27/programas/andalucia/index.htm" TargetMode="External"/><Relationship Id="rId19" Type="http://schemas.openxmlformats.org/officeDocument/2006/relationships/hyperlink" Target="https://www.mites.gob.es/UAFSE/es/FSE21_27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