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2592"/>
      </w:tblGrid>
      <w:tr>
        <w:tc>
          <w:tcPr>
            <w:tcW w:type="dxa" w:w="4709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80" w:type="dxa"/>
              <w:right w:w="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Outfit" w:hAnsi="Outfit"/>
                <w:b/>
                <w:color w:val="113927"/>
                <w:sz w:val="19"/>
              </w:rPr>
              <w:t>UNIVERSIDAD PABLO DE OLAVIDE</w:t>
            </w:r>
          </w:p>
          <w:p>
            <w:pPr>
              <w:spacing w:before="0" w:after="40"/>
              <w:jc w:val="left"/>
            </w:pPr>
            <w:r>
              <w:rPr>
                <w:rFonts w:ascii="Calibri" w:hAnsi="Calibri"/>
                <w:color w:val="76927A"/>
                <w:sz w:val="17"/>
              </w:rPr>
              <w:t>Facultad de Ciencias del Trabajo · Grado en RRLL y Recursos Humanos</w:t>
            </w:r>
          </w:p>
          <w:p>
            <w:pPr>
              <w:spacing w:before="0" w:after="40"/>
              <w:jc w:val="left"/>
            </w:pPr>
            <w:r>
              <w:rPr>
                <w:rFonts w:ascii="Calibri" w:hAnsi="Calibri"/>
                <w:color w:val="2F3A30"/>
                <w:sz w:val="17"/>
              </w:rPr>
              <w:t>Políticas Sociolaborales y de Empleo (Código 102023) | Curso 2026-2027</w:t>
            </w:r>
          </w:p>
        </w:tc>
        <w:tc>
          <w:tcPr>
            <w:tcW w:type="dxa" w:w="4709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8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645920" cy="8977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psll_up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8977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320"/>
      </w:pPr>
      <w:r>
        <w:rPr>
          <w:rFonts w:ascii="Calibri" w:hAnsi="Calibri"/>
          <w:color w:val="76927A"/>
          <w:sz w:val="16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160" w:after="80"/>
        <w:jc w:val="left"/>
      </w:pPr>
      <w:r>
        <w:rPr>
          <w:rFonts w:ascii="Outfit" w:hAnsi="Outfit"/>
          <w:b/>
          <w:color w:val="113927"/>
          <w:sz w:val="34"/>
        </w:rPr>
        <w:t>Hoja de Trabajo y Taller Práctico · EPD 2</w:t>
      </w:r>
    </w:p>
    <w:p>
      <w:pPr>
        <w:pStyle w:val="Heading1"/>
        <w:keepNext/>
        <w:spacing w:before="400" w:after="100"/>
      </w:pPr>
      <w:r>
        <w:rPr>
          <w:rFonts w:ascii="Outfit" w:hAnsi="Outfit"/>
          <w:b/>
          <w:color w:val="113927"/>
          <w:sz w:val="28"/>
        </w:rPr>
        <w:t>Bloque 2: Dimensión Europea del Reto: Del Compromiso Político a la Financiación con el FSE+</w:t>
      </w:r>
    </w:p>
    <w:p>
      <w:pPr>
        <w:spacing w:before="0" w:after="90" w:line="276" w:lineRule="auto"/>
        <w:jc w:val="both"/>
      </w:pPr>
      <w:r>
        <w:rPr>
          <w:rFonts w:ascii="Calibri" w:hAnsi="Calibri"/>
          <w:b/>
          <w:color w:val="113927"/>
          <w:sz w:val="21"/>
        </w:rPr>
        <w:t>Asignatura:</w:t>
      </w:r>
      <w:r>
        <w:rPr>
          <w:rFonts w:ascii="Calibri" w:hAnsi="Calibri"/>
          <w:color w:val="2F3A30"/>
          <w:sz w:val="21"/>
        </w:rPr>
        <w:t xml:space="preserve"> Políticas Sociolaborales y de Empleo (Código 102023) · Grado en RRLL y RRHH / Doble Grado DER-RRLL</w:t>
      </w:r>
    </w:p>
    <w:p>
      <w:pPr>
        <w:spacing w:before="0" w:after="90" w:line="276" w:lineRule="auto"/>
        <w:jc w:val="both"/>
      </w:pPr>
      <w:r>
        <w:rPr>
          <w:rFonts w:ascii="Calibri" w:hAnsi="Calibri"/>
          <w:b/>
          <w:color w:val="113927"/>
          <w:sz w:val="21"/>
        </w:rPr>
        <w:t>Universidad Pablo de Olavide · Curso Académico 2026-2027</w:t>
      </w:r>
    </w:p>
    <w:p>
      <w:pPr>
        <w:spacing w:before="0" w:after="90" w:line="276" w:lineRule="auto"/>
        <w:jc w:val="both"/>
      </w:pPr>
      <w:r>
        <w:rPr>
          <w:rFonts w:ascii="Calibri" w:hAnsi="Calibri"/>
          <w:b/>
          <w:color w:val="113927"/>
          <w:sz w:val="21"/>
        </w:rPr>
        <w:t>Profesor:</w:t>
      </w:r>
      <w:r>
        <w:rPr>
          <w:rFonts w:ascii="Calibri" w:hAnsi="Calibri"/>
          <w:color w:val="2F3A30"/>
          <w:sz w:val="21"/>
        </w:rPr>
        <w:t xml:space="preserve"> Manuel A. Hidalgo Pérez</w:t>
      </w:r>
    </w:p>
    <w:p>
      <w:pPr>
        <w:spacing w:before="120" w:after="120"/>
      </w:pPr>
      <w:r>
        <w:rPr>
          <w:color w:val="76927A"/>
          <w:sz w:val="16"/>
        </w:rPr>
        <w:t xml:space="preserve">· · · · · · · · · · · · · · · · · · · · · · · · · </w:t>
      </w:r>
    </w:p>
    <w:p>
      <w:pPr>
        <w:pStyle w:val="Heading2"/>
        <w:keepNext/>
        <w:spacing w:before="280" w:after="80"/>
      </w:pPr>
      <w:r>
        <w:rPr>
          <w:rFonts w:ascii="Outfit" w:hAnsi="Outfit"/>
          <w:b/>
          <w:color w:val="76927A"/>
          <w:sz w:val="24"/>
        </w:rPr>
        <w:t>👤 Datos del Estudiante y del Equipo de Prácticas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Nombre y Apellidos del Estudiante:</w:t>
      </w:r>
      <w:r>
        <w:rPr>
          <w:rFonts w:ascii="Calibri" w:hAnsi="Calibri"/>
          <w:color w:val="2F3A30"/>
          <w:sz w:val="21"/>
        </w:rPr>
        <w:t xml:space="preserve"> ___________________________________________________________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DNI / Documento Identificativo:</w:t>
      </w:r>
      <w:r>
        <w:rPr>
          <w:rFonts w:ascii="Calibri" w:hAnsi="Calibri"/>
          <w:color w:val="2F3A30"/>
          <w:sz w:val="21"/>
        </w:rPr>
        <w:t xml:space="preserve"> ______________________  </w:t>
      </w:r>
      <w:r>
        <w:rPr>
          <w:rFonts w:ascii="Calibri" w:hAnsi="Calibri"/>
          <w:b/>
          <w:color w:val="113927"/>
          <w:sz w:val="21"/>
        </w:rPr>
        <w:t>Acrónimo UPO:</w:t>
      </w:r>
      <w:r>
        <w:rPr>
          <w:rFonts w:ascii="Calibri" w:hAnsi="Calibri"/>
          <w:color w:val="2F3A30"/>
          <w:sz w:val="21"/>
        </w:rPr>
        <w:t xml:space="preserve"> ___________________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Grupo de EPD (marcar):</w:t>
      </w:r>
      <w:r>
        <w:rPr>
          <w:rFonts w:ascii="Calibri" w:hAnsi="Calibri"/>
          <w:color w:val="2F3A30"/>
          <w:sz w:val="21"/>
        </w:rPr>
        <w:t xml:space="preserve"> [ ] EPD 11 (Mar 11:30)  [ ] EPD 12 (Lun 13:00)  [ ] EPD 21 (Vie 19:30)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Número de Equipo del Proyecto:</w:t>
      </w:r>
      <w:r>
        <w:rPr>
          <w:rFonts w:ascii="Calibri" w:hAnsi="Calibri"/>
          <w:color w:val="2F3A30"/>
          <w:sz w:val="21"/>
        </w:rPr>
        <w:t xml:space="preserve"> Equipo nº _____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Integrantes del Equipo:</w:t>
      </w:r>
      <w:r>
        <w:rPr>
          <w:rFonts w:ascii="Calibri" w:hAnsi="Calibri"/>
          <w:color w:val="2F3A30"/>
          <w:sz w:val="21"/>
        </w:rPr>
        <w:t xml:space="preserve"> 1. ___________________  2. ___________________  3. ___________________</w:t>
      </w:r>
    </w:p>
    <w:p>
      <w:pPr>
        <w:spacing w:before="120" w:after="120"/>
      </w:pPr>
      <w:r>
        <w:rPr>
          <w:color w:val="76927A"/>
          <w:sz w:val="16"/>
        </w:rPr>
        <w:t xml:space="preserve">· · · · · · · · · · · · · · · · · · · · · · · · · </w:t>
      </w:r>
    </w:p>
    <w:p>
      <w:pPr>
        <w:pStyle w:val="Heading2"/>
        <w:keepNext/>
        <w:spacing w:before="280" w:after="80"/>
      </w:pPr>
      <w:r>
        <w:rPr>
          <w:rFonts w:ascii="Outfit" w:hAnsi="Outfit"/>
          <w:b/>
          <w:color w:val="76927A"/>
          <w:sz w:val="24"/>
        </w:rPr>
        <w:t>🎯 Misión del Laboratorio de Hoy (90 Minutos)</w:t>
      </w:r>
    </w:p>
    <w:p>
      <w:pPr>
        <w:spacing w:before="0" w:after="90" w:line="276" w:lineRule="auto"/>
        <w:jc w:val="both"/>
      </w:pPr>
      <w:r>
        <w:rPr>
          <w:rFonts w:ascii="Calibri" w:hAnsi="Calibri"/>
          <w:color w:val="2F3A30"/>
          <w:sz w:val="21"/>
        </w:rPr>
        <w:t>En la sesión anterior (EPD 1) elaborasteis la radiografía estadística del problema: el desempleo de larga duración y de personas mayores de 45 años en España y Andalucía presenta una naturaleza estructural alarmante.</w:t>
      </w:r>
    </w:p>
    <w:p>
      <w:pPr>
        <w:spacing w:before="0" w:after="90" w:line="276" w:lineRule="auto"/>
        <w:jc w:val="both"/>
      </w:pPr>
      <w:r>
        <w:rPr>
          <w:rFonts w:ascii="Calibri" w:hAnsi="Calibri"/>
          <w:color w:val="2F3A30"/>
          <w:sz w:val="21"/>
        </w:rPr>
        <w:t xml:space="preserve">Hoy vuestra misión como graduados en Relaciones Laborales y Recursos Humanos es </w:t>
      </w:r>
      <w:r>
        <w:rPr>
          <w:rFonts w:ascii="Calibri" w:hAnsi="Calibri"/>
          <w:b/>
          <w:color w:val="113927"/>
          <w:sz w:val="21"/>
        </w:rPr>
        <w:t>reconstruir la arquitectura institucional y financiera multinivel</w:t>
      </w:r>
      <w:r>
        <w:rPr>
          <w:rFonts w:ascii="Calibri" w:hAnsi="Calibri"/>
          <w:color w:val="2F3A30"/>
          <w:sz w:val="21"/>
        </w:rPr>
        <w:t xml:space="preserve"> que sostiene las políticas de empleo: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1. </w:t>
      </w:r>
      <w:r>
        <w:rPr>
          <w:rFonts w:ascii="Calibri" w:hAnsi="Calibri"/>
          <w:color w:val="2F3A30"/>
          <w:sz w:val="21"/>
        </w:rPr>
        <w:t>¿Dónde nace el compromiso político europeo de atender a estos colectivos?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2. </w:t>
      </w:r>
      <w:r>
        <w:rPr>
          <w:rFonts w:ascii="Calibri" w:hAnsi="Calibri"/>
          <w:color w:val="2F3A30"/>
          <w:sz w:val="21"/>
        </w:rPr>
        <w:t>¿Cómo se diagnostica y fiscaliza el problema en el Semestre Europeo?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3. </w:t>
      </w:r>
      <w:r>
        <w:rPr>
          <w:rFonts w:ascii="Calibri" w:hAnsi="Calibri"/>
          <w:color w:val="2F3A30"/>
          <w:sz w:val="21"/>
        </w:rPr>
        <w:t>¿Cómo se articula jurídicamente en el Fondo Social Europeo Plus (FSE+)?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4. </w:t>
      </w:r>
      <w:r>
        <w:rPr>
          <w:rFonts w:ascii="Calibri" w:hAnsi="Calibri"/>
          <w:color w:val="2F3A30"/>
          <w:sz w:val="21"/>
        </w:rPr>
        <w:t>¿Cómo aterriza ese dinero en programas operativos concretos en España (Programa ÉFESO) y Andalucía (Programa FSE+ Andalucía 2021-2027)?</w:t>
      </w:r>
    </w:p>
    <w:p>
      <w:pPr>
        <w:spacing w:before="120" w:after="120"/>
      </w:pPr>
      <w:r>
        <w:rPr>
          <w:color w:val="76927A"/>
          <w:sz w:val="16"/>
        </w:rPr>
        <w:t xml:space="preserve">· · · · · · · · · · · · · · · · · · · · · · · · · </w:t>
      </w:r>
    </w:p>
    <w:p>
      <w:pPr>
        <w:pStyle w:val="Heading2"/>
        <w:keepNext/>
        <w:spacing w:before="280" w:after="80"/>
      </w:pPr>
      <w:r>
        <w:rPr>
          <w:rFonts w:ascii="Outfit" w:hAnsi="Outfit"/>
          <w:b/>
          <w:color w:val="76927A"/>
          <w:sz w:val="24"/>
        </w:rPr>
        <w:t>🔗 Caja de Herramientas: Documentación Oficial con Acceso Directo</w:t>
      </w:r>
    </w:p>
    <w:p>
      <w:pPr>
        <w:spacing w:before="0" w:after="90" w:line="276" w:lineRule="auto"/>
        <w:jc w:val="both"/>
      </w:pPr>
      <w:r>
        <w:rPr>
          <w:rFonts w:ascii="Calibri" w:hAnsi="Calibri"/>
          <w:color w:val="2F3A30"/>
          <w:sz w:val="21"/>
        </w:rPr>
        <w:t>Para trabajar en el aula informática, accede directamente a las fuentes primarias a través de estos enlaces: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1. </w:t>
      </w:r>
      <w:r>
        <w:rPr>
          <w:rFonts w:ascii="Calibri" w:hAnsi="Calibri"/>
          <w:i/>
          <w:color w:val="2F3A30"/>
          <w:sz w:val="21"/>
        </w:rPr>
      </w:r>
      <w:hyperlink r:id="rId12">
        <w:r>
          <w:rPr>
            <w:color w:val="113927"/>
            <w:rFonts w:ascii="Calibri" w:hAnsi="Calibri"/>
            <w:sz w:val="21"/>
            <w:u w:val="single"/>
            <w:b/>
          </w:rPr>
          <w:t xml:space="preserve">Pilar Europeo de Derechos Sociales (PEDS)</w:t>
        </w:r>
      </w:hyperlink>
      <w:r>
        <w:rPr>
          <w:rFonts w:ascii="Calibri" w:hAnsi="Calibri"/>
          <w:i/>
          <w:color w:val="2F3A30"/>
          <w:sz w:val="21"/>
        </w:rPr>
      </w:r>
      <w:r>
        <w:rPr>
          <w:rFonts w:ascii="Calibri" w:hAnsi="Calibri"/>
          <w:color w:val="2F3A30"/>
          <w:sz w:val="21"/>
        </w:rPr>
        <w:t xml:space="preserve">: Consulta los 20 principios, centrándote en el </w:t>
      </w:r>
      <w:r>
        <w:rPr>
          <w:rFonts w:ascii="Calibri" w:hAnsi="Calibri"/>
          <w:i/>
          <w:color w:val="2F3A30"/>
          <w:sz w:val="21"/>
        </w:rPr>
        <w:t>Principio 4 (Apoyo activo para el empleo)</w:t>
      </w:r>
      <w:r>
        <w:rPr>
          <w:rFonts w:ascii="Calibri" w:hAnsi="Calibri"/>
          <w:color w:val="2F3A30"/>
          <w:sz w:val="21"/>
        </w:rPr>
        <w:t xml:space="preserve">, </w:t>
      </w:r>
      <w:r>
        <w:rPr>
          <w:rFonts w:ascii="Calibri" w:hAnsi="Calibri"/>
          <w:i/>
          <w:color w:val="2F3A30"/>
          <w:sz w:val="21"/>
        </w:rPr>
        <w:t>Principio 1 (Educación, formación y aprendizaje permanente)</w:t>
      </w:r>
      <w:r>
        <w:rPr>
          <w:rFonts w:ascii="Calibri" w:hAnsi="Calibri"/>
          <w:color w:val="2F3A30"/>
          <w:sz w:val="21"/>
        </w:rPr>
        <w:t xml:space="preserve"> y </w:t>
      </w:r>
      <w:r>
        <w:rPr>
          <w:rFonts w:ascii="Calibri" w:hAnsi="Calibri"/>
          <w:i/>
          <w:color w:val="2F3A30"/>
          <w:sz w:val="21"/>
        </w:rPr>
        <w:t>Principio 3 (Igualdad de oportunidades)</w:t>
      </w:r>
      <w:r>
        <w:rPr>
          <w:rFonts w:ascii="Calibri" w:hAnsi="Calibri"/>
          <w:color w:val="2F3A30"/>
          <w:sz w:val="21"/>
        </w:rPr>
        <w:t>.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2. </w:t>
      </w:r>
      <w:r>
        <w:rPr>
          <w:rFonts w:ascii="Calibri" w:hAnsi="Calibri"/>
          <w:i/>
          <w:color w:val="2F3A30"/>
          <w:sz w:val="21"/>
        </w:rPr>
      </w:r>
      <w:hyperlink r:id="rId13">
        <w:r>
          <w:rPr>
            <w:color w:val="113927"/>
            <w:rFonts w:ascii="Calibri" w:hAnsi="Calibri"/>
            <w:sz w:val="21"/>
            <w:u w:val="single"/>
            <w:b/>
          </w:rPr>
          <w:t xml:space="preserve">Semestre Europeo · Recomendaciones del Consejo 2022</w:t>
        </w:r>
      </w:hyperlink>
      <w:r>
        <w:rPr>
          <w:rFonts w:ascii="Calibri" w:hAnsi="Calibri"/>
          <w:b/>
          <w:color w:val="113927"/>
          <w:sz w:val="21"/>
        </w:rPr>
        <w:t xml:space="preserve"> e </w:t>
      </w:r>
      <w:hyperlink r:id="rId14">
        <w:r>
          <w:rPr>
            <w:color w:val="113927"/>
            <w:rFonts w:ascii="Calibri" w:hAnsi="Calibri"/>
            <w:sz w:val="21"/>
            <w:u w:val="single"/>
            <w:b/>
          </w:rPr>
          <w:t xml:space="preserve">Infografía explicativa del ciclo</w:t>
        </w:r>
      </w:hyperlink>
      <w:r>
        <w:rPr>
          <w:rFonts w:ascii="Calibri" w:hAnsi="Calibri"/>
          <w:i/>
          <w:color w:val="2F3A30"/>
          <w:sz w:val="21"/>
        </w:rPr>
      </w:r>
      <w:r>
        <w:rPr>
          <w:rFonts w:ascii="Calibri" w:hAnsi="Calibri"/>
          <w:color w:val="2F3A30"/>
          <w:sz w:val="21"/>
        </w:rPr>
        <w:t>.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3. </w:t>
      </w:r>
      <w:r>
        <w:rPr>
          <w:rFonts w:ascii="Calibri" w:hAnsi="Calibri"/>
          <w:i/>
          <w:color w:val="2F3A30"/>
          <w:sz w:val="21"/>
        </w:rPr>
      </w:r>
      <w:hyperlink r:id="rId15">
        <w:r>
          <w:rPr>
            <w:color w:val="113927"/>
            <w:rFonts w:ascii="Calibri" w:hAnsi="Calibri"/>
            <w:sz w:val="21"/>
            <w:u w:val="single"/>
            <w:b/>
          </w:rPr>
          <w:t xml:space="preserve">Informe sobre España 2022 SWD(2022) 610 final</w:t>
        </w:r>
      </w:hyperlink>
      <w:r>
        <w:rPr>
          <w:rFonts w:ascii="Calibri" w:hAnsi="Calibri"/>
          <w:b/>
          <w:color w:val="113927"/>
          <w:sz w:val="21"/>
        </w:rPr>
        <w:t xml:space="preserve">: Abre el </w:t>
      </w:r>
      <w:r>
        <w:rPr>
          <w:rFonts w:ascii="Calibri" w:hAnsi="Calibri"/>
          <w:color w:val="2F3A30"/>
          <w:sz w:val="21"/>
        </w:rPr>
        <w:t>Anexo 12 (páginas de empleo y políticas sociales)</w:t>
      </w:r>
      <w:r>
        <w:rPr>
          <w:rFonts w:ascii="Calibri" w:hAnsi="Calibri"/>
          <w:i/>
          <w:color w:val="2F3A30"/>
          <w:sz w:val="21"/>
        </w:rPr>
      </w:r>
      <w:r>
        <w:rPr>
          <w:rFonts w:ascii="Calibri" w:hAnsi="Calibri"/>
          <w:color w:val="2F3A30"/>
          <w:sz w:val="21"/>
        </w:rPr>
        <w:t>.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4. </w:t>
      </w:r>
      <w:r>
        <w:rPr>
          <w:rFonts w:ascii="Calibri" w:hAnsi="Calibri"/>
          <w:i/>
          <w:color w:val="2F3A30"/>
          <w:sz w:val="21"/>
        </w:rPr>
      </w:r>
      <w:hyperlink r:id="rId16">
        <w:r>
          <w:rPr>
            <w:color w:val="113927"/>
            <w:rFonts w:ascii="Calibri" w:hAnsi="Calibri"/>
            <w:sz w:val="21"/>
            <w:u w:val="single"/>
            <w:b/>
          </w:rPr>
          <w:t xml:space="preserve">Reglamento (UE) 2021/1057 del FSE+</w:t>
        </w:r>
      </w:hyperlink>
      <w:r>
        <w:rPr>
          <w:rFonts w:ascii="Calibri" w:hAnsi="Calibri"/>
          <w:b/>
          <w:color w:val="113927"/>
          <w:sz w:val="21"/>
        </w:rPr>
        <w:t xml:space="preserve">: Consulta el </w:t>
      </w:r>
      <w:r>
        <w:rPr>
          <w:rFonts w:ascii="Calibri" w:hAnsi="Calibri"/>
          <w:color w:val="2F3A30"/>
          <w:sz w:val="21"/>
        </w:rPr>
        <w:t>Artículo 4 (Objetivos específicos)</w:t>
      </w:r>
      <w:r>
        <w:rPr>
          <w:rFonts w:ascii="Calibri" w:hAnsi="Calibri"/>
          <w:i/>
          <w:color w:val="2F3A30"/>
          <w:sz w:val="21"/>
        </w:rPr>
      </w:r>
      <w:r>
        <w:rPr>
          <w:rFonts w:ascii="Calibri" w:hAnsi="Calibri"/>
          <w:color w:val="2F3A30"/>
          <w:sz w:val="21"/>
        </w:rPr>
        <w:t>.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5. </w:t>
      </w:r>
      <w:r>
        <w:rPr>
          <w:rFonts w:ascii="Calibri" w:hAnsi="Calibri"/>
          <w:i/>
          <w:color w:val="2F3A30"/>
          <w:sz w:val="21"/>
        </w:rPr>
      </w:r>
      <w:hyperlink r:id="rId17">
        <w:r>
          <w:rPr>
            <w:color w:val="113927"/>
            <w:rFonts w:ascii="Calibri" w:hAnsi="Calibri"/>
            <w:sz w:val="21"/>
            <w:u w:val="single"/>
            <w:b/>
          </w:rPr>
          <w:t xml:space="preserve">Programa Estatal ÉFESO 2021-2027</w:t>
        </w:r>
      </w:hyperlink>
      <w:r>
        <w:rPr>
          <w:rFonts w:ascii="Calibri" w:hAnsi="Calibri"/>
          <w:i/>
          <w:color w:val="2F3A30"/>
          <w:sz w:val="21"/>
        </w:rPr>
      </w:r>
      <w:r>
        <w:rPr>
          <w:rFonts w:ascii="Calibri" w:hAnsi="Calibri"/>
          <w:color w:val="2F3A30"/>
          <w:sz w:val="21"/>
        </w:rPr>
        <w:t>: Consulta las medidas 1.a.01, 1.a.02 y 1.a.04.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6. </w:t>
      </w:r>
      <w:r>
        <w:rPr>
          <w:rFonts w:ascii="Calibri" w:hAnsi="Calibri"/>
          <w:i/>
          <w:color w:val="2F3A30"/>
          <w:sz w:val="21"/>
        </w:rPr>
      </w:r>
      <w:hyperlink r:id="rId18">
        <w:r>
          <w:rPr>
            <w:color w:val="113927"/>
            <w:rFonts w:ascii="Calibri" w:hAnsi="Calibri"/>
            <w:sz w:val="21"/>
            <w:u w:val="single"/>
            <w:b/>
          </w:rPr>
          <w:t xml:space="preserve">Programa FSE+ Andalucía 2021-2027</w:t>
        </w:r>
      </w:hyperlink>
      <w:r>
        <w:rPr>
          <w:rFonts w:ascii="Calibri" w:hAnsi="Calibri"/>
          <w:i/>
          <w:color w:val="2F3A30"/>
          <w:sz w:val="21"/>
        </w:rPr>
      </w:r>
      <w:r>
        <w:rPr>
          <w:rFonts w:ascii="Calibri" w:hAnsi="Calibri"/>
          <w:color w:val="2F3A30"/>
          <w:sz w:val="21"/>
        </w:rPr>
        <w:t>: Consulta las intervenciones 1.A.01, 1.A.04, 1.A.05, 1.A.06 y 1.A.07.</w:t>
      </w:r>
    </w:p>
    <w:p>
      <w:pPr>
        <w:spacing w:before="120" w:after="120"/>
      </w:pPr>
      <w:r>
        <w:rPr>
          <w:color w:val="76927A"/>
          <w:sz w:val="16"/>
        </w:rPr>
        <w:t xml:space="preserve">· · · · · · · · · · · · · · · · · · · · · · · · · </w:t>
      </w:r>
    </w:p>
    <w:p>
      <w:pPr>
        <w:pStyle w:val="Heading2"/>
        <w:keepNext/>
        <w:spacing w:before="280" w:after="80"/>
      </w:pPr>
      <w:r>
        <w:rPr>
          <w:rFonts w:ascii="Outfit" w:hAnsi="Outfit"/>
          <w:b/>
          <w:color w:val="76927A"/>
          <w:sz w:val="24"/>
        </w:rPr>
        <w:t>🧭 Fase 1: El Marco Político Común (Trabajo en Equipos · 15–35 min)</w:t>
      </w:r>
    </w:p>
    <w:p>
      <w:pPr>
        <w:pStyle w:val="Heading3"/>
        <w:keepNext/>
        <w:spacing w:before="200" w:after="60"/>
      </w:pPr>
      <w:r>
        <w:rPr>
          <w:rFonts w:ascii="Outfit" w:hAnsi="Outfit"/>
          <w:b/>
          <w:color w:val="113927"/>
          <w:sz w:val="22"/>
        </w:rPr>
        <w:t>Paso 1.1 · El Pilar Europeo de Derechos Sociales (PEDS)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color w:val="2F3A30"/>
          <w:sz w:val="21"/>
        </w:rPr>
        <w:t xml:space="preserve">Consulta el </w:t>
      </w:r>
      <w:r>
        <w:rPr>
          <w:rFonts w:ascii="Calibri" w:hAnsi="Calibri"/>
          <w:b/>
          <w:color w:val="113927"/>
          <w:sz w:val="21"/>
        </w:rPr>
        <w:t>Principio 4 (Apoyo activo para el empleo)</w:t>
      </w:r>
      <w:r>
        <w:rPr>
          <w:rFonts w:ascii="Calibri" w:hAnsi="Calibri"/>
          <w:color w:val="2F3A30"/>
          <w:sz w:val="21"/>
        </w:rPr>
        <w:t>: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color w:val="2F3A30"/>
          <w:sz w:val="21"/>
        </w:rPr>
        <w:t>¿Qué derecho fundamental se reconoce a toda persona desempleada?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color w:val="2F3A30"/>
          <w:sz w:val="21"/>
        </w:rPr>
        <w:t xml:space="preserve">¿Qué garantía temporal específica se establece para los </w:t>
      </w:r>
      <w:r>
        <w:rPr>
          <w:rFonts w:ascii="Calibri" w:hAnsi="Calibri"/>
          <w:b/>
          <w:color w:val="113927"/>
          <w:sz w:val="21"/>
        </w:rPr>
        <w:t>desempleados de larga duración</w:t>
      </w:r>
      <w:r>
        <w:rPr>
          <w:rFonts w:ascii="Calibri" w:hAnsi="Calibri"/>
          <w:color w:val="2F3A30"/>
          <w:sz w:val="21"/>
        </w:rPr>
        <w:t>? (Pista: busca el límite de meses de desempleo para una evaluación individual detallada).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color w:val="2F3A30"/>
          <w:sz w:val="21"/>
        </w:rPr>
        <w:t xml:space="preserve">Consulta el </w:t>
      </w:r>
      <w:r>
        <w:rPr>
          <w:rFonts w:ascii="Calibri" w:hAnsi="Calibri"/>
          <w:b/>
          <w:color w:val="113927"/>
          <w:sz w:val="21"/>
        </w:rPr>
        <w:t>Principio 3 (Igualdad de oportunidades)</w:t>
      </w:r>
      <w:r>
        <w:rPr>
          <w:rFonts w:ascii="Calibri" w:hAnsi="Calibri"/>
          <w:color w:val="2F3A30"/>
          <w:sz w:val="21"/>
        </w:rPr>
        <w:t>: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color w:val="2F3A30"/>
          <w:sz w:val="21"/>
        </w:rPr>
        <w:t xml:space="preserve">¿Cómo se justifica la acción protectora hacia las personas de edad avanzada para combatir el </w:t>
      </w:r>
      <w:r>
        <w:rPr>
          <w:rFonts w:ascii="Calibri" w:hAnsi="Calibri"/>
          <w:i/>
          <w:color w:val="2F3A30"/>
          <w:sz w:val="21"/>
        </w:rPr>
        <w:t>edadismo</w:t>
      </w:r>
      <w:r>
        <w:rPr>
          <w:rFonts w:ascii="Calibri" w:hAnsi="Calibri"/>
          <w:color w:val="2F3A30"/>
          <w:sz w:val="21"/>
        </w:rPr>
        <w:t xml:space="preserve"> laboral?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Anotación de equipo:</w:t>
      </w:r>
      <w:r>
        <w:rPr>
          <w:rFonts w:ascii="Calibri" w:hAnsi="Calibri"/>
          <w:color w:val="2F3A30"/>
          <w:sz w:val="21"/>
        </w:rPr>
        <w:t xml:space="preserve"> ¿Cuál es el Objetivo Social de la UE para 2030 en tasa de empleo? (Pista: porcentaje de población entre 20 y 64 años).</w:t>
      </w:r>
    </w:p>
    <w:p>
      <w:pPr>
        <w:pStyle w:val="Heading3"/>
        <w:keepNext/>
        <w:spacing w:before="200" w:after="60"/>
      </w:pPr>
      <w:r>
        <w:rPr>
          <w:rFonts w:ascii="Outfit" w:hAnsi="Outfit"/>
          <w:b/>
          <w:color w:val="113927"/>
          <w:sz w:val="22"/>
        </w:rPr>
        <w:t>Paso 1.2 · El Semestre Europeo y el Informe sobre España 2022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color w:val="2F3A30"/>
          <w:sz w:val="21"/>
        </w:rPr>
        <w:t xml:space="preserve">Abre el </w:t>
      </w:r>
      <w:r>
        <w:rPr>
          <w:rFonts w:ascii="Calibri" w:hAnsi="Calibri"/>
          <w:b/>
          <w:color w:val="113927"/>
          <w:sz w:val="21"/>
        </w:rPr>
        <w:t>Informe sobre España 2022 (Anexo 12)</w:t>
      </w:r>
      <w:r>
        <w:rPr>
          <w:rFonts w:ascii="Calibri" w:hAnsi="Calibri"/>
          <w:color w:val="2F3A30"/>
          <w:sz w:val="21"/>
        </w:rPr>
        <w:t>: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color w:val="2F3A30"/>
          <w:sz w:val="21"/>
        </w:rPr>
        <w:t>¿Qué diagnóstico realiza la Comisión Europea sobre la tasa de paro de larga duración en España en relación con la Unión Europea?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color w:val="2F3A30"/>
          <w:sz w:val="21"/>
        </w:rPr>
        <w:t>¿Qué deficiencias estructurales se señalan sobre la capacidad de los Servicios Públicos de Empleo (SPE) y las políticas activas?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color w:val="2F3A30"/>
          <w:sz w:val="21"/>
        </w:rPr>
        <w:t>¿Qué tipo de reformas e inversiones solicita la UE a España para modernizar la orientación y el perfilado de los demandantes?</w:t>
      </w:r>
    </w:p>
    <w:p>
      <w:pPr>
        <w:spacing w:before="120" w:after="120"/>
      </w:pPr>
      <w:r>
        <w:rPr>
          <w:color w:val="76927A"/>
          <w:sz w:val="16"/>
        </w:rPr>
        <w:t xml:space="preserve">· · · · · · · · · · · · · · · · · · · · · · · · · </w:t>
      </w:r>
    </w:p>
    <w:p>
      <w:pPr>
        <w:pStyle w:val="Heading2"/>
        <w:keepNext/>
        <w:spacing w:before="280" w:after="80"/>
      </w:pPr>
      <w:r>
        <w:rPr>
          <w:rFonts w:ascii="Outfit" w:hAnsi="Outfit"/>
          <w:b/>
          <w:color w:val="76927A"/>
          <w:sz w:val="24"/>
        </w:rPr>
        <w:t>💶 Fase 2: El Instrumento Financiero y los Objetivos Específicos (35–50 min)</w:t>
      </w:r>
    </w:p>
    <w:p>
      <w:pPr>
        <w:pStyle w:val="Heading3"/>
        <w:keepNext/>
        <w:spacing w:before="200" w:after="60"/>
      </w:pPr>
      <w:r>
        <w:rPr>
          <w:rFonts w:ascii="Outfit" w:hAnsi="Outfit"/>
          <w:b/>
          <w:color w:val="113927"/>
          <w:sz w:val="22"/>
        </w:rPr>
        <w:t>Paso 2.1 · El Reglamento (UE) 2021/1057 del FSE+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color w:val="2F3A30"/>
          <w:sz w:val="21"/>
        </w:rPr>
        <w:t xml:space="preserve">Abre el </w:t>
      </w:r>
      <w:r>
        <w:rPr>
          <w:rFonts w:ascii="Calibri" w:hAnsi="Calibri"/>
          <w:b/>
          <w:color w:val="113927"/>
          <w:sz w:val="21"/>
        </w:rPr>
        <w:t>Artículo 4 (Objetivos Específicos)</w:t>
      </w:r>
      <w:r>
        <w:rPr>
          <w:rFonts w:ascii="Calibri" w:hAnsi="Calibri"/>
          <w:color w:val="2F3A30"/>
          <w:sz w:val="21"/>
        </w:rPr>
        <w:t xml:space="preserve"> del Reglamento del FSE+: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Objetivo Específico 1 (OE1 · Art. 4.1.a):</w:t>
      </w:r>
      <w:r>
        <w:rPr>
          <w:rFonts w:ascii="Calibri" w:hAnsi="Calibri"/>
          <w:color w:val="2F3A30"/>
          <w:sz w:val="21"/>
        </w:rPr>
        <w:t xml:space="preserve"> Copia o resume qué colectivos prioritarios se citan expresamente en la redacción comunitaria. ¿Aparecen los </w:t>
      </w:r>
      <w:r>
        <w:rPr>
          <w:rFonts w:ascii="Calibri" w:hAnsi="Calibri"/>
          <w:i/>
          <w:color w:val="2F3A30"/>
          <w:sz w:val="21"/>
        </w:rPr>
        <w:t>desempleados de larga duración</w:t>
      </w:r>
      <w:r>
        <w:rPr>
          <w:rFonts w:ascii="Calibri" w:hAnsi="Calibri"/>
          <w:color w:val="2F3A30"/>
          <w:sz w:val="21"/>
        </w:rPr>
        <w:t>?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Objetivo Específico 3 (OE3 · Art. 4.1.c):</w:t>
      </w:r>
      <w:r>
        <w:rPr>
          <w:rFonts w:ascii="Calibri" w:hAnsi="Calibri"/>
          <w:color w:val="2F3A30"/>
          <w:sz w:val="21"/>
        </w:rPr>
        <w:t xml:space="preserve"> ¿Qué persigue la modernización de los servicios de empleo? ¿Cómo se relaciona con la personalización de itinerarios?</w:t>
      </w:r>
    </w:p>
    <w:p>
      <w:pPr>
        <w:spacing w:before="120" w:after="120"/>
      </w:pPr>
      <w:r>
        <w:rPr>
          <w:color w:val="76927A"/>
          <w:sz w:val="16"/>
        </w:rPr>
        <w:t xml:space="preserve">· · · · · · · · · · · · · · · · · · · · · · · · · </w:t>
      </w:r>
    </w:p>
    <w:p>
      <w:pPr>
        <w:pStyle w:val="Heading2"/>
        <w:keepNext/>
        <w:spacing w:before="280" w:after="80"/>
      </w:pPr>
      <w:r>
        <w:rPr>
          <w:rFonts w:ascii="Outfit" w:hAnsi="Outfit"/>
          <w:b/>
          <w:color w:val="76927A"/>
          <w:sz w:val="24"/>
        </w:rPr>
        <w:t>🗺️ Fase 3: Análisis Comparado ÉFESO vs. FSE+ Andalucía (50–60 min)</w:t>
      </w:r>
    </w:p>
    <w:p>
      <w:pPr>
        <w:spacing w:before="0" w:after="90" w:line="276" w:lineRule="auto"/>
        <w:jc w:val="both"/>
      </w:pPr>
      <w:r>
        <w:rPr>
          <w:rFonts w:ascii="Calibri" w:hAnsi="Calibri"/>
          <w:color w:val="2F3A30"/>
          <w:sz w:val="21"/>
        </w:rPr>
        <w:t>Completa la siguiente matriz comparativa con los datos oficiales de ambos programas operativos: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113927"/>
          <w:bottom w:val="single" w:sz="6" w:space="0" w:color="113927"/>
          <w:insideH w:val="single" w:sz="4" w:space="0" w:color="D0DCD2"/>
          <w:left w:val="none"/>
          <w:right w:val="none"/>
          <w:insideV w:val="none"/>
        </w:tblBorders>
      </w:tblPr>
      <w:tblGrid>
        <w:gridCol w:w="3139"/>
        <w:gridCol w:w="3139"/>
        <w:gridCol w:w="3139"/>
      </w:tblGrid>
      <w:tr>
        <w:tc>
          <w:tcPr>
            <w:tcW w:type="dxa" w:w="3139"/>
            <w:shd w:val="clear" w:color="auto" w:fill="113927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Outfit" w:hAnsi="Outfit"/>
                <w:b/>
                <w:color w:val="FFFFFF"/>
                <w:sz w:val="20"/>
              </w:rPr>
              <w:t>Dimensión de Análisis</w:t>
            </w:r>
          </w:p>
        </w:tc>
        <w:tc>
          <w:tcPr>
            <w:tcW w:type="dxa" w:w="3139"/>
            <w:shd w:val="clear" w:color="auto" w:fill="113927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Outfit" w:hAnsi="Outfit"/>
                <w:b/>
                <w:color w:val="FFFFFF"/>
                <w:sz w:val="20"/>
              </w:rPr>
              <w:t>Programa Estatal ÉFESO (MITES)</w:t>
            </w:r>
          </w:p>
        </w:tc>
        <w:tc>
          <w:tcPr>
            <w:tcW w:type="dxa" w:w="3139"/>
            <w:shd w:val="clear" w:color="auto" w:fill="113927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Outfit" w:hAnsi="Outfit"/>
                <w:b/>
                <w:color w:val="FFFFFF"/>
                <w:sz w:val="20"/>
              </w:rPr>
              <w:t>Programa Regional FSE+ Andalucía 2021-2027</w:t>
            </w:r>
          </w:p>
        </w:tc>
      </w:tr>
      <w:tr>
        <w:tc>
          <w:tcPr>
            <w:tcW w:type="dxa" w:w="3139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13927"/>
                <w:sz w:val="19"/>
              </w:rPr>
              <w:t>Ámbito territorial</w:t>
            </w:r>
          </w:p>
        </w:tc>
        <w:tc>
          <w:tcPr>
            <w:tcW w:type="dxa" w:w="3139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F3A30"/>
                <w:sz w:val="19"/>
              </w:rPr>
              <w:t>Estatal (todo el territorio nacional).</w:t>
            </w:r>
          </w:p>
        </w:tc>
        <w:tc>
          <w:tcPr>
            <w:tcW w:type="dxa" w:w="3139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F3A30"/>
                <w:sz w:val="19"/>
              </w:rPr>
              <w:t>Autonómico (Comunidad Autónoma de Andalucía).</w:t>
            </w:r>
          </w:p>
        </w:tc>
      </w:tr>
      <w:tr>
        <w:tc>
          <w:tcPr>
            <w:tcW w:type="dxa" w:w="3139"/>
            <w:shd w:val="clear" w:color="auto" w:fill="F4F8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13927"/>
                <w:sz w:val="19"/>
              </w:rPr>
              <w:t>Categoría de región FSE+</w:t>
            </w:r>
          </w:p>
        </w:tc>
        <w:tc>
          <w:tcPr>
            <w:tcW w:type="dxa" w:w="3139"/>
            <w:shd w:val="clear" w:color="auto" w:fill="F4F8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F3A30"/>
                <w:sz w:val="19"/>
              </w:rPr>
              <w:t>Conjunto estatal mixto.</w:t>
            </w:r>
          </w:p>
        </w:tc>
        <w:tc>
          <w:tcPr>
            <w:tcW w:type="dxa" w:w="3139"/>
            <w:shd w:val="clear" w:color="auto" w:fill="F4F8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F3A30"/>
                <w:sz w:val="19"/>
              </w:rPr>
              <w:t>Región en transición / Menos desarrollada.</w:t>
            </w:r>
          </w:p>
        </w:tc>
      </w:tr>
      <w:tr>
        <w:tc>
          <w:tcPr>
            <w:tcW w:type="dxa" w:w="3139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13927"/>
                <w:sz w:val="19"/>
              </w:rPr>
              <w:t>Tasa de cofinanciación UE</w:t>
            </w:r>
          </w:p>
        </w:tc>
        <w:tc>
          <w:tcPr>
            <w:tcW w:type="dxa" w:w="3139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F3A30"/>
                <w:sz w:val="19"/>
              </w:rPr>
              <w:t>Media estatal (variable según regiones).</w:t>
            </w:r>
          </w:p>
        </w:tc>
        <w:tc>
          <w:tcPr>
            <w:tcW w:type="dxa" w:w="3139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13927"/>
                <w:sz w:val="19"/>
              </w:rPr>
              <w:t>85% aportado por la UE</w:t>
            </w:r>
            <w:r>
              <w:rPr>
                <w:rFonts w:ascii="Calibri" w:hAnsi="Calibri"/>
                <w:color w:val="2F3A30"/>
                <w:sz w:val="19"/>
              </w:rPr>
              <w:t xml:space="preserve"> (15% Junta de Andalucía).</w:t>
            </w:r>
          </w:p>
        </w:tc>
      </w:tr>
      <w:tr>
        <w:tc>
          <w:tcPr>
            <w:tcW w:type="dxa" w:w="3139"/>
            <w:shd w:val="clear" w:color="auto" w:fill="F4F8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13927"/>
                <w:sz w:val="19"/>
              </w:rPr>
              <w:t>Líneas y medidas clave para PLD y Mayores de 45 años</w:t>
            </w:r>
          </w:p>
        </w:tc>
        <w:tc>
          <w:tcPr>
            <w:tcW w:type="dxa" w:w="3139"/>
            <w:shd w:val="clear" w:color="auto" w:fill="F4F8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F3A30"/>
                <w:sz w:val="19"/>
              </w:rPr>
              <w:t xml:space="preserve">• </w:t>
            </w:r>
            <w:r>
              <w:rPr>
                <w:rFonts w:ascii="Calibri" w:hAnsi="Calibri"/>
                <w:b/>
                <w:color w:val="113927"/>
                <w:sz w:val="19"/>
              </w:rPr>
              <w:t>Medida 1.a.01:</w:t>
            </w:r>
            <w:r>
              <w:rPr>
                <w:rFonts w:ascii="Calibri" w:hAnsi="Calibri"/>
                <w:color w:val="2F3A30"/>
                <w:sz w:val="19"/>
              </w:rPr>
              <w:t xml:space="preserve"> Itinerarios de inserción laboral integrados.&lt;br&gt;• </w:t>
            </w:r>
            <w:r>
              <w:rPr>
                <w:rFonts w:ascii="Calibri" w:hAnsi="Calibri"/>
                <w:b/>
                <w:color w:val="113927"/>
                <w:sz w:val="19"/>
              </w:rPr>
              <w:t>Medida 1.a.02:</w:t>
            </w:r>
            <w:r>
              <w:rPr>
                <w:rFonts w:ascii="Calibri" w:hAnsi="Calibri"/>
                <w:color w:val="2F3A30"/>
                <w:sz w:val="19"/>
              </w:rPr>
              <w:t xml:space="preserve"> Formación para el empleo (transición verde/digital).&lt;br&gt;• </w:t>
            </w:r>
            <w:r>
              <w:rPr>
                <w:rFonts w:ascii="Calibri" w:hAnsi="Calibri"/>
                <w:b/>
                <w:color w:val="113927"/>
                <w:sz w:val="19"/>
              </w:rPr>
              <w:t>Medida 1.a.04:</w:t>
            </w:r>
            <w:r>
              <w:rPr>
                <w:rFonts w:ascii="Calibri" w:hAnsi="Calibri"/>
                <w:color w:val="2F3A30"/>
                <w:sz w:val="19"/>
              </w:rPr>
              <w:t xml:space="preserve"> Bonificaciones en cuotas de la Seguridad Social para contratación indefinida.</w:t>
            </w:r>
          </w:p>
        </w:tc>
        <w:tc>
          <w:tcPr>
            <w:tcW w:type="dxa" w:w="3139"/>
            <w:shd w:val="clear" w:color="auto" w:fill="F4F8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F3A30"/>
                <w:sz w:val="19"/>
              </w:rPr>
              <w:t xml:space="preserve">• </w:t>
            </w:r>
            <w:r>
              <w:rPr>
                <w:rFonts w:ascii="Calibri" w:hAnsi="Calibri"/>
                <w:b/>
                <w:color w:val="113927"/>
                <w:sz w:val="19"/>
              </w:rPr>
              <w:t>Intervención 1.A.01:</w:t>
            </w:r>
            <w:r>
              <w:rPr>
                <w:rFonts w:ascii="Calibri" w:hAnsi="Calibri"/>
                <w:color w:val="2F3A30"/>
                <w:sz w:val="19"/>
              </w:rPr>
              <w:t xml:space="preserve"> Ayudas al autoempleo.&lt;br&gt;• </w:t>
            </w:r>
            <w:r>
              <w:rPr>
                <w:rFonts w:ascii="Calibri" w:hAnsi="Calibri"/>
                <w:b/>
                <w:color w:val="113927"/>
                <w:sz w:val="19"/>
              </w:rPr>
              <w:t>Intervención 1.A.04:</w:t>
            </w:r>
            <w:r>
              <w:rPr>
                <w:rFonts w:ascii="Calibri" w:hAnsi="Calibri"/>
                <w:color w:val="2F3A30"/>
                <w:sz w:val="19"/>
              </w:rPr>
              <w:t xml:space="preserve"> Estabilidad laboral.&lt;br&gt;• </w:t>
            </w:r>
            <w:r>
              <w:rPr>
                <w:rFonts w:ascii="Calibri" w:hAnsi="Calibri"/>
                <w:b/>
                <w:color w:val="113927"/>
                <w:sz w:val="19"/>
              </w:rPr>
              <w:t>Intervención 1.A.05:</w:t>
            </w:r>
            <w:r>
              <w:rPr>
                <w:rFonts w:ascii="Calibri" w:hAnsi="Calibri"/>
                <w:color w:val="2F3A30"/>
                <w:sz w:val="19"/>
              </w:rPr>
              <w:t xml:space="preserve"> Activación colectivos vulnerables.&lt;br&gt;• </w:t>
            </w:r>
            <w:r>
              <w:rPr>
                <w:rFonts w:ascii="Calibri" w:hAnsi="Calibri"/>
                <w:b/>
                <w:color w:val="113927"/>
                <w:sz w:val="19"/>
              </w:rPr>
              <w:t>Intervención 1.A.06:</w:t>
            </w:r>
            <w:r>
              <w:rPr>
                <w:rFonts w:ascii="Calibri" w:hAnsi="Calibri"/>
                <w:color w:val="2F3A30"/>
                <w:sz w:val="19"/>
              </w:rPr>
              <w:t xml:space="preserve"> Incentivos a contratación indefinida.&lt;br&gt;• </w:t>
            </w:r>
            <w:r>
              <w:rPr>
                <w:rFonts w:ascii="Calibri" w:hAnsi="Calibri"/>
                <w:b/>
                <w:color w:val="113927"/>
                <w:sz w:val="19"/>
              </w:rPr>
              <w:t>Intervención 1.A.07:</w:t>
            </w:r>
            <w:r>
              <w:rPr>
                <w:rFonts w:ascii="Calibri" w:hAnsi="Calibri"/>
                <w:color w:val="2F3A30"/>
                <w:sz w:val="19"/>
              </w:rPr>
              <w:t xml:space="preserve"> Conversión tiempo parcial a completo.</w:t>
            </w:r>
          </w:p>
        </w:tc>
      </w:tr>
      <w:tr>
        <w:tc>
          <w:tcPr>
            <w:tcW w:type="dxa" w:w="3139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13927"/>
                <w:sz w:val="19"/>
              </w:rPr>
              <w:t>Mecanismo de incentivo al empleo</w:t>
            </w:r>
          </w:p>
        </w:tc>
        <w:tc>
          <w:tcPr>
            <w:tcW w:type="dxa" w:w="3139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F3A30"/>
                <w:sz w:val="19"/>
              </w:rPr>
              <w:t>Bonificaciones de cuotas empresariales en la Seguridad Social.</w:t>
            </w:r>
          </w:p>
        </w:tc>
        <w:tc>
          <w:tcPr>
            <w:tcW w:type="dxa" w:w="3139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F3A30"/>
                <w:sz w:val="19"/>
              </w:rPr>
              <w:t>Subvenciones directas a tanto alzado al tejido productivo andaluz.</w:t>
            </w:r>
          </w:p>
        </w:tc>
      </w:tr>
    </w:tbl>
    <w:p>
      <w:pPr>
        <w:spacing w:before="80" w:after="160"/>
      </w:pPr>
    </w:p>
    <w:p>
      <w:pPr>
        <w:spacing w:before="120" w:after="120"/>
      </w:pPr>
      <w:r>
        <w:rPr>
          <w:color w:val="76927A"/>
          <w:sz w:val="16"/>
        </w:rPr>
        <w:t xml:space="preserve">· · · · · · · · · · · · · · · · · · · · · · · · · </w:t>
      </w:r>
    </w:p>
    <w:p>
      <w:pPr>
        <w:pStyle w:val="Heading2"/>
        <w:keepNext/>
        <w:spacing w:before="280" w:after="80"/>
      </w:pPr>
      <w:r>
        <w:rPr>
          <w:rFonts w:ascii="Outfit" w:hAnsi="Outfit"/>
          <w:b/>
          <w:color w:val="76927A"/>
          <w:sz w:val="24"/>
        </w:rPr>
        <w:t>📝 Fase 4: Redacción del Entregable Individual 2 (60–90 min)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418"/>
            <w:shd w:val="clear" w:color="auto" w:fill="F4F8F5"/>
            <w:tcBorders>
              <w:top w:val="none"/>
              <w:left w:val="single" w:sz="24" w:space="0" w:color="76927A"/>
              <w:bottom w:val="none"/>
              <w:right w:val="none"/>
            </w:tcBorders>
            <w:tcMar>
              <w:top w:w="140" w:type="dxa"/>
              <w:left w:w="200" w:type="dxa"/>
              <w:bottom w:w="140" w:type="dxa"/>
              <w:right w:w="180" w:type="dxa"/>
            </w:tcMar>
          </w:tcPr>
          <w:p>
            <w:pPr>
              <w:spacing w:before="40" w:after="80"/>
              <w:jc w:val="left"/>
            </w:pPr>
            <w:r>
              <w:rPr>
                <w:rFonts w:ascii="Outfit" w:hAnsi="Outfit"/>
                <w:b/>
                <w:color w:val="113927"/>
                <w:sz w:val="22"/>
              </w:rPr>
              <w:t>💡 Calificación</w:t>
              <w:br/>
            </w:r>
          </w:p>
          <w:p>
            <w:pPr>
              <w:spacing w:before="40" w:after="40"/>
              <w:jc w:val="both"/>
            </w:pPr>
            <w:r>
              <w:rPr>
                <w:rFonts w:ascii="Calibri" w:hAnsi="Calibri"/>
                <w:color w:val="2F3A30"/>
                <w:sz w:val="20"/>
              </w:rPr>
              <w:t xml:space="preserve">Trabajo individual en aula informática. Cada estudiante debe redactar su propio documento de forma autónoma (máximo 1–2 páginas) y subirlo al buzón de tareas del Aula Virtual antes de terminar la sesión. </w:t>
            </w:r>
            <w:r>
              <w:rPr>
                <w:rFonts w:ascii="Calibri" w:hAnsi="Calibri"/>
                <w:b/>
                <w:color w:val="113927"/>
                <w:sz w:val="20"/>
              </w:rPr>
              <w:t>0,50 puntos</w:t>
            </w:r>
            <w:r>
              <w:rPr>
                <w:rFonts w:ascii="Calibri" w:hAnsi="Calibri"/>
                <w:color w:val="2F3A30"/>
                <w:sz w:val="20"/>
              </w:rPr>
              <w:t xml:space="preserve"> sobre la nota final de la asignatura.</w:t>
            </w:r>
          </w:p>
        </w:tc>
      </w:tr>
    </w:tbl>
    <w:p>
      <w:pPr>
        <w:spacing w:before="0" w:after="120"/>
      </w:pPr>
    </w:p>
    <w:p>
      <w:pPr>
        <w:pStyle w:val="Heading3"/>
        <w:keepNext/>
        <w:spacing w:before="200" w:after="60"/>
      </w:pPr>
      <w:r>
        <w:rPr>
          <w:rFonts w:ascii="Outfit" w:hAnsi="Outfit"/>
          <w:b/>
          <w:color w:val="113927"/>
          <w:sz w:val="22"/>
        </w:rPr>
        <w:t>Estructura Obligatoria del Entregable:</w:t>
      </w:r>
    </w:p>
    <w:p>
      <w:pPr>
        <w:spacing w:before="0" w:after="90" w:line="276" w:lineRule="auto"/>
        <w:jc w:val="both"/>
      </w:pPr>
      <w:r>
        <w:rPr>
          <w:rFonts w:ascii="Consolas" w:hAnsi="Consolas"/>
          <w:color w:val="113927"/>
          <w:sz w:val="19"/>
        </w:rPr>
      </w:r>
      <w:r>
        <w:rPr>
          <w:rFonts w:ascii="Calibri" w:hAnsi="Calibri"/>
          <w:color w:val="2F3A30"/>
          <w:sz w:val="21"/>
        </w:rPr>
        <w:t>`markdown</w:t>
      </w:r>
    </w:p>
    <w:p>
      <w:pPr>
        <w:spacing w:before="0" w:after="90" w:line="276" w:lineRule="auto"/>
        <w:jc w:val="both"/>
      </w:pPr>
      <w:r>
        <w:rPr>
          <w:rFonts w:ascii="Calibri" w:hAnsi="Calibri"/>
          <w:color w:val="2F3A30"/>
          <w:sz w:val="21"/>
        </w:rPr>
        <w:t>ENTREGABLE INDIVIDUAL 2 · EPD PSLL</w:t>
      </w:r>
    </w:p>
    <w:p>
      <w:pPr>
        <w:spacing w:before="0" w:after="90" w:line="276" w:lineRule="auto"/>
        <w:jc w:val="both"/>
      </w:pPr>
      <w:r>
        <w:rPr>
          <w:rFonts w:ascii="Calibri" w:hAnsi="Calibri"/>
          <w:color w:val="2F3A30"/>
          <w:sz w:val="21"/>
        </w:rPr>
        <w:t>Estudiante: [Nombre y Apellidos] · DNI: [DNI] · Grupo EPD: [EPD 11/12/21]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1. </w:t>
      </w:r>
      <w:r>
        <w:rPr>
          <w:rFonts w:ascii="Calibri" w:hAnsi="Calibri"/>
          <w:color w:val="2F3A30"/>
          <w:sz w:val="21"/>
        </w:rPr>
        <w:t>DIAGRAMA DE FLUJO DE TRAZABILIDAD MULTINIVEL (200 puntos / 0,20 pt)</w:t>
      </w:r>
    </w:p>
    <w:p>
      <w:pPr>
        <w:spacing w:before="0" w:after="90" w:line="276" w:lineRule="auto"/>
        <w:jc w:val="both"/>
      </w:pPr>
      <w:r>
        <w:rPr>
          <w:rFonts w:ascii="Calibri" w:hAnsi="Calibri"/>
          <w:color w:val="2F3A30"/>
          <w:sz w:val="21"/>
        </w:rPr>
        <w:t>Reconstruye y explica razonadamente la cadena lógica que conecta:</w:t>
      </w:r>
    </w:p>
    <w:p>
      <w:pPr>
        <w:spacing w:before="0" w:after="90" w:line="276" w:lineRule="auto"/>
        <w:jc w:val="both"/>
      </w:pPr>
      <w:r>
        <w:rPr>
          <w:rFonts w:ascii="Calibri" w:hAnsi="Calibri"/>
          <w:color w:val="2F3A30"/>
          <w:sz w:val="21"/>
        </w:rPr>
        <w:t>[Pilar Europeo: Principio 4]</w:t>
      </w:r>
    </w:p>
    <w:p>
      <w:pPr>
        <w:spacing w:before="0" w:after="90" w:line="276" w:lineRule="auto"/>
        <w:jc w:val="both"/>
      </w:pPr>
      <w:r>
        <w:rPr>
          <w:rFonts w:ascii="Calibri" w:hAnsi="Calibri"/>
          <w:color w:val="2F3A30"/>
          <w:sz w:val="21"/>
        </w:rPr>
        <w:t>↓</w:t>
      </w:r>
    </w:p>
    <w:p>
      <w:pPr>
        <w:spacing w:before="0" w:after="90" w:line="276" w:lineRule="auto"/>
        <w:jc w:val="both"/>
      </w:pPr>
      <w:r>
        <w:rPr>
          <w:rFonts w:ascii="Calibri" w:hAnsi="Calibri"/>
          <w:color w:val="2F3A30"/>
          <w:sz w:val="21"/>
        </w:rPr>
        <w:t>[Semestre Europeo: Recomendaciones e Informe País España 2022]</w:t>
      </w:r>
    </w:p>
    <w:p>
      <w:pPr>
        <w:spacing w:before="0" w:after="90" w:line="276" w:lineRule="auto"/>
        <w:jc w:val="both"/>
      </w:pPr>
      <w:r>
        <w:rPr>
          <w:rFonts w:ascii="Calibri" w:hAnsi="Calibri"/>
          <w:color w:val="2F3A30"/>
          <w:sz w:val="21"/>
        </w:rPr>
        <w:t>↓</w:t>
      </w:r>
    </w:p>
    <w:p>
      <w:pPr>
        <w:spacing w:before="0" w:after="90" w:line="276" w:lineRule="auto"/>
        <w:jc w:val="both"/>
      </w:pPr>
      <w:r>
        <w:rPr>
          <w:rFonts w:ascii="Calibri" w:hAnsi="Calibri"/>
          <w:color w:val="2F3A30"/>
          <w:sz w:val="21"/>
        </w:rPr>
        <w:t>[Reglamento FSE+ 2021/1057: Objetivos Específicos OE1 y OE3]</w:t>
      </w:r>
    </w:p>
    <w:p>
      <w:pPr>
        <w:spacing w:before="0" w:after="90" w:line="276" w:lineRule="auto"/>
        <w:jc w:val="both"/>
      </w:pPr>
      <w:r>
        <w:rPr>
          <w:rFonts w:ascii="Calibri" w:hAnsi="Calibri"/>
          <w:color w:val="2F3A30"/>
          <w:sz w:val="21"/>
        </w:rPr>
        <w:t>↓</w:t>
      </w:r>
    </w:p>
    <w:p>
      <w:pPr>
        <w:spacing w:before="0" w:after="90" w:line="276" w:lineRule="auto"/>
        <w:jc w:val="both"/>
      </w:pPr>
      <w:r>
        <w:rPr>
          <w:rFonts w:ascii="Calibri" w:hAnsi="Calibri"/>
          <w:color w:val="2F3A30"/>
          <w:sz w:val="21"/>
        </w:rPr>
        <w:t>[Programación Operativa: Programa ÉFESO (Estatal) y Programa FSE+ Andalucía (Regional)]</w:t>
      </w:r>
    </w:p>
    <w:p>
      <w:pPr>
        <w:spacing w:before="0" w:after="90" w:line="276" w:lineRule="auto"/>
        <w:jc w:val="both"/>
      </w:pPr>
      <w:r>
        <w:rPr>
          <w:rFonts w:ascii="Calibri" w:hAnsi="Calibri"/>
          <w:color w:val="2F3A30"/>
          <w:sz w:val="21"/>
        </w:rPr>
        <w:t>(Explica con tus palabras qué aporta cada eslabón y cómo se asegura que el dinero europeo financie las prioridades pactadas).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2. </w:t>
      </w:r>
      <w:r>
        <w:rPr>
          <w:rFonts w:ascii="Calibri" w:hAnsi="Calibri"/>
          <w:color w:val="2F3A30"/>
          <w:sz w:val="21"/>
        </w:rPr>
        <w:t>JUSTIFICACIÓN TÉCNICA DE LOS COLECTIVOS PRIORITARIOS (150 puntos / 0,15 pt)</w:t>
      </w:r>
    </w:p>
    <w:p>
      <w:pPr>
        <w:spacing w:before="0" w:after="90" w:line="276" w:lineRule="auto"/>
        <w:jc w:val="both"/>
      </w:pPr>
      <w:r>
        <w:rPr>
          <w:rFonts w:ascii="Calibri" w:hAnsi="Calibri"/>
          <w:color w:val="2F3A30"/>
          <w:sz w:val="21"/>
        </w:rPr>
        <w:t>¿Por qué las personas desempleadas de larga duración y las personas mayores de 45 años no pueden ser tratadas con políticas activas genéricas y requieren líneas específicas y blindadas en el FSE+?</w:t>
      </w:r>
    </w:p>
    <w:p>
      <w:pPr>
        <w:spacing w:before="0" w:after="90" w:line="276" w:lineRule="auto"/>
        <w:jc w:val="both"/>
      </w:pPr>
      <w:r>
        <w:rPr>
          <w:rFonts w:ascii="Calibri" w:hAnsi="Calibri"/>
          <w:color w:val="2F3A30"/>
          <w:sz w:val="21"/>
        </w:rPr>
        <w:t>(Fundamenta tu respuesta utilizando conceptos vistos en la asignatura: depreciación del capital humano, riesgo de histéresis, estigma o edadismo en los procesos de selección y desánimo laboral).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3. </w:t>
      </w:r>
      <w:r>
        <w:rPr>
          <w:rFonts w:ascii="Calibri" w:hAnsi="Calibri"/>
          <w:color w:val="2F3A30"/>
          <w:sz w:val="21"/>
        </w:rPr>
        <w:t>ANÁLISIS COMPARADO Y COFINANCIACIÓN EN ANDALUCÍA (150 puntos / 0,15 pt)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color w:val="2F3A30"/>
          <w:sz w:val="21"/>
        </w:rPr>
        <w:t>Selecciona 1 medida del Programa ÉFESO y 1 intervención del Programa FSE+ Andalucía dirigida a estos colectivos y compara su enfoque.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color w:val="2F3A30"/>
          <w:sz w:val="21"/>
        </w:rPr>
        <w:t>Explica qué significa que Andalucía cuente con una tasa de cofinanciación comunitaria del 85% y qué implicaciones tiene para el presupuesto autonómico de empleo.</w:t>
      </w:r>
    </w:p>
    <w:p>
      <w:pPr>
        <w:spacing w:before="0" w:after="90" w:line="276" w:lineRule="auto"/>
        <w:jc w:val="both"/>
      </w:pPr>
      <w:r>
        <w:rPr>
          <w:rFonts w:ascii="Consolas" w:hAnsi="Consolas"/>
          <w:color w:val="113927"/>
          <w:sz w:val="19"/>
        </w:rPr>
      </w:r>
      <w:r>
        <w:rPr>
          <w:rFonts w:ascii="Calibri" w:hAnsi="Calibri"/>
          <w:color w:val="2F3A30"/>
          <w:sz w:val="21"/>
        </w:rPr>
        <w:t>`</w:t>
      </w:r>
    </w:p>
    <w:p>
      <w:pPr>
        <w:spacing w:before="120" w:after="120"/>
      </w:pPr>
      <w:r>
        <w:rPr>
          <w:color w:val="76927A"/>
          <w:sz w:val="16"/>
        </w:rPr>
        <w:t xml:space="preserve">· · · · · · · · · · · · · · · · · · · · · · · · · </w:t>
      </w:r>
    </w:p>
    <w:p>
      <w:pPr>
        <w:pStyle w:val="Heading2"/>
        <w:keepNext/>
        <w:spacing w:before="280" w:after="80"/>
      </w:pPr>
      <w:r>
        <w:rPr>
          <w:rFonts w:ascii="Outfit" w:hAnsi="Outfit"/>
          <w:b/>
          <w:color w:val="76927A"/>
          <w:sz w:val="24"/>
        </w:rPr>
        <w:t>📊 Rúbrica Oficial de Evaluación Continua (0 a 0,50 puntos)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Sobresaliente (0,45 – 0,50 pts · 90–100%):</w:t>
      </w:r>
      <w:r>
        <w:rPr>
          <w:rFonts w:ascii="Calibri" w:hAnsi="Calibri"/>
          <w:color w:val="2F3A30"/>
          <w:sz w:val="21"/>
        </w:rPr>
        <w:t xml:space="preserve"> Trazabilidad multinivel rigurosa y sin saltos institucionales. Justificación socioeconómica profunda de los colectivos (histéresis, capital humano, edadismo). Identificación precisa de medidas de ÉFESO y Andalucía con explicación exacta de la tasa de cofinanciación del 85%.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Notable / Aprobado (0,30 – 0,44 pts · 60–89%):</w:t>
      </w:r>
      <w:r>
        <w:rPr>
          <w:rFonts w:ascii="Calibri" w:hAnsi="Calibri"/>
          <w:color w:val="2F3A30"/>
          <w:sz w:val="21"/>
        </w:rPr>
        <w:t xml:space="preserve"> Trazabilidad comprensible aunque con alguna imprecisión menor en el rol del Semestre Europeo o en la numeración de los OE. Justificación adecuada de los colectivos. Identificación correcta de medidas aunque con menor contraste analítico.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Insuficiente (&lt; 0,30 pts · &lt; 60%):</w:t>
      </w:r>
      <w:r>
        <w:rPr>
          <w:rFonts w:ascii="Calibri" w:hAnsi="Calibri"/>
          <w:color w:val="2F3A30"/>
          <w:sz w:val="21"/>
        </w:rPr>
        <w:t xml:space="preserve"> Errores graves en la cadena de gobernanza (ej. atribuir competencias normativas al FSE+ o confundir el Pilar con un fondo monetario). Argumentación vaga de los colectivos. Omisión de la tasa de cofinanciación o copia no elaborada.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1" w:right="1411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76927A"/>
        <w:sz w:val="17"/>
      </w:rPr>
      <w:t xml:space="preserve">Universidad Pablo de Olavide (UPO) · Grado en RRLL y RRHH | </w:t>
    </w:r>
    <w:r>
      <w:rPr>
        <w:rFonts w:ascii="Calibri" w:hAnsi="Calibri"/>
        <w:color w:val="2F3A30"/>
        <w:sz w:val="17"/>
      </w:rPr>
      <w:t xml:space="preserve">Página </w:t>
    </w:r>
    <w:fldSimple w:instr="PAGE"/>
    <w:r>
      <w:rPr>
        <w:rFonts w:ascii="Calibri" w:hAnsi="Calibri"/>
        <w:color w:val="2F3A30"/>
        <w:sz w:val="17"/>
      </w:rPr>
      <w:t xml:space="preserve"> de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Outfit" w:hAnsi="Outfit"/>
        <w:color w:val="76927A"/>
        <w:sz w:val="16"/>
      </w:rPr>
      <w:t>POLÍTICAS SOCIOLABORALES Y DE EMPLEO · LABORATORIO PRÁCTICO · EPD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90" w:before="0"/>
      <w:jc w:val="both"/>
    </w:pPr>
    <w:rPr>
      <w:rFonts w:ascii="Calibri" w:hAnsi="Calibri"/>
      <w:color w:val="2F3A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520" w:after="120"/>
      <w:outlineLvl w:val="0"/>
    </w:pPr>
    <w:rPr>
      <w:rFonts w:asciiTheme="majorHAnsi" w:eastAsiaTheme="majorEastAsia" w:hAnsiTheme="majorHAnsi" w:cstheme="majorBidi" w:ascii="Outfit" w:hAnsi="Outfit"/>
      <w:b/>
      <w:bCs/>
      <w:color w:val="113927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00"/>
      <w:outlineLvl w:val="1"/>
    </w:pPr>
    <w:rPr>
      <w:rFonts w:asciiTheme="majorHAnsi" w:eastAsiaTheme="majorEastAsia" w:hAnsiTheme="majorHAnsi" w:cstheme="majorBidi" w:ascii="Outfit" w:hAnsi="Outfit"/>
      <w:b/>
      <w:bCs/>
      <w:color w:val="76927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/>
      <w:outlineLvl w:val="2"/>
    </w:pPr>
    <w:rPr>
      <w:rFonts w:asciiTheme="majorHAnsi" w:eastAsiaTheme="majorEastAsia" w:hAnsiTheme="majorHAnsi" w:cstheme="majorBidi" w:ascii="Outfit" w:hAnsi="Outfit"/>
      <w:b/>
      <w:bCs/>
      <w:color w:val="11392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op.europa.eu/webpub/empl/european-pillar-of-social-rights/es/" TargetMode="External"/><Relationship Id="rId13" Type="http://schemas.openxmlformats.org/officeDocument/2006/relationships/hyperlink" Target="https://www.consilium.europa.eu/es/press/press-releases/2022/06/17/european-semester-2022-country-specific-recommendations-agreed/" TargetMode="External"/><Relationship Id="rId14" Type="http://schemas.openxmlformats.org/officeDocument/2006/relationships/hyperlink" Target="https://www.consilium.europa.eu/es/infographics/european-semester-2023/" TargetMode="External"/><Relationship Id="rId15" Type="http://schemas.openxmlformats.org/officeDocument/2006/relationships/hyperlink" Target="https://eur-lex.europa.eu/legal-content/EN/TXT/?uri=CELEX%3A52022SC0610" TargetMode="External"/><Relationship Id="rId16" Type="http://schemas.openxmlformats.org/officeDocument/2006/relationships/hyperlink" Target="https://eur-lex.europa.eu/legal-content/ES/TXT/HTML/?uri=CELEX:32021R1057" TargetMode="External"/><Relationship Id="rId17" Type="http://schemas.openxmlformats.org/officeDocument/2006/relationships/hyperlink" Target="https://www.mites.gob.es/UAFSE/es/FSE21_27/programas/p_efeso/index.htm" TargetMode="External"/><Relationship Id="rId18" Type="http://schemas.openxmlformats.org/officeDocument/2006/relationships/hyperlink" Target="https://www.mites.gob.es/UAFSE/es/FSE21_27/programas/andalucia/index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