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p>
      <w:pPr>
        <w:shd w:val="clear" w:color="auto" w:fill="76927A"/>
        <w:spacing w:before="120" w:after="120"/>
        <w:jc w:val="left"/>
      </w:pPr>
      <w:r>
        <w:rPr>
          <w:b/>
          <w:bCs/>
          <w:color w:val="FFFFFF"/>
          <w:sz w:val="20"/>
          <w:szCs w:val="20"/>
        </w:rPr>
        <w:t xml:space="preserve">📍 SESIÓN 1 · Semana 1 (Lunes 14/09, últimos 30 min de la sesión, tras Tema 0) — Arranque de Tema 1, sin dinámica de innovación todavía</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Tasa de actividad% = Población que desea trabajarPoblación en edad de trabajar×100</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Tasa de desempleo%=Población desempleadaPoblación activa×100</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spacing w:after="90" w:line="276" w:lineRule="auto"/>
        <w:ind w:left="0" w:firstLine="0"/>
        <w:jc w:val="both"/>
      </w:pPr>
      <w:r>
        <w:rPr>
          <w:rFonts w:ascii="Calibri" w:hAnsi="Calibri"/>
          <w:color w:val="2F3A30"/>
          <w:sz w:val="21"/>
        </w:rPr>
        <w:t>Tasa de empleo%=Población ocupadaPoblación en edad de trabajar×100</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p>
      <w:pPr>
        <w:shd w:val="clear" w:color="auto" w:fill="76927A"/>
        <w:spacing w:before="120" w:after="120"/>
        <w:jc w:val="left"/>
      </w:pPr>
      <w:r>
        <w:rPr>
          <w:b/>
          <w:bCs/>
          <w:color w:val="FFFFFF"/>
          <w:sz w:val="20"/>
          <w:szCs w:val="20"/>
        </w:rPr>
        <w:t xml:space="preserve">📍 SESIÓN 2 · Semana 1 (Martes 15/09 · Viernes 18/09, 120 min)</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before="120" w:after="120"/>
        <w:jc w:val="center"/>
      </w:pPr>
      <w:r>
        <w:rPr>
          <w:rFonts w:ascii="Calibri" w:hAnsi="Calibri"/>
          <w:b/>
          <w:color w:val="566B56"/>
          <w:sz w:val="22"/>
        </w:rPr>
        <w:t>PIB = VAB + Impuestos indirectos netos de subvenciones</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Poppins" w:hAnsi="Poppins"/>
          <w:b/>
          <w:color w:val="566B56"/>
          <w:sz w:val="18"/>
        </w:rPr>
        <w:t>Figura 1.4: Evolución del Producto Interior Bruto (PIB) en España: tasas de variación interanual en volumen encadenado (2022T1 - 2026T2).</w:t>
      </w:r>
    </w:p>
    <w:p>
      <w:pPr>
        <w:spacing w:before="0" w:after="160"/>
        <w:jc w:val="center"/>
      </w:pPr>
      <w:r>
        <w:rPr>
          <w:rFonts w:ascii="Calibri" w:hAnsi="Calibri"/>
          <w:i/>
          <w:color w:val="6F8073"/>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before="120" w:after="120"/>
        <w:jc w:val="center"/>
      </w:pPr>
      <w:r>
        <w:rPr>
          <w:rFonts w:ascii="Calibri" w:hAnsi="Calibri"/>
          <w:b/>
          <w:color w:val="566B56"/>
          <w:sz w:val="22"/>
        </w:rPr>
        <w:t>Tasa de variación interanual:  t.c. X_t = [(X_t - X_{t-1}) / X_{t-1}] × 100</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before="120" w:after="120"/>
        <w:jc w:val="center"/>
      </w:pPr>
      <w:r>
        <w:rPr>
          <w:rFonts w:ascii="Calibri" w:hAnsi="Calibri"/>
          <w:b/>
          <w:color w:val="566B56"/>
          <w:sz w:val="22"/>
        </w:rPr>
        <w:t>PIB per cápita = PIB total / Población total</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spacing w:after="90" w:line="276" w:lineRule="auto"/>
        <w:ind w:left="0" w:firstLine="0"/>
        <w:jc w:val="both"/>
      </w:pPr>
      <w:r>
        <w:rPr>
          <w:rFonts w:ascii="Calibri" w:hAnsi="Calibri"/>
          <w:color w:val="2F3A30"/>
          <w:sz w:val="21"/>
        </w:rPr>
        <w:t>Productividad laboral = Producción total (PIB) / (Número de trabajadores o de horas trabajadas)</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3489693"/>
            <wp:docPr id="6" name="Picture 6"/>
            <wp:cNvGraphicFramePr>
              <a:graphicFrameLocks noChangeAspect="1"/>
            </wp:cNvGraphicFramePr>
            <a:graphic>
              <a:graphicData uri="http://schemas.openxmlformats.org/drawingml/2006/picture">
                <pic:pic>
                  <pic:nvPicPr>
                    <pic:cNvPr id="0" name="productividad_salarios.png"/>
                    <pic:cNvPicPr/>
                  </pic:nvPicPr>
                  <pic:blipFill>
                    <a:blip r:embed="rId14"/>
                    <a:stretch>
                      <a:fillRect/>
                    </a:stretch>
                  </pic:blipFill>
                  <pic:spPr>
                    <a:xfrm>
                      <a:off x="0" y="0"/>
                      <a:ext cx="5669280" cy="3489693"/>
                    </a:xfrm>
                    <a:prstGeom prst="rect"/>
                  </pic:spPr>
                </pic:pic>
              </a:graphicData>
            </a:graphic>
          </wp:inline>
        </w:drawing>
      </w:r>
    </w:p>
    <w:p>
      <w:pPr>
        <w:keepNext/>
        <w:spacing w:before="0" w:after="20"/>
        <w:jc w:val="center"/>
      </w:pPr>
      <w:r>
        <w:rPr>
          <w:rFonts w:ascii="Poppins" w:hAnsi="Poppins"/>
          <w:b/>
          <w:color w:val="566B56"/>
          <w:sz w:val="18"/>
        </w:rPr>
        <w:t>Figura 1.5: Relación entre productividad por hora trabajada y salario medio en la OCDE (2024).</w:t>
      </w:r>
    </w:p>
    <w:p>
      <w:pPr>
        <w:spacing w:before="0" w:after="160"/>
        <w:jc w:val="center"/>
      </w:pPr>
      <w:r>
        <w:rPr>
          <w:rFonts w:ascii="Calibri" w:hAnsi="Calibri"/>
          <w:i/>
          <w:color w:val="6F8073"/>
          <w:sz w:val="16"/>
        </w:rPr>
        <w:t>Fuente: Elaboración propia a partir de datos oficiales de la OCDE (Productivity Statistics &amp; Employment Outlook, 2024).</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p>
      <w:pPr>
        <w:shd w:val="clear" w:color="auto" w:fill="76927A"/>
        <w:spacing w:before="120" w:after="120"/>
        <w:jc w:val="left"/>
      </w:pPr>
      <w:r>
        <w:rPr>
          <w:b/>
          <w:bCs/>
          <w:color w:val="FFFFFF"/>
          <w:sz w:val="20"/>
          <w:szCs w:val="20"/>
        </w:rPr>
        <w:t xml:space="preserve">📍 SESIÓN 3 · Semana 2 (Lunes 21/09, 90 min)</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3898763"/>
            <wp:docPr id="7" name="Picture 7"/>
            <wp:cNvGraphicFramePr>
              <a:graphicFrameLocks noChangeAspect="1"/>
            </wp:cNvGraphicFramePr>
            <a:graphic>
              <a:graphicData uri="http://schemas.openxmlformats.org/drawingml/2006/picture">
                <pic:pic>
                  <pic:nvPicPr>
                    <pic:cNvPr id="0" name="modelo_desempleo_neoclasico.png"/>
                    <pic:cNvPicPr/>
                  </pic:nvPicPr>
                  <pic:blipFill>
                    <a:blip r:embed="rId15"/>
                    <a:stretch>
                      <a:fillRect/>
                    </a:stretch>
                  </pic:blipFill>
                  <pic:spPr>
                    <a:xfrm>
                      <a:off x="0" y="0"/>
                      <a:ext cx="5669280" cy="3898763"/>
                    </a:xfrm>
                    <a:prstGeom prst="rect"/>
                  </pic:spPr>
                </pic:pic>
              </a:graphicData>
            </a:graphic>
          </wp:inline>
        </w:drawing>
      </w:r>
    </w:p>
    <w:p>
      <w:pPr>
        <w:keepNext/>
        <w:spacing w:before="0" w:after="20"/>
        <w:jc w:val="center"/>
      </w:pPr>
      <w:r>
        <w:rPr>
          <w:rFonts w:ascii="Poppins" w:hAnsi="Poppins"/>
          <w:b/>
          <w:color w:val="566B56"/>
          <w:sz w:val="18"/>
        </w:rPr>
        <w:t>Figura 1.6: El desempleo en el modelo neoclásico del mercado de trabajo: rigidez salarial y exceso de oferta.</w:t>
      </w:r>
    </w:p>
    <w:p>
      <w:pPr>
        <w:spacing w:before="0" w:after="160"/>
        <w:jc w:val="center"/>
      </w:pPr>
      <w:r>
        <w:rPr>
          <w:rFonts w:ascii="Calibri" w:hAnsi="Calibri"/>
          <w:i/>
          <w:color w:val="6F8073"/>
          <w:sz w:val="16"/>
        </w:rPr>
        <w:t>Fuente: Elaboración propia a partir del modelo neoclásico del mercado de trabajo (adaptado de M. Barneto).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p>
      <w:pPr>
        <w:shd w:val="clear" w:color="auto" w:fill="76927A"/>
        <w:spacing w:before="120" w:after="120"/>
        <w:jc w:val="left"/>
      </w:pPr>
      <w:r>
        <w:rPr>
          <w:b/>
          <w:bCs/>
          <w:color w:val="FFFFFF"/>
          <w:sz w:val="20"/>
          <w:szCs w:val="20"/>
        </w:rPr>
        <w:t xml:space="preserve">📍 SESIÓN 4 · Semana 2 (Martes 22/09 · Viernes 25/09, 120 min)</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p>
      <w:pPr>
        <w:shd w:val="clear" w:color="auto" w:fill="76927A"/>
        <w:spacing w:before="120" w:after="120"/>
        <w:jc w:val="left"/>
      </w:pPr>
      <w:r>
        <w:rPr>
          <w:b/>
          <w:bCs/>
          <w:color w:val="FFFFFF"/>
          <w:sz w:val="20"/>
          <w:szCs w:val="20"/>
        </w:rPr>
        <w:t xml:space="preserve">📍 SESIÓN 4 (continuación) · mismo bloque de 120 min</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4679696"/>
            <wp:docPr id="8" name="Picture 8"/>
            <wp:cNvGraphicFramePr>
              <a:graphicFrameLocks noChangeAspect="1"/>
            </wp:cNvGraphicFramePr>
            <a:graphic>
              <a:graphicData uri="http://schemas.openxmlformats.org/drawingml/2006/picture">
                <pic:pic>
                  <pic:nvPicPr>
                    <pic:cNvPr id="0" name="tasa_natural_nairu.png"/>
                    <pic:cNvPicPr/>
                  </pic:nvPicPr>
                  <pic:blipFill>
                    <a:blip r:embed="rId16"/>
                    <a:stretch>
                      <a:fillRect/>
                    </a:stretch>
                  </pic:blipFill>
                  <pic:spPr>
                    <a:xfrm>
                      <a:off x="0" y="0"/>
                      <a:ext cx="5669280" cy="4679696"/>
                    </a:xfrm>
                    <a:prstGeom prst="rect"/>
                  </pic:spPr>
                </pic:pic>
              </a:graphicData>
            </a:graphic>
          </wp:inline>
        </w:drawing>
      </w:r>
    </w:p>
    <w:p>
      <w:pPr>
        <w:keepNext/>
        <w:spacing w:before="0" w:after="20"/>
        <w:jc w:val="center"/>
      </w:pPr>
      <w:r>
        <w:rPr>
          <w:rFonts w:ascii="Poppins" w:hAnsi="Poppins"/>
          <w:b/>
          <w:color w:val="566B56"/>
          <w:sz w:val="18"/>
        </w:rPr>
        <w:t>Figura 1.7: Tasa de desempleo observada y tasa natural de desempleo (NAIRU) en España y la Zona Euro (1980–2024): desempleo estructural vs. desempleo cíclico.</w:t>
      </w:r>
    </w:p>
    <w:p>
      <w:pPr>
        <w:spacing w:before="0" w:after="160"/>
        <w:jc w:val="center"/>
      </w:pPr>
      <w:r>
        <w:rPr>
          <w:rFonts w:ascii="Calibri" w:hAnsi="Calibri"/>
          <w:i/>
          <w:color w:val="6F8073"/>
          <w:sz w:val="16"/>
        </w:rPr>
        <w:t>Fuente: Elaboración propia a partir de datos oficiales de la base AMECO (Comisión Europea, DG ECFIN, 2024).</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before="120" w:after="120"/>
        <w:jc w:val="center"/>
      </w:pPr>
      <w:r>
        <w:rPr>
          <w:rFonts w:ascii="Calibri" w:hAnsi="Calibri"/>
          <w:b/>
          <w:color w:val="566B56"/>
          <w:sz w:val="22"/>
        </w:rPr>
        <w:t>π_t = π_t^e - λ · (u_t - u_n)</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π_t: Tasa de inflación observada actual</w:t>
      </w:r>
    </w:p>
    <w:p>
      <w:pPr>
        <w:spacing w:after="90" w:line="276" w:lineRule="auto"/>
        <w:ind w:left="0" w:firstLine="0"/>
        <w:jc w:val="both"/>
      </w:pPr>
      <w:r>
        <w:rPr>
          <w:rFonts w:ascii="Calibri" w:hAnsi="Calibri"/>
          <w:color w:val="2F3A30"/>
          <w:sz w:val="21"/>
        </w:rPr>
        <w:t>π_t^e: Tasa de inflación esperada por los agentes económicos</w:t>
      </w:r>
    </w:p>
    <w:p>
      <w:pPr>
        <w:keepNext/>
        <w:spacing w:after="40" w:line="276" w:lineRule="auto" w:before="160"/>
        <w:ind w:left="0" w:firstLine="0"/>
        <w:jc w:val="left"/>
      </w:pPr>
      <w:r>
        <w:rPr>
          <w:rFonts w:ascii="Calibri" w:hAnsi="Calibri"/>
          <w:b/>
          <w:color w:val="566B56"/>
          <w:sz w:val="21"/>
        </w:rPr>
        <w:t>u_t: Tasa de desempleo observada en el período</w:t>
      </w:r>
    </w:p>
    <w:p>
      <w:pPr>
        <w:keepNext/>
        <w:spacing w:after="40" w:line="276" w:lineRule="auto" w:before="160"/>
        <w:ind w:left="0" w:firstLine="0"/>
        <w:jc w:val="left"/>
      </w:pPr>
      <w:r>
        <w:rPr>
          <w:rFonts w:ascii="Calibri" w:hAnsi="Calibri"/>
          <w:b/>
          <w:color w:val="566B56"/>
          <w:sz w:val="21"/>
        </w:rPr>
        <w:t>u_n: Tasa natural de desempleo o NAIRU</w:t>
      </w:r>
    </w:p>
    <w:p>
      <w:pPr>
        <w:spacing w:after="90" w:line="276" w:lineRule="auto"/>
        <w:ind w:left="0" w:firstLine="0"/>
        <w:jc w:val="both"/>
      </w:pPr>
      <w:r>
        <w:rPr>
          <w:rFonts w:ascii="Calibri" w:hAnsi="Calibri"/>
          <w:color w:val="2F3A30"/>
          <w:sz w:val="21"/>
        </w:rPr>
        <w:t>λ: Parámetro de sensibilidad de la inflación a la brecha de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spacing w:after="70"/>
        <w:ind w:left="504" w:hanging="259"/>
        <w:jc w:val="both"/>
      </w:pPr>
      <w:r>
        <w:rPr>
          <w:rFonts w:ascii="Calibri" w:hAnsi="Calibri"/>
          <w:b/>
          <w:color w:val="76927A"/>
        </w:rPr>
        <w:t xml:space="preserve">•  </w:t>
      </w:r>
      <w:r>
        <w:rPr>
          <w:rFonts w:ascii="Calibri" w:hAnsi="Calibri"/>
          <w:b/>
          <w:color w:val="566B56"/>
        </w:rPr>
        <w:t xml:space="preserve">Si u_t &gt; u_n: </w:t>
      </w:r>
      <w:r>
        <w:rPr>
          <w:rFonts w:ascii="Calibri" w:hAnsi="Calibri"/>
          <w:color w:val="2F3A30"/>
        </w:rPr>
        <w:t>se generan presiones deflacionarias (la tasa de inflación se reduce).</w:t>
      </w:r>
    </w:p>
    <w:p>
      <w:pPr>
        <w:spacing w:after="70"/>
        <w:ind w:left="504" w:hanging="259"/>
        <w:jc w:val="both"/>
      </w:pPr>
      <w:r>
        <w:rPr>
          <w:rFonts w:ascii="Calibri" w:hAnsi="Calibri"/>
          <w:b/>
          <w:color w:val="76927A"/>
        </w:rPr>
        <w:t xml:space="preserve">•  </w:t>
      </w:r>
      <w:r>
        <w:rPr>
          <w:rFonts w:ascii="Calibri" w:hAnsi="Calibri"/>
          <w:b/>
          <w:color w:val="566B56"/>
        </w:rPr>
        <w:t xml:space="preserve">Si u_t &lt; u_n: </w:t>
      </w:r>
      <w:r>
        <w:rPr>
          <w:rFonts w:ascii="Calibri" w:hAnsi="Calibri"/>
          <w:color w:val="2F3A30"/>
        </w:rPr>
        <w:t>se generan presiones inflacionarias (la tasa de inflación aumenta).</w:t>
      </w:r>
    </w:p>
    <w:p>
      <w:pPr>
        <w:spacing w:after="70"/>
        <w:ind w:left="504" w:hanging="259"/>
        <w:jc w:val="both"/>
      </w:pPr>
      <w:r>
        <w:rPr>
          <w:rFonts w:ascii="Calibri" w:hAnsi="Calibri"/>
          <w:b/>
          <w:color w:val="76927A"/>
        </w:rPr>
        <w:t xml:space="preserve">•  </w:t>
      </w:r>
      <w:r>
        <w:rPr>
          <w:rFonts w:ascii="Calibri" w:hAnsi="Calibri"/>
          <w:b/>
          <w:color w:val="566B56"/>
        </w:rPr>
        <w:t xml:space="preserve">Si u_t = u_n: </w:t>
      </w:r>
      <w:r>
        <w:rPr>
          <w:rFonts w:ascii="Calibri" w:hAnsi="Calibri"/>
          <w:color w:val="2F3A30"/>
        </w:rPr>
        <w:t>la inflación se mantiene estable en el nivel esperado (equilibrio NAIRU).</w:t>
      </w:r>
    </w:p>
    <w:p>
      <w:pPr>
        <w:keepNext/>
        <w:spacing w:before="160" w:after="60"/>
        <w:jc w:val="center"/>
      </w:pPr>
      <w:r>
        <w:drawing>
          <wp:inline xmlns:a="http://schemas.openxmlformats.org/drawingml/2006/main" xmlns:pic="http://schemas.openxmlformats.org/drawingml/2006/picture">
            <wp:extent cx="5669280" cy="3011056"/>
            <wp:docPr id="9" name="Picture 9"/>
            <wp:cNvGraphicFramePr>
              <a:graphicFrameLocks noChangeAspect="1"/>
            </wp:cNvGraphicFramePr>
            <a:graphic>
              <a:graphicData uri="http://schemas.openxmlformats.org/drawingml/2006/picture">
                <pic:pic>
                  <pic:nvPicPr>
                    <pic:cNvPr id="0" name="curva_phillips_dual.png"/>
                    <pic:cNvPicPr/>
                  </pic:nvPicPr>
                  <pic:blipFill>
                    <a:blip r:embed="rId17"/>
                    <a:stretch>
                      <a:fillRect/>
                    </a:stretch>
                  </pic:blipFill>
                  <pic:spPr>
                    <a:xfrm>
                      <a:off x="0" y="0"/>
                      <a:ext cx="5669280" cy="3011056"/>
                    </a:xfrm>
                    <a:prstGeom prst="rect"/>
                  </pic:spPr>
                </pic:pic>
              </a:graphicData>
            </a:graphic>
          </wp:inline>
        </w:drawing>
      </w:r>
    </w:p>
    <w:p>
      <w:pPr>
        <w:keepNext/>
        <w:spacing w:before="0" w:after="20"/>
        <w:jc w:val="center"/>
      </w:pPr>
      <w:r>
        <w:rPr>
          <w:rFonts w:ascii="Poppins" w:hAnsi="Poppins"/>
          <w:b/>
          <w:color w:val="566B56"/>
          <w:sz w:val="18"/>
        </w:rPr>
        <w:t>Figura 1.8: La Curva de Phillips: modelo teórico de expectativas aceleracionistas (Friedman-Phelps) y evidencia empírica en España (2002–2024).</w:t>
      </w:r>
    </w:p>
    <w:p>
      <w:pPr>
        <w:spacing w:before="0" w:after="160"/>
        <w:jc w:val="center"/>
      </w:pPr>
      <w:r>
        <w:rPr>
          <w:rFonts w:ascii="Calibri" w:hAnsi="Calibri"/>
          <w:i/>
          <w:color w:val="6F8073"/>
          <w:sz w:val="16"/>
        </w:rPr>
        <w:t>Fuente: Elaboración propia para Políticas Sociolaborales (UPO) a partir de Friedman (1968), Phelps (1967) e Instituto Nacional de Estadística (EPA y ETCL, 2024).</w:t>
      </w:r>
    </w:p>
    <w:p>
      <w:pPr>
        <w:spacing w:before="80" w:after="120" w:line="276" w:lineRule="auto"/>
        <w:jc w:val="both"/>
      </w:pPr>
      <w:r>
        <w:rPr>
          <w:rFonts w:ascii="Calibri" w:hAnsi="Calibri"/>
          <w:i/>
          <w:color w:val="2F3A30"/>
          <w:sz w:val="19"/>
        </w:rPr>
        <w:t>Interpretación analítica de la Figura 1.8: En el Panel A (modelo teórico de Friedman-Phelps), un estímulo de demanda reduce coyunturalmente el desempleo a corto plazo desplazando la economía de A a B sobre CP₁; sin embargo, la revisión al alza de las expectativas de inflación desplaza la curva a CP₂, retornando el desempleo a la NAIRU en C (curva vertical a largo plazo LP). En el Panel B, la serie empírica de España (2002–2024) confirma esta dinámica: la fase de burbuja (2002-2007) dio paso a la severa devaluación salarial de 2012 (-3,6% con paro al 26%) y, tras la recuperación, al reciente shock inflacionista post-COVID con aumentos de costes salariales superiores al 5%.</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p>
      <w:pPr>
        <w:shd w:val="clear" w:color="auto" w:fill="76927A"/>
        <w:spacing w:before="120" w:after="120"/>
        <w:jc w:val="left"/>
      </w:pPr>
      <w:r>
        <w:rPr>
          <w:b/>
          <w:bCs/>
          <w:color w:val="FFFFFF"/>
          <w:sz w:val="20"/>
          <w:szCs w:val="20"/>
        </w:rPr>
        <w:t xml:space="preserve">📍 SESIÓN 5 · Semana 3 (primera sesión: Martes 29/09 en L1, 2h · Lunes 28/09 en L2, 1,5h) — Beveridge completo, cierre y síntesis de Tema 1</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before="120" w:after="120"/>
        <w:jc w:val="center"/>
      </w:pPr>
      <w:r>
        <w:rPr>
          <w:rFonts w:ascii="Calibri" w:hAnsi="Calibri"/>
          <w:b/>
          <w:color w:val="566B56"/>
          <w:sz w:val="22"/>
        </w:rPr>
        <w:t>Condición de equilibrio dinámico:  ΔU = s · E - f · U = 0</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before="120" w:after="120"/>
        <w:jc w:val="center"/>
      </w:pPr>
      <w:r>
        <w:rPr>
          <w:rFonts w:ascii="Calibri" w:hAnsi="Calibri"/>
          <w:b/>
          <w:color w:val="566B56"/>
          <w:sz w:val="22"/>
        </w:rPr>
        <w:t>Tasa de desempleo de estado estacionario:  u* = s / (s + f)</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3019265"/>
            <wp:docPr id="10" name="Picture 10"/>
            <wp:cNvGraphicFramePr>
              <a:graphicFrameLocks noChangeAspect="1"/>
            </wp:cNvGraphicFramePr>
            <a:graphic>
              <a:graphicData uri="http://schemas.openxmlformats.org/drawingml/2006/picture">
                <pic:pic>
                  <pic:nvPicPr>
                    <pic:cNvPr id="0" name="curva_beveridge_dual.png"/>
                    <pic:cNvPicPr/>
                  </pic:nvPicPr>
                  <pic:blipFill>
                    <a:blip r:embed="rId18"/>
                    <a:stretch>
                      <a:fillRect/>
                    </a:stretch>
                  </pic:blipFill>
                  <pic:spPr>
                    <a:xfrm>
                      <a:off x="0" y="0"/>
                      <a:ext cx="5669280" cy="3019265"/>
                    </a:xfrm>
                    <a:prstGeom prst="rect"/>
                  </pic:spPr>
                </pic:pic>
              </a:graphicData>
            </a:graphic>
          </wp:inline>
        </w:drawing>
      </w:r>
    </w:p>
    <w:p>
      <w:pPr>
        <w:keepNext/>
        <w:spacing w:before="0" w:after="20"/>
        <w:jc w:val="center"/>
      </w:pPr>
      <w:r>
        <w:rPr>
          <w:rFonts w:ascii="Poppins" w:hAnsi="Poppins"/>
          <w:b/>
          <w:color w:val="566B56"/>
          <w:sz w:val="18"/>
        </w:rPr>
        <w:t>Figura 1.9: La Curva de Beveridge: modelo teórico de emparejamiento (DMP) y evidencia empírica en España (1980–2024).</w:t>
      </w:r>
    </w:p>
    <w:p>
      <w:pPr>
        <w:spacing w:before="0" w:after="160"/>
        <w:jc w:val="center"/>
      </w:pPr>
      <w:r>
        <w:rPr>
          <w:rFonts w:ascii="Calibri" w:hAnsi="Calibri"/>
          <w:i/>
          <w:color w:val="6F8073"/>
          <w:sz w:val="16"/>
        </w:rPr>
        <w:t>Fuente: Elaboración propia para Políticas Sociolaborales (UPO) a partir de FEDEA (2017), Nada es Gratis e Instituto Nacional de Estadística (EPA y ETCL, 2024).</w:t>
      </w:r>
    </w:p>
    <w:p>
      <w:pPr>
        <w:spacing w:before="80" w:after="120" w:line="276" w:lineRule="auto"/>
        <w:jc w:val="both"/>
      </w:pPr>
      <w:r>
        <w:rPr>
          <w:rFonts w:ascii="Calibri" w:hAnsi="Calibri"/>
          <w:i/>
          <w:color w:val="2F3A30"/>
          <w:sz w:val="19"/>
        </w:rPr>
        <w:t>Interpretación analítica de la Figura 1.9: El Panel A sintetiza el modelo teórico de emparejamiento (DMP): los ciclos económicos generan oscilaciones a lo largo de la curva (expansión vs. recesión), mientras que los desajustes estructurales de cualificación (mismatch) desplazan la curva hacia el exterior (E₁ → E₂). El Panel B muestra la estimación empírica en España (1980–2024): tras el shock de la Gran Recesión que desplazó la curva del Punto A al Punto B (+5 p.p. de paro estructural), la recuperación reciente hasta 2024 ha situado las vacantes en máximos históricos (0,73%) mientras el desempleo se sitúa en el 11,3%, confirmando un problema persistente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before="120" w:after="120"/>
        <w:jc w:val="center"/>
      </w:pPr>
      <w:r>
        <w:rPr>
          <w:rFonts w:ascii="Calibri" w:hAnsi="Calibri"/>
          <w:b/>
          <w:color w:val="566B56"/>
          <w:sz w:val="22"/>
        </w:rPr>
        <w:t>Función de emparejamiento (matching function):  m = f(U, V, A) = A · U^α · V^(1-α)</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m: Número de contrataciones o emparejamientos realizados por período</w:t>
      </w:r>
    </w:p>
    <w:p>
      <w:pPr>
        <w:spacing w:after="90" w:line="276" w:lineRule="auto"/>
        <w:ind w:left="0" w:firstLine="0"/>
        <w:jc w:val="both"/>
      </w:pPr>
      <w:r>
        <w:rPr>
          <w:rFonts w:ascii="Calibri" w:hAnsi="Calibri"/>
          <w:color w:val="2F3A30"/>
          <w:sz w:val="21"/>
        </w:rPr>
        <w:t>U: Stock de personas desempleadas al inicio del período</w:t>
      </w:r>
    </w:p>
    <w:p>
      <w:pPr>
        <w:spacing w:after="90" w:line="276" w:lineRule="auto"/>
        <w:ind w:left="0" w:firstLine="0"/>
        <w:jc w:val="both"/>
      </w:pPr>
      <w:r>
        <w:rPr>
          <w:rFonts w:ascii="Calibri" w:hAnsi="Calibri"/>
          <w:color w:val="2F3A30"/>
          <w:sz w:val="21"/>
        </w:rPr>
        <w:t>V: Stock de puestos de trabajo vacantes disponibles en la economía</w:t>
      </w:r>
    </w:p>
    <w:p>
      <w:pPr>
        <w:spacing w:after="90" w:line="276" w:lineRule="auto"/>
        <w:ind w:left="0" w:firstLine="0"/>
        <w:jc w:val="both"/>
      </w:pPr>
      <w:r>
        <w:rPr>
          <w:rFonts w:ascii="Calibri" w:hAnsi="Calibri"/>
          <w:color w:val="2F3A30"/>
          <w:sz w:val="21"/>
        </w:rPr>
        <w:t>A: Parámetro de eficiencia tecnológica e institucional del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firstLine="0"/>
        <w:jc w:val="both"/>
      </w:pPr>
      <w:r>
        <w:rPr>
          <w:rFonts w:ascii="Calibri" w:hAnsi="Calibri"/>
          <w:b/>
          <w:color w:val="2F3A30"/>
          <w:sz w:val="21"/>
        </w:rPr>
        <w:t>Tres fases macroeconómicas identificadas en la serie histórica (ver Panel B de la Figura 1.9):</w:t>
      </w:r>
    </w:p>
    <w:p>
      <w:pPr>
        <w:spacing w:after="70"/>
        <w:ind w:left="504" w:hanging="259"/>
        <w:jc w:val="both"/>
      </w:pPr>
      <w:r>
        <w:rPr>
          <w:rFonts w:ascii="Calibri" w:hAnsi="Calibri"/>
          <w:b/>
          <w:color w:val="76927A"/>
        </w:rPr>
        <w:t xml:space="preserve">•  </w:t>
      </w:r>
      <w:r>
        <w:rPr>
          <w:rFonts w:ascii="Calibri" w:hAnsi="Calibri"/>
          <w:b/>
          <w:color w:val="566B56"/>
        </w:rPr>
        <w:t xml:space="preserve">Fase 1 (1980–2007: </w:t>
      </w:r>
      <w:r>
        <w:rPr>
          <w:rFonts w:ascii="Calibri" w:hAnsi="Calibri"/>
          <w:color w:val="2F3A30"/>
        </w:rPr>
        <w:t>Estabilidad pre-crisis y ancla en Punto A)</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(2008–2013: </w:t>
      </w:r>
      <w:r>
        <w:rPr>
          <w:rFonts w:ascii="Calibri" w:hAnsi="Calibri"/>
          <w:color w:val="2F3A30"/>
        </w:rPr>
        <w:t>Gran Recesión y desplazamiento hacia el Punto B)</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(2014–2024: </w:t>
      </w:r>
      <w:r>
        <w:rPr>
          <w:rFonts w:ascii="Calibri" w:hAnsi="Calibri"/>
          <w:color w:val="2F3A30"/>
        </w:rPr>
        <w:t>Recuperación económica y récord histórico de vacantes)</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19"/>
      <w:footerReference w:type="default" r:id="rId20"/>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