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709"/>
        <w:gridCol w:w="4709"/>
      </w:tblGrid>
      <w:tr>
        <w:tc>
          <w:tcPr>
            <w:tcW w:type="dxa" w:w="6912"/>
          </w:tcPr>
          <w:p>
            <w:pPr>
              <w:spacing w:before="0" w:after="40"/>
            </w:pPr>
            <w:r>
              <w:rPr>
                <w:rFonts w:ascii="Poppins" w:hAnsi="Poppins"/>
                <w:b/>
                <w:color w:val="566B56"/>
                <w:sz w:val="18"/>
              </w:rPr>
              <w:t>UNIVERSIDAD PABLO DE OLAVIDE</w:t>
              <w:br/>
            </w:r>
            <w:r>
              <w:rPr>
                <w:rFonts w:ascii="Calibri" w:hAnsi="Calibri"/>
                <w:color w:val="76927A"/>
                <w:sz w:val="17"/>
              </w:rPr>
              <w:t>Facultad de Ciencias del Trabajo · Grado en RRLL y Recursos Humanos</w:t>
              <w:br/>
            </w:r>
            <w:r>
              <w:rPr>
                <w:rFonts w:ascii="Calibri" w:hAnsi="Calibri"/>
                <w:color w:val="2F3A30"/>
                <w:sz w:val="17"/>
              </w:rPr>
              <w:t>Políticas Sociolaborales y de Empleo (Código 102023) | Curso 2026-2027</w:t>
              <w:b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120" w:after="320"/>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br/>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spacing w:after="90" w:line="276" w:lineRule="auto"/>
        <w:ind w:left="0" w:firstLine="0"/>
        <w:jc w:val="both"/>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spacing w:after="90" w:line="276" w:lineRule="auto"/>
        <w:ind w:left="0" w:firstLine="0"/>
        <w:jc w:val="both"/>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spacing w:after="90" w:line="276" w:lineRule="auto"/>
        <w:ind w:left="0" w:firstLine="0"/>
        <w:jc w:val="both"/>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keepNext/>
        <w:spacing w:before="160" w:after="60"/>
        <w:jc w:val="center"/>
      </w:pPr>
      <w:r>
        <w:drawing>
          <wp:inline xmlns:a="http://schemas.openxmlformats.org/drawingml/2006/main" xmlns:pic="http://schemas.openxmlformats.org/drawingml/2006/picture">
            <wp:extent cx="5669280" cy="2872435"/>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2872435"/>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spacing w:after="90" w:line="276" w:lineRule="auto"/>
        <w:ind w:left="0" w:firstLine="0"/>
        <w:jc w:val="both"/>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spacing w:after="90" w:line="276" w:lineRule="auto"/>
        <w:ind w:left="0" w:firstLine="0"/>
        <w:jc w:val="both"/>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80"/>
              <w:jc w:val="left"/>
            </w:pPr>
            <w:r>
              <w:rPr>
                <w:rFonts w:ascii="Poppins" w:hAnsi="Poppins"/>
                <w:b/>
                <w:color w:val="566B56"/>
                <w:sz w:val="20"/>
              </w:rPr>
              <w:t>💭  PARADA REFLEXIVA: LÍMITES Y RANGOS DE VARIACIÓN DE LA TASA DE ACTIVIDAD</w:t>
              <w:br/>
            </w:r>
          </w:p>
          <w:p>
            <w:pPr>
              <w:spacing w:before="0" w:after="40" w:line="276" w:lineRule="auto"/>
              <w:jc w:val="both"/>
            </w:pPr>
            <w:r>
              <w:rPr>
                <w:rFonts w:ascii="Calibri" w:hAnsi="Calibri"/>
                <w:b/>
                <w:color w:val="566B56"/>
                <w:sz w:val="19"/>
              </w:rPr>
              <w:t>• ¿Puede ser negativa?</w:t>
              <w:br/>
            </w:r>
            <w:r>
              <w:rPr>
                <w:rFonts w:ascii="Calibri" w:hAnsi="Calibri"/>
                <w:color w:val="2F3A30"/>
                <w:sz w:val="19"/>
              </w:rPr>
              <w:t xml:space="preserve">  Teóricamente, la tasa de actividad no puede asumir valores negativos, ya que una población activa negativa carece de sentido práctico.</w:t>
            </w:r>
          </w:p>
          <w:p>
            <w:pPr>
              <w:spacing w:before="80" w:after="40" w:line="276" w:lineRule="auto"/>
              <w:jc w:val="both"/>
            </w:pPr>
            <w:r>
              <w:rPr>
                <w:rFonts w:ascii="Calibri" w:hAnsi="Calibri"/>
                <w:b/>
                <w:color w:val="566B56"/>
                <w:sz w:val="19"/>
              </w:rPr>
              <w:t>• ¿Es razonable que sea cero?</w:t>
              <w:br/>
            </w:r>
            <w:r>
              <w:rPr>
                <w:rFonts w:ascii="Calibri" w:hAnsi="Calibri"/>
                <w:color w:val="2F3A30"/>
                <w:sz w:val="19"/>
              </w:rPr>
              <w:t xml:space="preserve">  Una tasa de actividad del 0% indicaría que ninguna persona en edad de trabajar está buscando empleo ni trabajando, lo cual sería un escenario extremadamente raro y poco realista en cualquier economía moderna.</w:t>
            </w:r>
          </w:p>
          <w:p>
            <w:pPr>
              <w:spacing w:before="80" w:after="40" w:line="276" w:lineRule="auto"/>
              <w:jc w:val="both"/>
            </w:pPr>
            <w:r>
              <w:rPr>
                <w:rFonts w:ascii="Calibri" w:hAnsi="Calibri"/>
                <w:b/>
                <w:color w:val="566B56"/>
                <w:sz w:val="19"/>
              </w:rPr>
              <w:t>• ¿Es razonable que sea del 20%?</w:t>
              <w:br/>
            </w:r>
            <w:r>
              <w:rPr>
                <w:rFonts w:ascii="Calibri" w:hAnsi="Calibri"/>
                <w:color w:val="2F3A30"/>
                <w:sz w:val="19"/>
              </w:rPr>
              <w:t xml:space="preserve">  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spacing w:after="90" w:line="276" w:lineRule="auto"/>
        <w:ind w:left="0" w:firstLine="0"/>
        <w:jc w:val="both"/>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spacing w:after="90" w:line="276" w:lineRule="auto"/>
        <w:ind w:left="0" w:firstLine="0"/>
        <w:jc w:val="both"/>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spacing w:after="90" w:line="276" w:lineRule="auto"/>
        <w:ind w:left="0" w:firstLine="0"/>
        <w:jc w:val="both"/>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b/>
          <w:color w:val="566B56"/>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spacing w:after="90" w:line="276" w:lineRule="auto"/>
        <w:ind w:left="0" w:firstLine="0"/>
        <w:jc w:val="both"/>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spacing w:after="90" w:line="276" w:lineRule="auto"/>
        <w:ind w:left="0" w:firstLine="0"/>
        <w:jc w:val="both"/>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spacing w:after="90" w:line="276" w:lineRule="auto"/>
        <w:ind w:left="0" w:firstLine="0"/>
        <w:jc w:val="both"/>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spacing w:after="90" w:line="276" w:lineRule="auto"/>
        <w:ind w:left="0" w:firstLine="0"/>
        <w:jc w:val="both"/>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spacing w:after="90" w:line="276" w:lineRule="auto"/>
        <w:ind w:left="0" w:firstLine="0"/>
        <w:jc w:val="both"/>
      </w:pPr>
      <w:r>
        <w:rPr>
          <w:rFonts w:ascii="Calibri" w:hAnsi="Calibri"/>
          <w:b/>
          <w:color w:val="566B56"/>
          <w:sz w:val="21"/>
        </w:rPr>
        <w:t>El valor añadido en cada etapa de producción</w:t>
      </w:r>
    </w:p>
    <w:p>
      <w:pPr>
        <w:spacing w:after="90" w:line="276" w:lineRule="auto"/>
        <w:ind w:left="0" w:firstLine="0"/>
        <w:jc w:val="both"/>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spacing w:after="90" w:line="276" w:lineRule="auto"/>
        <w:ind w:left="0" w:firstLine="0"/>
        <w:jc w:val="both"/>
      </w:pPr>
      <w:r>
        <w:rPr>
          <w:rFonts w:ascii="Calibri" w:hAnsi="Calibri"/>
          <w:b/>
          <w:color w:val="566B56"/>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566B56"/>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spacing w:after="90" w:line="276" w:lineRule="auto"/>
        <w:ind w:left="0" w:firstLine="0"/>
        <w:jc w:val="both"/>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b/>
          <w:color w:val="566B56"/>
          <w:sz w:val="21"/>
        </w:rPr>
        <w:t>VAB es el Valor Agregado Bruto</w:t>
      </w:r>
    </w:p>
    <w:p>
      <w:pPr>
        <w:spacing w:after="90" w:line="276" w:lineRule="auto"/>
        <w:ind w:left="0" w:firstLine="0"/>
        <w:jc w:val="both"/>
      </w:pPr>
      <w:r>
        <w:rPr>
          <w:rFonts w:ascii="Calibri" w:hAnsi="Calibri"/>
          <w:b/>
          <w:color w:val="566B56"/>
          <w:sz w:val="21"/>
        </w:rPr>
        <w:t>Impuestos son aquellos aplicados a los productos</w:t>
      </w:r>
    </w:p>
    <w:p>
      <w:pPr>
        <w:spacing w:after="90" w:line="276" w:lineRule="auto"/>
        <w:ind w:left="0" w:firstLine="0"/>
        <w:jc w:val="both"/>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spacing w:after="90" w:line="276" w:lineRule="auto"/>
        <w:ind w:left="0" w:firstLine="0"/>
        <w:jc w:val="both"/>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b/>
          <w:color w:val="566B56"/>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spacing w:after="90" w:line="276" w:lineRule="auto"/>
        <w:ind w:left="0" w:firstLine="0"/>
        <w:jc w:val="both"/>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spacing w:after="90" w:line="276" w:lineRule="auto"/>
        <w:ind w:left="0" w:firstLine="0"/>
        <w:jc w:val="both"/>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566B56"/>
          <w:sz w:val="21"/>
        </w:rPr>
        <w:t>Limitaciones importantes:</w:t>
      </w:r>
    </w:p>
    <w:p>
      <w:pPr>
        <w:spacing w:after="90" w:line="276" w:lineRule="auto"/>
        <w:ind w:left="0" w:firstLine="0"/>
        <w:jc w:val="both"/>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spacing w:after="90" w:line="276" w:lineRule="auto"/>
        <w:ind w:left="0" w:firstLine="0"/>
        <w:jc w:val="both"/>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spacing w:after="90" w:line="276" w:lineRule="auto"/>
        <w:ind w:left="0" w:firstLine="0"/>
        <w:jc w:val="both"/>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566B56"/>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spacing w:after="90" w:line="276" w:lineRule="auto"/>
        <w:ind w:left="0" w:firstLine="0"/>
        <w:jc w:val="both"/>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spacing w:after="90" w:line="276" w:lineRule="auto"/>
        <w:ind w:left="0" w:firstLine="0"/>
        <w:jc w:val="both"/>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spacing w:after="90" w:line="276" w:lineRule="auto"/>
        <w:ind w:left="0" w:firstLine="0"/>
        <w:jc w:val="both"/>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spacing w:after="90" w:line="276" w:lineRule="auto"/>
        <w:ind w:left="0" w:firstLine="0"/>
        <w:jc w:val="both"/>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566B56"/>
          <w:sz w:val="21"/>
        </w:rPr>
        <w:t>Características del empleo de alto valor añadido:</w:t>
      </w:r>
    </w:p>
    <w:p>
      <w:pPr>
        <w:spacing w:after="90" w:line="276" w:lineRule="auto"/>
        <w:ind w:left="0" w:firstLine="0"/>
        <w:jc w:val="both"/>
      </w:pPr>
      <w:r>
        <w:rPr>
          <w:rFonts w:ascii="Calibri" w:hAnsi="Calibri"/>
          <w:b/>
          <w:color w:val="566B56"/>
          <w:sz w:val="21"/>
        </w:rPr>
        <w:t>Mejores salarios y mayor estabilidad laboral</w:t>
      </w:r>
    </w:p>
    <w:p>
      <w:pPr>
        <w:spacing w:after="90" w:line="276" w:lineRule="auto"/>
        <w:ind w:left="0" w:firstLine="0"/>
        <w:jc w:val="both"/>
      </w:pPr>
      <w:r>
        <w:rPr>
          <w:rFonts w:ascii="Calibri" w:hAnsi="Calibri"/>
          <w:b/>
          <w:color w:val="566B56"/>
          <w:sz w:val="21"/>
        </w:rPr>
        <w:t>Habilidades demandadas menos manuales y repetitivas</w:t>
      </w:r>
    </w:p>
    <w:p>
      <w:pPr>
        <w:spacing w:after="90" w:line="276" w:lineRule="auto"/>
        <w:ind w:left="0" w:firstLine="0"/>
        <w:jc w:val="both"/>
      </w:pPr>
      <w:r>
        <w:rPr>
          <w:rFonts w:ascii="Calibri" w:hAnsi="Calibri"/>
          <w:b/>
          <w:color w:val="566B56"/>
          <w:sz w:val="21"/>
        </w:rPr>
        <w:t>Menor grado de sustitución de trabajadores</w:t>
      </w:r>
    </w:p>
    <w:p>
      <w:pPr>
        <w:spacing w:after="90" w:line="276" w:lineRule="auto"/>
        <w:ind w:left="0" w:firstLine="0"/>
        <w:jc w:val="both"/>
      </w:pPr>
      <w:r>
        <w:rPr>
          <w:rFonts w:ascii="Calibri" w:hAnsi="Calibri"/>
          <w:b/>
          <w:color w:val="566B56"/>
          <w:sz w:val="21"/>
        </w:rPr>
        <w:t>Tipos de contratos más estables</w:t>
      </w:r>
    </w:p>
    <w:p>
      <w:pPr>
        <w:spacing w:after="90" w:line="276" w:lineRule="auto"/>
        <w:ind w:left="0" w:firstLine="0"/>
        <w:jc w:val="both"/>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spacing w:after="90" w:line="276" w:lineRule="auto"/>
        <w:ind w:left="0" w:firstLine="0"/>
        <w:jc w:val="both"/>
      </w:pPr>
      <w:r>
        <w:rPr>
          <w:rFonts w:ascii="Calibri" w:hAnsi="Calibri"/>
          <w:b/>
          <w:color w:val="566B56"/>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spacing w:after="90" w:line="276" w:lineRule="auto"/>
        <w:ind w:left="0" w:firstLine="0"/>
        <w:jc w:val="both"/>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spacing w:after="90" w:line="276" w:lineRule="auto"/>
        <w:ind w:left="0" w:firstLine="0"/>
        <w:jc w:val="both"/>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spacing w:after="90" w:line="276" w:lineRule="auto"/>
        <w:ind w:left="0" w:firstLine="0"/>
        <w:jc w:val="both"/>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566B56"/>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spacing w:after="90" w:line="276" w:lineRule="auto"/>
        <w:ind w:left="0" w:firstLine="0"/>
        <w:jc w:val="both"/>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spacing w:after="90" w:line="276" w:lineRule="auto"/>
        <w:ind w:left="0" w:firstLine="0"/>
        <w:jc w:val="both"/>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spacing w:after="90" w:line="276" w:lineRule="auto"/>
        <w:ind w:left="0" w:firstLine="0"/>
        <w:jc w:val="both"/>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spacing w:after="90" w:line="276" w:lineRule="auto"/>
        <w:ind w:left="0" w:firstLine="0"/>
        <w:jc w:val="both"/>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spacing w:after="90" w:line="276" w:lineRule="auto"/>
        <w:ind w:left="0" w:firstLine="0"/>
        <w:jc w:val="both"/>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spacing w:after="90" w:line="276" w:lineRule="auto"/>
        <w:ind w:left="0" w:firstLine="0"/>
        <w:jc w:val="both"/>
      </w:pPr>
      <w:r>
        <w:rPr>
          <w:rFonts w:ascii="Calibri" w:hAnsi="Calibri"/>
          <w:b/>
          <w:color w:val="566B56"/>
          <w:sz w:val="21"/>
        </w:rPr>
        <w:t>Bienestar social y condiciones de trabajo</w:t>
      </w:r>
    </w:p>
    <w:p>
      <w:pPr>
        <w:spacing w:after="90" w:line="276" w:lineRule="auto"/>
        <w:ind w:left="0" w:firstLine="0"/>
        <w:jc w:val="both"/>
      </w:pPr>
      <w:r>
        <w:rPr>
          <w:rFonts w:ascii="Calibri" w:hAnsi="Calibri"/>
          <w:b/>
          <w:color w:val="566B56"/>
          <w:sz w:val="21"/>
        </w:rPr>
        <w:t>Productividad empresarial y competitividad</w:t>
      </w:r>
    </w:p>
    <w:p>
      <w:pPr>
        <w:spacing w:after="90" w:line="276" w:lineRule="auto"/>
        <w:ind w:left="0" w:firstLine="0"/>
        <w:jc w:val="both"/>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spacing w:after="90" w:line="276" w:lineRule="auto"/>
        <w:ind w:left="0" w:firstLine="0"/>
        <w:jc w:val="both"/>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spacing w:after="90" w:line="276" w:lineRule="auto"/>
        <w:ind w:left="0" w:firstLine="0"/>
        <w:jc w:val="both"/>
      </w:pPr>
      <w:r>
        <w:rPr>
          <w:rFonts w:ascii="Calibri" w:hAnsi="Calibri"/>
          <w:b/>
          <w:color w:val="566B56"/>
          <w:sz w:val="21"/>
        </w:rPr>
        <w:t>Las tradiciones laborales y cultura empresarial</w:t>
      </w:r>
    </w:p>
    <w:p>
      <w:pPr>
        <w:spacing w:after="90" w:line="276" w:lineRule="auto"/>
        <w:ind w:left="0" w:firstLine="0"/>
        <w:jc w:val="both"/>
      </w:pPr>
      <w:r>
        <w:rPr>
          <w:rFonts w:ascii="Calibri" w:hAnsi="Calibri"/>
          <w:b/>
          <w:color w:val="566B56"/>
          <w:sz w:val="21"/>
        </w:rPr>
        <w:t>El marco legal e institucional</w:t>
      </w:r>
    </w:p>
    <w:p>
      <w:pPr>
        <w:spacing w:after="90" w:line="276" w:lineRule="auto"/>
        <w:ind w:left="0" w:firstLine="0"/>
        <w:jc w:val="both"/>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spacing w:after="90" w:line="276" w:lineRule="auto"/>
        <w:ind w:left="0" w:firstLine="0"/>
        <w:jc w:val="both"/>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spacing w:after="90" w:line="276" w:lineRule="auto"/>
        <w:ind w:left="0" w:firstLine="0"/>
        <w:jc w:val="both"/>
      </w:pPr>
      <w:r>
        <w:rPr>
          <w:rFonts w:ascii="Calibri" w:hAnsi="Calibri"/>
          <w:b/>
          <w:color w:val="566B56"/>
          <w:sz w:val="21"/>
        </w:rPr>
        <w:t>Salarios bajos y pobreza laboral</w:t>
      </w:r>
    </w:p>
    <w:p>
      <w:pPr>
        <w:spacing w:after="90" w:line="276" w:lineRule="auto"/>
        <w:ind w:left="0" w:firstLine="0"/>
        <w:jc w:val="both"/>
      </w:pPr>
      <w:r>
        <w:rPr>
          <w:rFonts w:ascii="Calibri" w:hAnsi="Calibri"/>
          <w:b/>
          <w:color w:val="566B56"/>
          <w:sz w:val="21"/>
        </w:rPr>
        <w:t>Desigualdad salarial excesiva</w:t>
      </w:r>
    </w:p>
    <w:p>
      <w:pPr>
        <w:spacing w:after="90" w:line="276" w:lineRule="auto"/>
        <w:ind w:left="0" w:firstLine="0"/>
        <w:jc w:val="both"/>
      </w:pPr>
      <w:r>
        <w:rPr>
          <w:rFonts w:ascii="Calibri" w:hAnsi="Calibri"/>
          <w:b/>
          <w:color w:val="566B56"/>
          <w:sz w:val="21"/>
        </w:rPr>
        <w:t>Exclusión de grupos vulnerables del mercado laboral</w:t>
      </w:r>
    </w:p>
    <w:p>
      <w:pPr>
        <w:spacing w:after="90" w:line="276" w:lineRule="auto"/>
        <w:ind w:left="0" w:firstLine="0"/>
        <w:jc w:val="both"/>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566B56"/>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spacing w:after="90" w:line="276" w:lineRule="auto"/>
        <w:ind w:left="0" w:firstLine="0"/>
        <w:jc w:val="both"/>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566B56"/>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spacing w:after="90" w:line="276" w:lineRule="auto"/>
        <w:ind w:left="0" w:firstLine="0"/>
        <w:jc w:val="both"/>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spacing w:after="90" w:line="276" w:lineRule="auto"/>
        <w:ind w:left="0" w:firstLine="0"/>
        <w:jc w:val="both"/>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566B56"/>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566B56"/>
          <w:sz w:val="21"/>
        </w:rPr>
        <w:t>Determinantes principales del paro estructural:</w:t>
      </w:r>
    </w:p>
    <w:p>
      <w:pPr>
        <w:spacing w:after="90" w:line="276" w:lineRule="auto"/>
        <w:ind w:left="0" w:firstLine="0"/>
        <w:jc w:val="both"/>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spacing w:after="90" w:line="276" w:lineRule="auto"/>
        <w:ind w:left="0" w:firstLine="0"/>
        <w:jc w:val="both"/>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spacing w:after="90" w:line="276" w:lineRule="auto"/>
        <w:ind w:left="0" w:firstLine="0"/>
        <w:jc w:val="both"/>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spacing w:after="90" w:line="276" w:lineRule="auto"/>
        <w:ind w:left="0" w:firstLine="0"/>
        <w:jc w:val="both"/>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spacing w:after="90" w:line="276" w:lineRule="auto"/>
        <w:ind w:left="0" w:firstLine="0"/>
        <w:jc w:val="both"/>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spacing w:after="90" w:line="276" w:lineRule="auto"/>
        <w:ind w:left="0" w:firstLine="0"/>
        <w:jc w:val="both"/>
      </w:pPr>
      <w:r>
        <w:rPr>
          <w:rFonts w:ascii="Calibri" w:hAnsi="Calibri"/>
          <w:b/>
          <w:color w:val="566B56"/>
          <w:sz w:val="21"/>
        </w:rPr>
        <w:t>Experimentar deterioro de sus habilidades</w:t>
      </w:r>
    </w:p>
    <w:p>
      <w:pPr>
        <w:spacing w:after="90" w:line="276" w:lineRule="auto"/>
        <w:ind w:left="0" w:firstLine="0"/>
        <w:jc w:val="both"/>
      </w:pPr>
      <w:r>
        <w:rPr>
          <w:rFonts w:ascii="Calibri" w:hAnsi="Calibri"/>
          <w:b/>
          <w:color w:val="566B56"/>
          <w:sz w:val="21"/>
        </w:rPr>
        <w:t>Perder contactos profesionales</w:t>
      </w:r>
    </w:p>
    <w:p>
      <w:pPr>
        <w:spacing w:after="90" w:line="276" w:lineRule="auto"/>
        <w:ind w:left="0" w:firstLine="0"/>
        <w:jc w:val="both"/>
      </w:pPr>
      <w:r>
        <w:rPr>
          <w:rFonts w:ascii="Calibri" w:hAnsi="Calibri"/>
          <w:b/>
          <w:color w:val="566B56"/>
          <w:sz w:val="21"/>
        </w:rPr>
        <w:t>Sufrir estigmatización por parte de los empleadores</w:t>
      </w:r>
    </w:p>
    <w:p>
      <w:pPr>
        <w:spacing w:after="90" w:line="276" w:lineRule="auto"/>
        <w:ind w:left="0" w:firstLine="0"/>
        <w:jc w:val="both"/>
      </w:pPr>
      <w:r>
        <w:rPr>
          <w:rFonts w:ascii="Calibri" w:hAnsi="Calibri"/>
          <w:b/>
          <w:color w:val="566B56"/>
          <w:sz w:val="21"/>
        </w:rPr>
        <w:t>Desarrollar comportamientos de búsqueda menos intensos</w:t>
      </w:r>
    </w:p>
    <w:p>
      <w:pPr>
        <w:spacing w:after="90" w:line="276" w:lineRule="auto"/>
        <w:ind w:left="0" w:firstLine="0"/>
        <w:jc w:val="both"/>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spacing w:after="90" w:line="276" w:lineRule="auto"/>
        <w:ind w:left="0" w:firstLine="0"/>
        <w:jc w:val="both"/>
      </w:pPr>
      <w:r>
        <w:rPr>
          <w:rFonts w:ascii="Calibri" w:hAnsi="Calibri"/>
          <w:b/>
          <w:color w:val="566B56"/>
          <w:sz w:val="21"/>
        </w:rPr>
        <w:t>Niveles educativos</w:t>
      </w:r>
    </w:p>
    <w:p>
      <w:pPr>
        <w:spacing w:after="90" w:line="276" w:lineRule="auto"/>
        <w:ind w:left="0" w:firstLine="0"/>
        <w:jc w:val="both"/>
      </w:pPr>
      <w:r>
        <w:rPr>
          <w:rFonts w:ascii="Calibri" w:hAnsi="Calibri"/>
          <w:b/>
          <w:color w:val="566B56"/>
          <w:sz w:val="21"/>
        </w:rPr>
        <w:t>Sectores económicos</w:t>
      </w:r>
    </w:p>
    <w:p>
      <w:pPr>
        <w:spacing w:after="90" w:line="276" w:lineRule="auto"/>
        <w:ind w:left="0" w:firstLine="0"/>
        <w:jc w:val="both"/>
      </w:pPr>
      <w:r>
        <w:rPr>
          <w:rFonts w:ascii="Calibri" w:hAnsi="Calibri"/>
          <w:b/>
          <w:color w:val="566B56"/>
          <w:sz w:val="21"/>
        </w:rPr>
        <w:t>Grupos de edad</w:t>
      </w:r>
    </w:p>
    <w:p>
      <w:pPr>
        <w:spacing w:after="90" w:line="276" w:lineRule="auto"/>
        <w:ind w:left="0" w:firstLine="0"/>
        <w:jc w:val="both"/>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spacing w:after="90" w:line="276" w:lineRule="auto"/>
        <w:ind w:left="0" w:firstLine="0"/>
        <w:jc w:val="both"/>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spacing w:after="90" w:line="276" w:lineRule="auto"/>
        <w:ind w:left="0" w:firstLine="0"/>
        <w:jc w:val="both"/>
      </w:pPr>
      <w:r>
        <w:rPr>
          <w:rFonts w:ascii="Calibri" w:hAnsi="Calibri"/>
          <w:b/>
          <w:color w:val="566B56"/>
          <w:sz w:val="21"/>
        </w:rPr>
        <w:t>Promoción de programas de aprendizaje dual</w:t>
      </w:r>
    </w:p>
    <w:p>
      <w:pPr>
        <w:spacing w:after="90" w:line="276" w:lineRule="auto"/>
        <w:ind w:left="0" w:firstLine="0"/>
        <w:jc w:val="both"/>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spacing w:after="90" w:line="276" w:lineRule="auto"/>
        <w:ind w:left="0" w:firstLine="0"/>
        <w:jc w:val="both"/>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566B56"/>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566B56"/>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566B56"/>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566B56"/>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566B56"/>
          <w:sz w:val="21"/>
        </w:rPr>
        <w:t>Políticas para el desempleo estacional:</w:t>
      </w:r>
    </w:p>
    <w:p>
      <w:pPr>
        <w:spacing w:after="90" w:line="276" w:lineRule="auto"/>
        <w:ind w:left="0" w:firstLine="0"/>
        <w:jc w:val="both"/>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spacing w:after="90" w:line="276" w:lineRule="auto"/>
        <w:ind w:left="0" w:firstLine="0"/>
        <w:jc w:val="both"/>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br/>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spacing w:after="90" w:line="276" w:lineRule="auto"/>
        <w:ind w:left="0" w:firstLine="0"/>
        <w:jc w:val="both"/>
      </w:pPr>
      <w:r>
        <w:rPr>
          <w:rFonts w:ascii="Calibri" w:hAnsi="Calibri"/>
          <w:b/>
          <w:color w:val="566B56"/>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b/>
          <w:color w:val="566B56"/>
          <w:sz w:val="21"/>
        </w:rPr>
        <w:t>= Tasa de inflación actual</w:t>
      </w:r>
    </w:p>
    <w:p>
      <w:pPr>
        <w:spacing w:after="90" w:line="276" w:lineRule="auto"/>
        <w:ind w:left="0" w:firstLine="0"/>
        <w:jc w:val="both"/>
      </w:pPr>
      <w:r>
        <w:rPr>
          <w:rFonts w:ascii="Calibri" w:hAnsi="Calibri"/>
          <w:b/>
          <w:color w:val="566B56"/>
          <w:sz w:val="21"/>
        </w:rPr>
        <w:t>= Tasa de inflación esperada</w:t>
      </w:r>
    </w:p>
    <w:p>
      <w:pPr>
        <w:spacing w:after="90" w:line="276" w:lineRule="auto"/>
        <w:ind w:left="0" w:firstLine="0"/>
        <w:jc w:val="both"/>
      </w:pPr>
      <w:r>
        <w:rPr>
          <w:rFonts w:ascii="Calibri" w:hAnsi="Calibri"/>
          <w:b/>
          <w:color w:val="566B56"/>
          <w:sz w:val="21"/>
        </w:rPr>
        <w:t>= Tasa de desempleo actual</w:t>
      </w:r>
    </w:p>
    <w:p>
      <w:pPr>
        <w:spacing w:after="90" w:line="276" w:lineRule="auto"/>
        <w:ind w:left="0" w:firstLine="0"/>
        <w:jc w:val="both"/>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566B56"/>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566B56"/>
          <w:sz w:val="21"/>
        </w:rPr>
        <w:t>Desviaciones de la NAIRU:</w:t>
      </w:r>
    </w:p>
    <w:p>
      <w:pPr>
        <w:spacing w:after="90" w:line="276" w:lineRule="auto"/>
        <w:ind w:left="0" w:firstLine="0"/>
        <w:jc w:val="both"/>
      </w:pPr>
      <w:r>
        <w:rPr>
          <w:rFonts w:ascii="Calibri" w:hAnsi="Calibri"/>
          <w:b/>
          <w:color w:val="566B56"/>
          <w:sz w:val="21"/>
        </w:rPr>
        <w:t>Si , se produce una reducción de la tasa de inflación</w:t>
      </w:r>
    </w:p>
    <w:p>
      <w:pPr>
        <w:spacing w:after="90" w:line="276" w:lineRule="auto"/>
        <w:ind w:left="0" w:firstLine="0"/>
        <w:jc w:val="both"/>
      </w:pPr>
      <w:r>
        <w:rPr>
          <w:rFonts w:ascii="Calibri" w:hAnsi="Calibri"/>
          <w:b/>
          <w:color w:val="566B56"/>
          <w:sz w:val="21"/>
        </w:rPr>
        <w:t>Si , se produce un aumento de la tasa de inflación</w:t>
      </w:r>
    </w:p>
    <w:p>
      <w:pPr>
        <w:spacing w:after="90" w:line="276" w:lineRule="auto"/>
        <w:ind w:left="0" w:firstLine="0"/>
        <w:jc w:val="both"/>
      </w:pPr>
      <w:r>
        <w:rPr>
          <w:rFonts w:ascii="Calibri" w:hAnsi="Calibri"/>
          <w:b/>
          <w:color w:val="566B56"/>
          <w:sz w:val="21"/>
        </w:rPr>
        <w:t>Si , la tasa de inflación no varía</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566B56"/>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566B56"/>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566B56"/>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br/>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keepNext/>
        <w:spacing w:before="160" w:after="60"/>
        <w:jc w:val="center"/>
      </w:pPr>
      <w:r>
        <w:drawing>
          <wp:inline xmlns:a="http://schemas.openxmlformats.org/drawingml/2006/main" xmlns:pic="http://schemas.openxmlformats.org/drawingml/2006/picture">
            <wp:extent cx="5669280" cy="3628339"/>
            <wp:docPr id="3" name="Picture 3"/>
            <wp:cNvGraphicFramePr>
              <a:graphicFrameLocks noChangeAspect="1"/>
            </wp:cNvGraphicFramePr>
            <a:graphic>
              <a:graphicData uri="http://schemas.openxmlformats.org/drawingml/2006/picture">
                <pic:pic>
                  <pic:nvPicPr>
                    <pic:cNvPr id="0" name="beveridge.png"/>
                    <pic:cNvPicPr/>
                  </pic:nvPicPr>
                  <pic:blipFill>
                    <a:blip r:embed="rId11"/>
                    <a:stretch>
                      <a:fillRect/>
                    </a:stretch>
                  </pic:blipFill>
                  <pic:spPr>
                    <a:xfrm>
                      <a:off x="0" y="0"/>
                      <a:ext cx="5669280" cy="3628339"/>
                    </a:xfrm>
                    <a:prstGeom prst="rect"/>
                  </pic:spPr>
                </pic:pic>
              </a:graphicData>
            </a:graphic>
          </wp:inline>
        </w:drawing>
      </w:r>
    </w:p>
    <w:p>
      <w:pPr>
        <w:keepNext/>
        <w:spacing w:before="0" w:after="20"/>
        <w:jc w:val="center"/>
      </w:pPr>
      <w:r>
        <w:rPr>
          <w:rFonts w:ascii="Poppins" w:hAnsi="Poppins"/>
          <w:b/>
          <w:color w:val="566B56"/>
          <w:sz w:val="18"/>
        </w:rPr>
        <w:t>Figura 1.2: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566B56"/>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566B56"/>
          <w:sz w:val="21"/>
        </w:rPr>
        <w:t>Donde:</w:t>
      </w:r>
    </w:p>
    <w:p>
      <w:pPr>
        <w:spacing w:after="90" w:line="276" w:lineRule="auto"/>
        <w:ind w:left="0" w:firstLine="0"/>
        <w:jc w:val="both"/>
      </w:pPr>
      <w:r>
        <w:rPr>
          <w:rFonts w:ascii="Calibri" w:hAnsi="Calibri"/>
          <w:color w:val="2F3A30"/>
          <w:sz w:val="21"/>
        </w:rPr>
        <w:t>= Número de emparejamientos (contrataciones) por período</w:t>
      </w:r>
    </w:p>
    <w:p>
      <w:pPr>
        <w:spacing w:after="90" w:line="276" w:lineRule="auto"/>
        <w:ind w:left="0" w:firstLine="0"/>
        <w:jc w:val="both"/>
      </w:pPr>
      <w:r>
        <w:rPr>
          <w:rFonts w:ascii="Calibri" w:hAnsi="Calibri"/>
          <w:b/>
          <w:color w:val="566B56"/>
          <w:sz w:val="21"/>
        </w:rPr>
        <w:t>= Número de desempleados al comienzo del período</w:t>
      </w:r>
    </w:p>
    <w:p>
      <w:pPr>
        <w:spacing w:after="90" w:line="276" w:lineRule="auto"/>
        <w:ind w:left="0" w:firstLine="0"/>
        <w:jc w:val="both"/>
      </w:pPr>
      <w:r>
        <w:rPr>
          <w:rFonts w:ascii="Calibri" w:hAnsi="Calibri"/>
          <w:b/>
          <w:color w:val="566B56"/>
          <w:sz w:val="21"/>
        </w:rPr>
        <w:t>= Número de vacantes al comienzo del período</w:t>
      </w:r>
    </w:p>
    <w:p>
      <w:pPr>
        <w:spacing w:after="90" w:line="276" w:lineRule="auto"/>
        <w:ind w:left="0" w:firstLine="0"/>
        <w:jc w:val="both"/>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566B56"/>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566B56"/>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b/>
          <w:color w:val="566B56"/>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566B56"/>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566B56"/>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spacing w:after="90" w:line="276" w:lineRule="auto"/>
        <w:ind w:left="0" w:firstLine="0"/>
        <w:jc w:val="both"/>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566B56"/>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566B56"/>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br/>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2"/>
      <w:footerReference w:type="default" r:id="rId13"/>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